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line="276" w:lineRule="auto" w:before="200" w:after="80"/>
        <w:jc w:val="center"/>
      </w:pPr>
      <w:r>
        <w:rPr>
          <w:rFonts w:ascii="Times New Roman" w:hAnsi="Times New Roman"/>
          <w:b/>
          <w:color w:val="000000"/>
          <w:sz w:val="28"/>
        </w:rPr>
        <w:t>Additional file 7. Simulation study</w:t>
      </w:r>
    </w:p>
    <w:p>
      <w:pPr>
        <w:jc w:val="left"/>
      </w:pPr>
      <w:r>
        <w:t xml:space="preserve">Supporting Methods and Results for </w:t>
      </w:r>
      <w:r>
        <w:rPr>
          <w:i/>
        </w:rPr>
        <w:t>Exposure-outcome window overlap in biomarker studies: a simulation study and reporting checklist</w:t>
      </w:r>
      <w:r>
        <w:t>.</w:t>
      </w:r>
    </w:p>
    <w:p>
      <w:pPr>
        <w:jc w:val="left"/>
      </w:pPr>
      <w:r>
        <w:t>This supplement reports the simulation using the ADEMP structure: aims, data-generating mechanism, estimand, methods and performance measures. All three fitted methods and the oracle target are expressed as log hazard ratios per standard deviation of the same observed exposure. The outcome definition is fixed throughout follow-up.</w:t>
      </w:r>
    </w:p>
    <w:p>
      <w:pPr>
        <w:pStyle w:val="Heading2"/>
        <w:keepNext/>
        <w:spacing w:line="276" w:lineRule="auto" w:before="200" w:after="80"/>
      </w:pPr>
      <w:r>
        <w:rPr>
          <w:rFonts w:ascii="Times New Roman" w:hAnsi="Times New Roman"/>
          <w:color w:val="000000"/>
        </w:rPr>
        <w:t>1. Aims</w:t>
      </w:r>
    </w:p>
    <w:p>
      <w:pPr>
        <w:jc w:val="left"/>
      </w:pPr>
      <w:r>
        <w:t>The simulation addressed four questions.</w:t>
      </w:r>
    </w:p>
    <w:p>
      <w:pPr>
        <w:pStyle w:val="ListNumber"/>
        <w:spacing w:line="360" w:lineRule="auto"/>
      </w:pPr>
      <w:r>
        <w:t>Does exposure-outcome window overlap create bias when the exposure has no association with onset at any time?</w:t>
      </w:r>
    </w:p>
    <w:p>
      <w:pPr>
        <w:pStyle w:val="ListNumber"/>
        <w:spacing w:line="360" w:lineRule="auto"/>
      </w:pPr>
      <w:r>
        <w:t>What happens when the association before the exposure window closes differs from the post-window target?</w:t>
      </w:r>
    </w:p>
    <w:p>
      <w:pPr>
        <w:pStyle w:val="ListNumber"/>
        <w:spacing w:line="360" w:lineRule="auto"/>
      </w:pPr>
      <w:r>
        <w:t>How much does a landmark defined on recorded detection reduce contamination from earlier latent onset?</w:t>
      </w:r>
    </w:p>
    <w:p>
      <w:pPr>
        <w:pStyle w:val="ListNumber"/>
        <w:spacing w:line="360" w:lineRule="auto"/>
      </w:pPr>
      <w:r>
        <w:t>Is an interval-censored model uniformly preferable when onset is observed only at intermittent measurements?</w:t>
      </w:r>
    </w:p>
    <w:p>
      <w:pPr>
        <w:jc w:val="left"/>
      </w:pPr>
      <w:r>
        <w:t>The exercise evaluates statistical estimators under specified mechanisms. It does not estimate a causal biological effect and is not calibrated to reproduce the INSPIRE cohort.</w:t>
      </w:r>
    </w:p>
    <w:p>
      <w:pPr>
        <w:pStyle w:val="Heading2"/>
        <w:keepNext/>
        <w:spacing w:line="276" w:lineRule="auto" w:before="200" w:after="80"/>
      </w:pPr>
      <w:r>
        <w:rPr>
          <w:rFonts w:ascii="Times New Roman" w:hAnsi="Times New Roman"/>
          <w:color w:val="000000"/>
        </w:rPr>
        <w:t>2. Data-generating mechanism</w:t>
      </w:r>
    </w:p>
    <w:p>
      <w:pPr>
        <w:jc w:val="left"/>
      </w:pPr>
      <w:r>
        <w:t>Each replicate contained 2,000 independent patients followed for seven days. The exposure window closed at 24 hours. Latent severity was standard normal.</w:t>
      </w:r>
    </w:p>
    <w:p>
      <w:pPr>
        <w:pStyle w:val="Heading3"/>
        <w:keepNext/>
        <w:spacing w:line="276" w:lineRule="auto" w:before="200" w:after="80"/>
      </w:pPr>
      <w:r>
        <w:rPr>
          <w:rFonts w:ascii="Times New Roman" w:hAnsi="Times New Roman"/>
          <w:color w:val="000000"/>
        </w:rPr>
        <w:t>2.1 Exposure</w:t>
      </w:r>
    </w:p>
    <w:p>
      <w:pPr>
        <w:jc w:val="left"/>
      </w:pPr>
      <w:r>
        <w:t xml:space="preserve">Latent biomarker level was </w:t>
      </w:r>
      <w:r>
        <w:rPr>
          <w:rFonts w:ascii="Consolas" w:hAnsi="Consolas"/>
          <w:sz w:val="18"/>
        </w:rPr>
        <w:t>0.8 x severity + Normal(0, 0.6)</w:t>
      </w:r>
      <w:r>
        <w:t>. Each patient had one plus a Poisson number of biomarker draws, with a mean near seven under ordinary sampling. Draw-specific noise was Normal(0, 0.5). The observed exposure was the maximum of those draws and was standardised within each fitted analysis. In scenario D, the number of draws increased with severity.</w:t>
      </w:r>
    </w:p>
    <w:p>
      <w:pPr>
        <w:pStyle w:val="Heading3"/>
        <w:keepNext/>
        <w:spacing w:line="276" w:lineRule="auto" w:before="200" w:after="80"/>
      </w:pPr>
      <w:r>
        <w:rPr>
          <w:rFonts w:ascii="Times New Roman" w:hAnsi="Times New Roman"/>
          <w:color w:val="000000"/>
        </w:rPr>
        <w:t>2.2 Latent onset</w:t>
      </w:r>
    </w:p>
    <w:p>
      <w:pPr>
        <w:jc w:val="left"/>
      </w:pPr>
      <w:r>
        <w:t>Onset followed a piecewise-exponential hazard with a baseline rate of 0.020 per hour. The log hazard association with the latent biomarker was specified separately before and after the 24-hour landmark. This separation created the global-null, early-only, post-window and constant-association mechanisms.</w:t>
      </w:r>
    </w:p>
    <w:p>
      <w:pPr>
        <w:pStyle w:val="Heading3"/>
        <w:keepNext/>
        <w:spacing w:line="276" w:lineRule="auto" w:before="200" w:after="80"/>
      </w:pPr>
      <w:r>
        <w:rPr>
          <w:rFonts w:ascii="Times New Roman" w:hAnsi="Times New Roman"/>
          <w:color w:val="000000"/>
        </w:rPr>
        <w:t>2.3 Detection and observation</w:t>
      </w:r>
    </w:p>
    <w:p>
      <w:pPr>
        <w:jc w:val="left"/>
      </w:pPr>
      <w:r>
        <w:t>Latent onset was not observed directly. Outcome measurements followed an exponential-gap process at 1.4 measurements per day, except in the sparse-measurement scenario, which used 0.5 per day. Detection was the first measurement at or after latent onset. In scenario D, the measurement rate increased with severity. Discharge and death ended observation, and administrative follow-up ended at day 7.</w:t>
      </w:r>
    </w:p>
    <w:p>
      <w:pPr>
        <w:jc w:val="left"/>
      </w:pPr>
      <w:r>
        <w:t>The outcome definition did not change during follow-up. Endpoint-component closure was deliberately excluded from the simulation so that its effect was not mixed with window overlap or intermittent measurement.</w:t>
      </w:r>
    </w:p>
    <w:p>
      <w:pPr>
        <w:pStyle w:val="Heading2"/>
        <w:keepNext/>
        <w:spacing w:line="276" w:lineRule="auto" w:before="200" w:after="80"/>
      </w:pPr>
      <w:r>
        <w:rPr>
          <w:rFonts w:ascii="Times New Roman" w:hAnsi="Times New Roman"/>
          <w:color w:val="000000"/>
        </w:rPr>
        <w:t>3. Scenarios</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Code</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Mechanism</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Pre-window log hazard coefficient</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Post-window log hazard coefficient</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Observation feature</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N</w:t>
            </w:r>
          </w:p>
        </w:tc>
        <w:tc>
          <w:tcPr>
            <w:tcW w:type="dxa" w:w="1872"/>
          </w:tcPr>
          <w:p>
            <w:pPr>
              <w:spacing w:line="240" w:lineRule="auto" w:after="0"/>
            </w:pPr>
            <w:r>
              <w:rPr>
                <w:rFonts w:ascii="Times New Roman" w:hAnsi="Times New Roman"/>
                <w:sz w:val="15"/>
              </w:rPr>
            </w:r>
            <w:r>
              <w:rPr>
                <w:rFonts w:ascii="Times New Roman" w:hAnsi="Times New Roman"/>
                <w:sz w:val="15"/>
              </w:rPr>
              <w:t>Global null</w:t>
            </w:r>
          </w:p>
        </w:tc>
        <w:tc>
          <w:tcPr>
            <w:tcW w:type="dxa" w:w="1872"/>
          </w:tcPr>
          <w:p>
            <w:pPr>
              <w:spacing w:line="240" w:lineRule="auto" w:after="0"/>
            </w:pPr>
            <w:r>
              <w:rPr>
                <w:rFonts w:ascii="Times New Roman" w:hAnsi="Times New Roman"/>
                <w:sz w:val="15"/>
              </w:rPr>
            </w:r>
            <w:r>
              <w:rPr>
                <w:rFonts w:ascii="Times New Roman" w:hAnsi="Times New Roman"/>
                <w:sz w:val="15"/>
              </w:rPr>
              <w:t>0</w:t>
            </w:r>
          </w:p>
        </w:tc>
        <w:tc>
          <w:tcPr>
            <w:tcW w:type="dxa" w:w="1872"/>
          </w:tcPr>
          <w:p>
            <w:pPr>
              <w:spacing w:line="240" w:lineRule="auto" w:after="0"/>
            </w:pPr>
            <w:r>
              <w:rPr>
                <w:rFonts w:ascii="Times New Roman" w:hAnsi="Times New Roman"/>
                <w:sz w:val="15"/>
              </w:rPr>
            </w:r>
            <w:r>
              <w:rPr>
                <w:rFonts w:ascii="Times New Roman" w:hAnsi="Times New Roman"/>
                <w:sz w:val="15"/>
              </w:rPr>
              <w:t>0</w:t>
            </w:r>
          </w:p>
        </w:tc>
        <w:tc>
          <w:tcPr>
            <w:tcW w:type="dxa" w:w="1872"/>
          </w:tcPr>
          <w:p>
            <w:pPr>
              <w:spacing w:line="240" w:lineRule="auto" w:after="0"/>
            </w:pPr>
            <w:r>
              <w:rPr>
                <w:rFonts w:ascii="Times New Roman" w:hAnsi="Times New Roman"/>
                <w:sz w:val="15"/>
              </w:rPr>
            </w:r>
            <w:r>
              <w:rPr>
                <w:rFonts w:ascii="Times New Roman" w:hAnsi="Times New Roman"/>
                <w:sz w:val="15"/>
              </w:rPr>
              <w:t>Standard sampling</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A</w:t>
            </w:r>
          </w:p>
        </w:tc>
        <w:tc>
          <w:tcPr>
            <w:tcW w:type="dxa" w:w="1872"/>
          </w:tcPr>
          <w:p>
            <w:pPr>
              <w:spacing w:line="240" w:lineRule="auto" w:after="0"/>
            </w:pPr>
            <w:r>
              <w:rPr>
                <w:rFonts w:ascii="Times New Roman" w:hAnsi="Times New Roman"/>
                <w:sz w:val="15"/>
              </w:rPr>
            </w:r>
            <w:r>
              <w:rPr>
                <w:rFonts w:ascii="Times New Roman" w:hAnsi="Times New Roman"/>
                <w:sz w:val="15"/>
              </w:rPr>
              <w:t>Strong early-only association</w:t>
            </w:r>
          </w:p>
        </w:tc>
        <w:tc>
          <w:tcPr>
            <w:tcW w:type="dxa" w:w="1872"/>
          </w:tcPr>
          <w:p>
            <w:pPr>
              <w:spacing w:line="240" w:lineRule="auto" w:after="0"/>
            </w:pPr>
            <w:r>
              <w:rPr>
                <w:rFonts w:ascii="Times New Roman" w:hAnsi="Times New Roman"/>
                <w:sz w:val="15"/>
              </w:rPr>
            </w:r>
            <w:r>
              <w:rPr>
                <w:rFonts w:ascii="Times New Roman" w:hAnsi="Times New Roman"/>
                <w:sz w:val="15"/>
              </w:rPr>
              <w:t>0.9</w:t>
            </w:r>
          </w:p>
        </w:tc>
        <w:tc>
          <w:tcPr>
            <w:tcW w:type="dxa" w:w="1872"/>
          </w:tcPr>
          <w:p>
            <w:pPr>
              <w:spacing w:line="240" w:lineRule="auto" w:after="0"/>
            </w:pPr>
            <w:r>
              <w:rPr>
                <w:rFonts w:ascii="Times New Roman" w:hAnsi="Times New Roman"/>
                <w:sz w:val="15"/>
              </w:rPr>
            </w:r>
            <w:r>
              <w:rPr>
                <w:rFonts w:ascii="Times New Roman" w:hAnsi="Times New Roman"/>
                <w:sz w:val="15"/>
              </w:rPr>
              <w:t>0</w:t>
            </w:r>
          </w:p>
        </w:tc>
        <w:tc>
          <w:tcPr>
            <w:tcW w:type="dxa" w:w="1872"/>
          </w:tcPr>
          <w:p>
            <w:pPr>
              <w:spacing w:line="240" w:lineRule="auto" w:after="0"/>
            </w:pPr>
            <w:r>
              <w:rPr>
                <w:rFonts w:ascii="Times New Roman" w:hAnsi="Times New Roman"/>
                <w:sz w:val="15"/>
              </w:rPr>
            </w:r>
            <w:r>
              <w:rPr>
                <w:rFonts w:ascii="Times New Roman" w:hAnsi="Times New Roman"/>
                <w:sz w:val="15"/>
              </w:rPr>
              <w:t>Standard sampling</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B</w:t>
            </w:r>
          </w:p>
        </w:tc>
        <w:tc>
          <w:tcPr>
            <w:tcW w:type="dxa" w:w="1872"/>
          </w:tcPr>
          <w:p>
            <w:pPr>
              <w:spacing w:line="240" w:lineRule="auto" w:after="0"/>
            </w:pPr>
            <w:r>
              <w:rPr>
                <w:rFonts w:ascii="Times New Roman" w:hAnsi="Times New Roman"/>
                <w:sz w:val="15"/>
              </w:rPr>
            </w:r>
            <w:r>
              <w:rPr>
                <w:rFonts w:ascii="Times New Roman" w:hAnsi="Times New Roman"/>
                <w:sz w:val="15"/>
              </w:rPr>
              <w:t>Early and post-window association</w:t>
            </w:r>
          </w:p>
        </w:tc>
        <w:tc>
          <w:tcPr>
            <w:tcW w:type="dxa" w:w="1872"/>
          </w:tcPr>
          <w:p>
            <w:pPr>
              <w:spacing w:line="240" w:lineRule="auto" w:after="0"/>
            </w:pPr>
            <w:r>
              <w:rPr>
                <w:rFonts w:ascii="Times New Roman" w:hAnsi="Times New Roman"/>
                <w:sz w:val="15"/>
              </w:rPr>
            </w:r>
            <w:r>
              <w:rPr>
                <w:rFonts w:ascii="Times New Roman" w:hAnsi="Times New Roman"/>
                <w:sz w:val="15"/>
              </w:rPr>
              <w:t>0.9</w:t>
            </w:r>
          </w:p>
        </w:tc>
        <w:tc>
          <w:tcPr>
            <w:tcW w:type="dxa" w:w="1872"/>
          </w:tcPr>
          <w:p>
            <w:pPr>
              <w:spacing w:line="240" w:lineRule="auto" w:after="0"/>
            </w:pPr>
            <w:r>
              <w:rPr>
                <w:rFonts w:ascii="Times New Roman" w:hAnsi="Times New Roman"/>
                <w:sz w:val="15"/>
              </w:rPr>
            </w:r>
            <w:r>
              <w:rPr>
                <w:rFonts w:ascii="Times New Roman" w:hAnsi="Times New Roman"/>
                <w:sz w:val="15"/>
              </w:rPr>
              <w:t>log(1.5)</w:t>
            </w:r>
          </w:p>
        </w:tc>
        <w:tc>
          <w:tcPr>
            <w:tcW w:type="dxa" w:w="1872"/>
          </w:tcPr>
          <w:p>
            <w:pPr>
              <w:spacing w:line="240" w:lineRule="auto" w:after="0"/>
            </w:pPr>
            <w:r>
              <w:rPr>
                <w:rFonts w:ascii="Times New Roman" w:hAnsi="Times New Roman"/>
                <w:sz w:val="15"/>
              </w:rPr>
            </w:r>
            <w:r>
              <w:rPr>
                <w:rFonts w:ascii="Times New Roman" w:hAnsi="Times New Roman"/>
                <w:sz w:val="15"/>
              </w:rPr>
              <w:t>Standard sampling</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C</w:t>
            </w:r>
          </w:p>
        </w:tc>
        <w:tc>
          <w:tcPr>
            <w:tcW w:type="dxa" w:w="1872"/>
          </w:tcPr>
          <w:p>
            <w:pPr>
              <w:spacing w:line="240" w:lineRule="auto" w:after="0"/>
            </w:pPr>
            <w:r>
              <w:rPr>
                <w:rFonts w:ascii="Times New Roman" w:hAnsi="Times New Roman"/>
                <w:sz w:val="15"/>
              </w:rPr>
            </w:r>
            <w:r>
              <w:rPr>
                <w:rFonts w:ascii="Times New Roman" w:hAnsi="Times New Roman"/>
                <w:sz w:val="15"/>
              </w:rPr>
              <w:t>Weak early-only association</w:t>
            </w:r>
          </w:p>
        </w:tc>
        <w:tc>
          <w:tcPr>
            <w:tcW w:type="dxa" w:w="1872"/>
          </w:tcPr>
          <w:p>
            <w:pPr>
              <w:spacing w:line="240" w:lineRule="auto" w:after="0"/>
            </w:pPr>
            <w:r>
              <w:rPr>
                <w:rFonts w:ascii="Times New Roman" w:hAnsi="Times New Roman"/>
                <w:sz w:val="15"/>
              </w:rPr>
            </w:r>
            <w:r>
              <w:rPr>
                <w:rFonts w:ascii="Times New Roman" w:hAnsi="Times New Roman"/>
                <w:sz w:val="15"/>
              </w:rPr>
              <w:t>0.3</w:t>
            </w:r>
          </w:p>
        </w:tc>
        <w:tc>
          <w:tcPr>
            <w:tcW w:type="dxa" w:w="1872"/>
          </w:tcPr>
          <w:p>
            <w:pPr>
              <w:spacing w:line="240" w:lineRule="auto" w:after="0"/>
            </w:pPr>
            <w:r>
              <w:rPr>
                <w:rFonts w:ascii="Times New Roman" w:hAnsi="Times New Roman"/>
                <w:sz w:val="15"/>
              </w:rPr>
            </w:r>
            <w:r>
              <w:rPr>
                <w:rFonts w:ascii="Times New Roman" w:hAnsi="Times New Roman"/>
                <w:sz w:val="15"/>
              </w:rPr>
              <w:t>0</w:t>
            </w:r>
          </w:p>
        </w:tc>
        <w:tc>
          <w:tcPr>
            <w:tcW w:type="dxa" w:w="1872"/>
          </w:tcPr>
          <w:p>
            <w:pPr>
              <w:spacing w:line="240" w:lineRule="auto" w:after="0"/>
            </w:pPr>
            <w:r>
              <w:rPr>
                <w:rFonts w:ascii="Times New Roman" w:hAnsi="Times New Roman"/>
                <w:sz w:val="15"/>
              </w:rPr>
            </w:r>
            <w:r>
              <w:rPr>
                <w:rFonts w:ascii="Times New Roman" w:hAnsi="Times New Roman"/>
                <w:sz w:val="15"/>
              </w:rPr>
              <w:t>Standard sampling</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D</w:t>
            </w:r>
          </w:p>
        </w:tc>
        <w:tc>
          <w:tcPr>
            <w:tcW w:type="dxa" w:w="1872"/>
          </w:tcPr>
          <w:p>
            <w:pPr>
              <w:spacing w:line="240" w:lineRule="auto" w:after="0"/>
            </w:pPr>
            <w:r>
              <w:rPr>
                <w:rFonts w:ascii="Times New Roman" w:hAnsi="Times New Roman"/>
                <w:sz w:val="15"/>
              </w:rPr>
            </w:r>
            <w:r>
              <w:rPr>
                <w:rFonts w:ascii="Times New Roman" w:hAnsi="Times New Roman"/>
                <w:sz w:val="15"/>
              </w:rPr>
              <w:t>Early-only association with severity-dependent sampling</w:t>
            </w:r>
          </w:p>
        </w:tc>
        <w:tc>
          <w:tcPr>
            <w:tcW w:type="dxa" w:w="1872"/>
          </w:tcPr>
          <w:p>
            <w:pPr>
              <w:spacing w:line="240" w:lineRule="auto" w:after="0"/>
            </w:pPr>
            <w:r>
              <w:rPr>
                <w:rFonts w:ascii="Times New Roman" w:hAnsi="Times New Roman"/>
                <w:sz w:val="15"/>
              </w:rPr>
            </w:r>
            <w:r>
              <w:rPr>
                <w:rFonts w:ascii="Times New Roman" w:hAnsi="Times New Roman"/>
                <w:sz w:val="15"/>
              </w:rPr>
              <w:t>0.9</w:t>
            </w:r>
          </w:p>
        </w:tc>
        <w:tc>
          <w:tcPr>
            <w:tcW w:type="dxa" w:w="1872"/>
          </w:tcPr>
          <w:p>
            <w:pPr>
              <w:spacing w:line="240" w:lineRule="auto" w:after="0"/>
            </w:pPr>
            <w:r>
              <w:rPr>
                <w:rFonts w:ascii="Times New Roman" w:hAnsi="Times New Roman"/>
                <w:sz w:val="15"/>
              </w:rPr>
            </w:r>
            <w:r>
              <w:rPr>
                <w:rFonts w:ascii="Times New Roman" w:hAnsi="Times New Roman"/>
                <w:sz w:val="15"/>
              </w:rPr>
              <w:t>0</w:t>
            </w:r>
          </w:p>
        </w:tc>
        <w:tc>
          <w:tcPr>
            <w:tcW w:type="dxa" w:w="1872"/>
          </w:tcPr>
          <w:p>
            <w:pPr>
              <w:spacing w:line="240" w:lineRule="auto" w:after="0"/>
            </w:pPr>
            <w:r>
              <w:rPr>
                <w:rFonts w:ascii="Times New Roman" w:hAnsi="Times New Roman"/>
                <w:sz w:val="15"/>
              </w:rPr>
            </w:r>
            <w:r>
              <w:rPr>
                <w:rFonts w:ascii="Times New Roman" w:hAnsi="Times New Roman"/>
                <w:sz w:val="15"/>
              </w:rPr>
              <w:t>Biomarker and outcome sampling depend on severity</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E</w:t>
            </w:r>
          </w:p>
        </w:tc>
        <w:tc>
          <w:tcPr>
            <w:tcW w:type="dxa" w:w="1872"/>
          </w:tcPr>
          <w:p>
            <w:pPr>
              <w:spacing w:line="240" w:lineRule="auto" w:after="0"/>
            </w:pPr>
            <w:r>
              <w:rPr>
                <w:rFonts w:ascii="Times New Roman" w:hAnsi="Times New Roman"/>
                <w:sz w:val="15"/>
              </w:rPr>
            </w:r>
            <w:r>
              <w:rPr>
                <w:rFonts w:ascii="Times New Roman" w:hAnsi="Times New Roman"/>
                <w:sz w:val="15"/>
              </w:rPr>
              <w:t>Post-window effect with sparse outcome measurement</w:t>
            </w:r>
          </w:p>
        </w:tc>
        <w:tc>
          <w:tcPr>
            <w:tcW w:type="dxa" w:w="1872"/>
          </w:tcPr>
          <w:p>
            <w:pPr>
              <w:spacing w:line="240" w:lineRule="auto" w:after="0"/>
            </w:pPr>
            <w:r>
              <w:rPr>
                <w:rFonts w:ascii="Times New Roman" w:hAnsi="Times New Roman"/>
                <w:sz w:val="15"/>
              </w:rPr>
            </w:r>
            <w:r>
              <w:rPr>
                <w:rFonts w:ascii="Times New Roman" w:hAnsi="Times New Roman"/>
                <w:sz w:val="15"/>
              </w:rPr>
              <w:t>0.9</w:t>
            </w:r>
          </w:p>
        </w:tc>
        <w:tc>
          <w:tcPr>
            <w:tcW w:type="dxa" w:w="1872"/>
          </w:tcPr>
          <w:p>
            <w:pPr>
              <w:spacing w:line="240" w:lineRule="auto" w:after="0"/>
            </w:pPr>
            <w:r>
              <w:rPr>
                <w:rFonts w:ascii="Times New Roman" w:hAnsi="Times New Roman"/>
                <w:sz w:val="15"/>
              </w:rPr>
            </w:r>
            <w:r>
              <w:rPr>
                <w:rFonts w:ascii="Times New Roman" w:hAnsi="Times New Roman"/>
                <w:sz w:val="15"/>
              </w:rPr>
              <w:t>log(1.5)</w:t>
            </w:r>
          </w:p>
        </w:tc>
        <w:tc>
          <w:tcPr>
            <w:tcW w:type="dxa" w:w="1872"/>
          </w:tcPr>
          <w:p>
            <w:pPr>
              <w:spacing w:line="240" w:lineRule="auto" w:after="0"/>
            </w:pPr>
            <w:r>
              <w:rPr>
                <w:rFonts w:ascii="Times New Roman" w:hAnsi="Times New Roman"/>
                <w:sz w:val="15"/>
              </w:rPr>
            </w:r>
            <w:r>
              <w:rPr>
                <w:rFonts w:ascii="Times New Roman" w:hAnsi="Times New Roman"/>
                <w:sz w:val="15"/>
              </w:rPr>
              <w:t>0.5 outcome measurements per day</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F</w:t>
            </w:r>
          </w:p>
        </w:tc>
        <w:tc>
          <w:tcPr>
            <w:tcW w:type="dxa" w:w="1872"/>
          </w:tcPr>
          <w:p>
            <w:pPr>
              <w:spacing w:line="240" w:lineRule="auto" w:after="0"/>
            </w:pPr>
            <w:r>
              <w:rPr>
                <w:rFonts w:ascii="Times New Roman" w:hAnsi="Times New Roman"/>
                <w:sz w:val="15"/>
              </w:rPr>
            </w:r>
            <w:r>
              <w:rPr>
                <w:rFonts w:ascii="Times New Roman" w:hAnsi="Times New Roman"/>
                <w:sz w:val="15"/>
              </w:rPr>
              <w:t>Constant association across the window</w:t>
            </w:r>
          </w:p>
        </w:tc>
        <w:tc>
          <w:tcPr>
            <w:tcW w:type="dxa" w:w="1872"/>
          </w:tcPr>
          <w:p>
            <w:pPr>
              <w:spacing w:line="240" w:lineRule="auto" w:after="0"/>
            </w:pPr>
            <w:r>
              <w:rPr>
                <w:rFonts w:ascii="Times New Roman" w:hAnsi="Times New Roman"/>
                <w:sz w:val="15"/>
              </w:rPr>
            </w:r>
            <w:r>
              <w:rPr>
                <w:rFonts w:ascii="Times New Roman" w:hAnsi="Times New Roman"/>
                <w:sz w:val="15"/>
              </w:rPr>
              <w:t>log(1.5)</w:t>
            </w:r>
          </w:p>
        </w:tc>
        <w:tc>
          <w:tcPr>
            <w:tcW w:type="dxa" w:w="1872"/>
          </w:tcPr>
          <w:p>
            <w:pPr>
              <w:spacing w:line="240" w:lineRule="auto" w:after="0"/>
            </w:pPr>
            <w:r>
              <w:rPr>
                <w:rFonts w:ascii="Times New Roman" w:hAnsi="Times New Roman"/>
                <w:sz w:val="15"/>
              </w:rPr>
            </w:r>
            <w:r>
              <w:rPr>
                <w:rFonts w:ascii="Times New Roman" w:hAnsi="Times New Roman"/>
                <w:sz w:val="15"/>
              </w:rPr>
              <w:t>log(1.5)</w:t>
            </w:r>
          </w:p>
        </w:tc>
        <w:tc>
          <w:tcPr>
            <w:tcW w:type="dxa" w:w="1872"/>
          </w:tcPr>
          <w:p>
            <w:pPr>
              <w:spacing w:line="240" w:lineRule="auto" w:after="0"/>
            </w:pPr>
            <w:r>
              <w:rPr>
                <w:rFonts w:ascii="Times New Roman" w:hAnsi="Times New Roman"/>
                <w:sz w:val="15"/>
              </w:rPr>
            </w:r>
            <w:r>
              <w:rPr>
                <w:rFonts w:ascii="Times New Roman" w:hAnsi="Times New Roman"/>
                <w:sz w:val="15"/>
              </w:rPr>
              <w:t>Standard sampling</w:t>
            </w:r>
          </w:p>
        </w:tc>
      </w:tr>
    </w:tbl>
    <w:p/>
    <w:p>
      <w:pPr>
        <w:jc w:val="left"/>
      </w:pPr>
      <w:r>
        <w:t>Scenario N is the negative control. Scenarios A, C and D test whether early association leaks into a post-window analysis. Scenarios B and E include a true post-window association. Scenario F tests a mechanism in which association timing is not misspecified.</w:t>
      </w:r>
    </w:p>
    <w:p>
      <w:pPr>
        <w:pStyle w:val="Heading2"/>
        <w:keepNext/>
        <w:spacing w:line="276" w:lineRule="auto" w:before="200" w:after="80"/>
      </w:pPr>
      <w:r>
        <w:rPr>
          <w:rFonts w:ascii="Times New Roman" w:hAnsi="Times New Roman"/>
          <w:color w:val="000000"/>
        </w:rPr>
        <w:t>4. Estimand</w:t>
      </w:r>
    </w:p>
    <w:p>
      <w:pPr>
        <w:jc w:val="left"/>
      </w:pPr>
      <w:r>
        <w:t>For each scenario, an oracle population of 200,000 patients was generated. The target was the post-window Cox log hazard ratio for the standardised observed exposure among patients whose latent onset and observation end were both after the landmark. Oracle follow-up used exact latent onset rather than detection.</w:t>
      </w:r>
    </w:p>
    <w:p>
      <w:pPr>
        <w:jc w:val="left"/>
      </w:pPr>
      <w:r>
        <w:t>This is a model-based association in a defined risk set. It is not the data-generating coefficient itself, because the fitted exposure is a noisy maximum rather than the latent biomarker. It is also not a causal effect.</w:t>
      </w:r>
    </w:p>
    <w:p>
      <w:pPr>
        <w:pStyle w:val="Heading2"/>
        <w:keepNext/>
        <w:spacing w:line="276" w:lineRule="auto" w:before="200" w:after="80"/>
      </w:pPr>
      <w:r>
        <w:rPr>
          <w:rFonts w:ascii="Times New Roman" w:hAnsi="Times New Roman"/>
          <w:color w:val="000000"/>
        </w:rPr>
        <w:t>5. Methods compared</w:t>
      </w:r>
    </w:p>
    <w:p>
      <w:pPr>
        <w:pStyle w:val="Heading3"/>
        <w:keepNext/>
        <w:spacing w:line="276" w:lineRule="auto" w:before="200" w:after="80"/>
      </w:pPr>
      <w:r>
        <w:rPr>
          <w:rFonts w:ascii="Times New Roman" w:hAnsi="Times New Roman"/>
          <w:color w:val="000000"/>
        </w:rPr>
        <w:t>5.1 Naive Cox analysis</w:t>
      </w:r>
    </w:p>
    <w:p>
      <w:pPr>
        <w:jc w:val="left"/>
      </w:pPr>
      <w:r>
        <w:t>Follow-up started at the clinical origin. Every detected event counted, even though the exposure summary was unavailable until 24 hours. This model uses future exposure information for events occurring inside the exposure window.</w:t>
      </w:r>
    </w:p>
    <w:p>
      <w:pPr>
        <w:pStyle w:val="Heading3"/>
        <w:keepNext/>
        <w:spacing w:line="276" w:lineRule="auto" w:before="200" w:after="80"/>
      </w:pPr>
      <w:r>
        <w:rPr>
          <w:rFonts w:ascii="Times New Roman" w:hAnsi="Times New Roman"/>
          <w:color w:val="000000"/>
        </w:rPr>
        <w:t>5.2 Landmark Cox analysis</w:t>
      </w:r>
    </w:p>
    <w:p>
      <w:pPr>
        <w:jc w:val="left"/>
      </w:pPr>
      <w:r>
        <w:t>Patients with a detected event by 24 hours, or whose observation ended by then, were excluded. Follow-up began at the landmark. Event time was the first positive measurement after the landmark.</w:t>
      </w:r>
    </w:p>
    <w:p>
      <w:pPr>
        <w:pStyle w:val="Heading3"/>
        <w:keepNext/>
        <w:spacing w:line="276" w:lineRule="auto" w:before="200" w:after="80"/>
      </w:pPr>
      <w:r>
        <w:rPr>
          <w:rFonts w:ascii="Times New Roman" w:hAnsi="Times New Roman"/>
          <w:color w:val="000000"/>
        </w:rPr>
        <w:t>5.3 Interval-censored Weibull analysis</w:t>
      </w:r>
    </w:p>
    <w:p>
      <w:pPr>
        <w:jc w:val="left"/>
      </w:pPr>
      <w:r>
        <w:t>This analysis used the same landmark risk set. For detected events, onset was bracketed by the last negative measurement and the first positive measurement. Patients without a detected event were right censored. The Weibull accelerated-failure-time coefficient was transformed to the proportional-hazards log hazard-ratio scale.</w:t>
      </w:r>
    </w:p>
    <w:p>
      <w:pPr>
        <w:jc w:val="left"/>
      </w:pPr>
      <w:r>
        <w:t>All three methods used the same observed exposure and reported the same effect scale.</w:t>
      </w:r>
    </w:p>
    <w:p>
      <w:pPr>
        <w:pStyle w:val="Heading2"/>
        <w:keepNext/>
        <w:spacing w:line="276" w:lineRule="auto" w:before="200" w:after="80"/>
      </w:pPr>
      <w:r>
        <w:rPr>
          <w:rFonts w:ascii="Times New Roman" w:hAnsi="Times New Roman"/>
          <w:color w:val="000000"/>
        </w:rPr>
        <w:t>6. Performance measures</w:t>
      </w:r>
    </w:p>
    <w:p>
      <w:pPr>
        <w:jc w:val="left"/>
      </w:pPr>
      <w:r>
        <w:t>Each scenario used 500 replicates. We report:</w:t>
      </w:r>
    </w:p>
    <w:p>
      <w:pPr>
        <w:pStyle w:val="ListBullet"/>
        <w:spacing w:line="360" w:lineRule="auto"/>
      </w:pPr>
      <w:r>
        <w:t>mean estimate and bias relative to the oracle target;</w:t>
      </w:r>
    </w:p>
    <w:p>
      <w:pPr>
        <w:pStyle w:val="ListBullet"/>
        <w:spacing w:line="360" w:lineRule="auto"/>
      </w:pPr>
      <w:r>
        <w:t>Monte Carlo standard error of the bias;</w:t>
      </w:r>
    </w:p>
    <w:p>
      <w:pPr>
        <w:pStyle w:val="ListBullet"/>
        <w:spacing w:line="360" w:lineRule="auto"/>
      </w:pPr>
      <w:r>
        <w:t>empirical standard error and mean model-based standard error;</w:t>
      </w:r>
    </w:p>
    <w:p>
      <w:pPr>
        <w:pStyle w:val="ListBullet"/>
        <w:spacing w:line="360" w:lineRule="auto"/>
      </w:pPr>
      <w:r>
        <w:t>ratio of model-based to empirical standard error;</w:t>
      </w:r>
    </w:p>
    <w:p>
      <w:pPr>
        <w:pStyle w:val="ListBullet"/>
        <w:spacing w:line="360" w:lineRule="auto"/>
      </w:pPr>
      <w:r>
        <w:t>coverage of nominal 95% confidence intervals and its Monte Carlo standard error;</w:t>
      </w:r>
    </w:p>
    <w:p>
      <w:pPr>
        <w:pStyle w:val="ListBullet"/>
        <w:spacing w:line="360" w:lineRule="auto"/>
      </w:pPr>
      <w:r>
        <w:t>rejection rate for a zero-effect null and its Monte Carlo standard error;</w:t>
      </w:r>
    </w:p>
    <w:p>
      <w:pPr>
        <w:pStyle w:val="ListBullet"/>
        <w:spacing w:line="360" w:lineRule="auto"/>
      </w:pPr>
      <w:r>
        <w:t>number of attempted, successful and failed fits;</w:t>
      </w:r>
    </w:p>
    <w:p>
      <w:pPr>
        <w:pStyle w:val="ListBullet"/>
        <w:spacing w:line="360" w:lineRule="auto"/>
      </w:pPr>
      <w:r>
        <w:t>median event rate, landmark risk-set size and concurrent fraction;</w:t>
      </w:r>
    </w:p>
    <w:p>
      <w:pPr>
        <w:pStyle w:val="ListBullet"/>
        <w:spacing w:line="360" w:lineRule="auto"/>
      </w:pPr>
      <w:r>
        <w:t>percentage of post-landmark detections whose latent onset preceded the landmark.</w:t>
      </w:r>
    </w:p>
    <w:p>
      <w:pPr>
        <w:jc w:val="left"/>
      </w:pPr>
      <w:r>
        <w:t>With 500 replicates, the largest possible Monte Carlo standard error for a proportion is about 2.2 percentage points.</w:t>
      </w:r>
    </w:p>
    <w:p>
      <w:pPr>
        <w:pStyle w:val="Heading2"/>
        <w:keepNext/>
        <w:spacing w:line="276" w:lineRule="auto" w:before="200" w:after="80"/>
      </w:pPr>
      <w:r>
        <w:rPr>
          <w:rFonts w:ascii="Times New Roman" w:hAnsi="Times New Roman"/>
          <w:color w:val="000000"/>
        </w:rPr>
        <w:t>7. Full results</w:t>
      </w:r>
    </w:p>
    <w:p>
      <w:pPr>
        <w:jc w:val="left"/>
      </w:pPr>
      <w:r>
        <w:t>All 10,500 fitted models succeeded.</w:t>
      </w:r>
    </w:p>
    <w:tbl>
      <w:tblPr>
        <w:tblStyle w:val="TableGrid"/>
        <w:tblW w:type="auto" w:w="0"/>
        <w:jc w:val="center"/>
        <w:tblLook w:firstColumn="1" w:firstRow="1" w:lastColumn="0" w:lastRow="0" w:noHBand="0" w:noVBand="1" w:val="04A0"/>
      </w:tblPr>
      <w:tblGrid>
        <w:gridCol w:w="936"/>
        <w:gridCol w:w="936"/>
        <w:gridCol w:w="936"/>
        <w:gridCol w:w="936"/>
        <w:gridCol w:w="936"/>
        <w:gridCol w:w="936"/>
        <w:gridCol w:w="936"/>
        <w:gridCol w:w="936"/>
        <w:gridCol w:w="936"/>
        <w:gridCol w:w="936"/>
      </w:tblGrid>
      <w:tr>
        <w:trPr>
          <w:tblHeader w:val="true"/>
          <w:cantSplit/>
        </w:trPr>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Scenario</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Method</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Target</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Mean</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Bias (MCSE)</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Empirical SE</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Mean model SE</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Model/empirical SE</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Coverage % (MCSE pp)</w:t>
            </w:r>
          </w:p>
        </w:tc>
        <w:tc>
          <w:tcPr>
            <w:tcW w:type="dxa" w:w="936"/>
            <w:shd w:val="clear" w:fill="E8E8E8"/>
          </w:tcPr>
          <w:p>
            <w:pPr>
              <w:spacing w:line="240" w:lineRule="auto" w:after="0"/>
            </w:pPr>
            <w:r>
              <w:rPr>
                <w:rFonts w:ascii="Times New Roman" w:hAnsi="Times New Roman"/>
                <w:b/>
                <w:sz w:val="15"/>
              </w:rPr>
            </w:r>
            <w:r>
              <w:rPr>
                <w:rFonts w:ascii="Times New Roman" w:hAnsi="Times New Roman"/>
                <w:b/>
                <w:sz w:val="15"/>
              </w:rPr>
              <w:t>Rejection % (MCSE pp)</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N</w:t>
            </w:r>
          </w:p>
        </w:tc>
        <w:tc>
          <w:tcPr>
            <w:tcW w:type="dxa" w:w="936"/>
          </w:tcPr>
          <w:p>
            <w:pPr>
              <w:spacing w:line="240" w:lineRule="auto" w:after="0"/>
            </w:pPr>
            <w:r>
              <w:rPr>
                <w:rFonts w:ascii="Times New Roman" w:hAnsi="Times New Roman"/>
                <w:sz w:val="15"/>
              </w:rPr>
            </w:r>
            <w:r>
              <w:rPr>
                <w:rFonts w:ascii="Times New Roman" w:hAnsi="Times New Roman"/>
                <w:sz w:val="15"/>
              </w:rPr>
              <w:t>Naive Cox</w:t>
            </w:r>
          </w:p>
        </w:tc>
        <w:tc>
          <w:tcPr>
            <w:tcW w:type="dxa" w:w="936"/>
          </w:tcPr>
          <w:p>
            <w:pPr>
              <w:spacing w:line="240" w:lineRule="auto" w:after="0"/>
            </w:pPr>
            <w:r>
              <w:rPr>
                <w:rFonts w:ascii="Times New Roman" w:hAnsi="Times New Roman"/>
                <w:sz w:val="15"/>
              </w:rPr>
            </w:r>
            <w:r>
              <w:rPr>
                <w:rFonts w:ascii="Times New Roman" w:hAnsi="Times New Roman"/>
                <w:sz w:val="15"/>
              </w:rPr>
              <w:t>-0.0025</w:t>
            </w:r>
          </w:p>
        </w:tc>
        <w:tc>
          <w:tcPr>
            <w:tcW w:type="dxa" w:w="936"/>
          </w:tcPr>
          <w:p>
            <w:pPr>
              <w:spacing w:line="240" w:lineRule="auto" w:after="0"/>
            </w:pPr>
            <w:r>
              <w:rPr>
                <w:rFonts w:ascii="Times New Roman" w:hAnsi="Times New Roman"/>
                <w:sz w:val="15"/>
              </w:rPr>
            </w:r>
            <w:r>
              <w:rPr>
                <w:rFonts w:ascii="Times New Roman" w:hAnsi="Times New Roman"/>
                <w:sz w:val="15"/>
              </w:rPr>
              <w:t>0.0003</w:t>
            </w:r>
          </w:p>
        </w:tc>
        <w:tc>
          <w:tcPr>
            <w:tcW w:type="dxa" w:w="936"/>
          </w:tcPr>
          <w:p>
            <w:pPr>
              <w:spacing w:line="240" w:lineRule="auto" w:after="0"/>
            </w:pPr>
            <w:r>
              <w:rPr>
                <w:rFonts w:ascii="Times New Roman" w:hAnsi="Times New Roman"/>
                <w:sz w:val="15"/>
              </w:rPr>
            </w:r>
            <w:r>
              <w:rPr>
                <w:rFonts w:ascii="Times New Roman" w:hAnsi="Times New Roman"/>
                <w:sz w:val="15"/>
              </w:rPr>
              <w:t>0.0028 (0.0012)</w:t>
            </w:r>
          </w:p>
        </w:tc>
        <w:tc>
          <w:tcPr>
            <w:tcW w:type="dxa" w:w="936"/>
          </w:tcPr>
          <w:p>
            <w:pPr>
              <w:spacing w:line="240" w:lineRule="auto" w:after="0"/>
            </w:pPr>
            <w:r>
              <w:rPr>
                <w:rFonts w:ascii="Times New Roman" w:hAnsi="Times New Roman"/>
                <w:sz w:val="15"/>
              </w:rPr>
            </w:r>
            <w:r>
              <w:rPr>
                <w:rFonts w:ascii="Times New Roman" w:hAnsi="Times New Roman"/>
                <w:sz w:val="15"/>
              </w:rPr>
              <w:t>0.0257</w:t>
            </w:r>
          </w:p>
        </w:tc>
        <w:tc>
          <w:tcPr>
            <w:tcW w:type="dxa" w:w="936"/>
          </w:tcPr>
          <w:p>
            <w:pPr>
              <w:spacing w:line="240" w:lineRule="auto" w:after="0"/>
            </w:pPr>
            <w:r>
              <w:rPr>
                <w:rFonts w:ascii="Times New Roman" w:hAnsi="Times New Roman"/>
                <w:sz w:val="15"/>
              </w:rPr>
            </w:r>
            <w:r>
              <w:rPr>
                <w:rFonts w:ascii="Times New Roman" w:hAnsi="Times New Roman"/>
                <w:sz w:val="15"/>
              </w:rPr>
              <w:t>0.0259</w:t>
            </w:r>
          </w:p>
        </w:tc>
        <w:tc>
          <w:tcPr>
            <w:tcW w:type="dxa" w:w="936"/>
          </w:tcPr>
          <w:p>
            <w:pPr>
              <w:spacing w:line="240" w:lineRule="auto" w:after="0"/>
            </w:pPr>
            <w:r>
              <w:rPr>
                <w:rFonts w:ascii="Times New Roman" w:hAnsi="Times New Roman"/>
                <w:sz w:val="15"/>
              </w:rPr>
            </w:r>
            <w:r>
              <w:rPr>
                <w:rFonts w:ascii="Times New Roman" w:hAnsi="Times New Roman"/>
                <w:sz w:val="15"/>
              </w:rPr>
              <w:t>1.008</w:t>
            </w:r>
          </w:p>
        </w:tc>
        <w:tc>
          <w:tcPr>
            <w:tcW w:type="dxa" w:w="936"/>
          </w:tcPr>
          <w:p>
            <w:pPr>
              <w:spacing w:line="240" w:lineRule="auto" w:after="0"/>
            </w:pPr>
            <w:r>
              <w:rPr>
                <w:rFonts w:ascii="Times New Roman" w:hAnsi="Times New Roman"/>
                <w:sz w:val="15"/>
              </w:rPr>
            </w:r>
            <w:r>
              <w:rPr>
                <w:rFonts w:ascii="Times New Roman" w:hAnsi="Times New Roman"/>
                <w:sz w:val="15"/>
              </w:rPr>
              <w:t>95.4 (0.9)</w:t>
            </w:r>
          </w:p>
        </w:tc>
        <w:tc>
          <w:tcPr>
            <w:tcW w:type="dxa" w:w="936"/>
          </w:tcPr>
          <w:p>
            <w:pPr>
              <w:spacing w:line="240" w:lineRule="auto" w:after="0"/>
            </w:pPr>
            <w:r>
              <w:rPr>
                <w:rFonts w:ascii="Times New Roman" w:hAnsi="Times New Roman"/>
                <w:sz w:val="15"/>
              </w:rPr>
            </w:r>
            <w:r>
              <w:rPr>
                <w:rFonts w:ascii="Times New Roman" w:hAnsi="Times New Roman"/>
                <w:sz w:val="15"/>
              </w:rPr>
              <w:t>4.0 (0.9)</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N</w:t>
            </w:r>
          </w:p>
        </w:tc>
        <w:tc>
          <w:tcPr>
            <w:tcW w:type="dxa" w:w="936"/>
          </w:tcPr>
          <w:p>
            <w:pPr>
              <w:spacing w:line="240" w:lineRule="auto" w:after="0"/>
            </w:pPr>
            <w:r>
              <w:rPr>
                <w:rFonts w:ascii="Times New Roman" w:hAnsi="Times New Roman"/>
                <w:sz w:val="15"/>
              </w:rPr>
            </w:r>
            <w:r>
              <w:rPr>
                <w:rFonts w:ascii="Times New Roman" w:hAnsi="Times New Roman"/>
                <w:sz w:val="15"/>
              </w:rPr>
              <w:t>Landmark Cox</w:t>
            </w:r>
          </w:p>
        </w:tc>
        <w:tc>
          <w:tcPr>
            <w:tcW w:type="dxa" w:w="936"/>
          </w:tcPr>
          <w:p>
            <w:pPr>
              <w:spacing w:line="240" w:lineRule="auto" w:after="0"/>
            </w:pPr>
            <w:r>
              <w:rPr>
                <w:rFonts w:ascii="Times New Roman" w:hAnsi="Times New Roman"/>
                <w:sz w:val="15"/>
              </w:rPr>
            </w:r>
            <w:r>
              <w:rPr>
                <w:rFonts w:ascii="Times New Roman" w:hAnsi="Times New Roman"/>
                <w:sz w:val="15"/>
              </w:rPr>
              <w:t>-0.0025</w:t>
            </w:r>
          </w:p>
        </w:tc>
        <w:tc>
          <w:tcPr>
            <w:tcW w:type="dxa" w:w="936"/>
          </w:tcPr>
          <w:p>
            <w:pPr>
              <w:spacing w:line="240" w:lineRule="auto" w:after="0"/>
            </w:pPr>
            <w:r>
              <w:rPr>
                <w:rFonts w:ascii="Times New Roman" w:hAnsi="Times New Roman"/>
                <w:sz w:val="15"/>
              </w:rPr>
            </w:r>
            <w:r>
              <w:rPr>
                <w:rFonts w:ascii="Times New Roman" w:hAnsi="Times New Roman"/>
                <w:sz w:val="15"/>
              </w:rPr>
              <w:t>-0.0005</w:t>
            </w:r>
          </w:p>
        </w:tc>
        <w:tc>
          <w:tcPr>
            <w:tcW w:type="dxa" w:w="936"/>
          </w:tcPr>
          <w:p>
            <w:pPr>
              <w:spacing w:line="240" w:lineRule="auto" w:after="0"/>
            </w:pPr>
            <w:r>
              <w:rPr>
                <w:rFonts w:ascii="Times New Roman" w:hAnsi="Times New Roman"/>
                <w:sz w:val="15"/>
              </w:rPr>
            </w:r>
            <w:r>
              <w:rPr>
                <w:rFonts w:ascii="Times New Roman" w:hAnsi="Times New Roman"/>
                <w:sz w:val="15"/>
              </w:rPr>
              <w:t>0.0020 (0.0013)</w:t>
            </w:r>
          </w:p>
        </w:tc>
        <w:tc>
          <w:tcPr>
            <w:tcW w:type="dxa" w:w="936"/>
          </w:tcPr>
          <w:p>
            <w:pPr>
              <w:spacing w:line="240" w:lineRule="auto" w:after="0"/>
            </w:pPr>
            <w:r>
              <w:rPr>
                <w:rFonts w:ascii="Times New Roman" w:hAnsi="Times New Roman"/>
                <w:sz w:val="15"/>
              </w:rPr>
            </w:r>
            <w:r>
              <w:rPr>
                <w:rFonts w:ascii="Times New Roman" w:hAnsi="Times New Roman"/>
                <w:sz w:val="15"/>
              </w:rPr>
              <w:t>0.0291</w:t>
            </w:r>
          </w:p>
        </w:tc>
        <w:tc>
          <w:tcPr>
            <w:tcW w:type="dxa" w:w="936"/>
          </w:tcPr>
          <w:p>
            <w:pPr>
              <w:spacing w:line="240" w:lineRule="auto" w:after="0"/>
            </w:pPr>
            <w:r>
              <w:rPr>
                <w:rFonts w:ascii="Times New Roman" w:hAnsi="Times New Roman"/>
                <w:sz w:val="15"/>
              </w:rPr>
            </w:r>
            <w:r>
              <w:rPr>
                <w:rFonts w:ascii="Times New Roman" w:hAnsi="Times New Roman"/>
                <w:sz w:val="15"/>
              </w:rPr>
              <w:t>0.0297</w:t>
            </w:r>
          </w:p>
        </w:tc>
        <w:tc>
          <w:tcPr>
            <w:tcW w:type="dxa" w:w="936"/>
          </w:tcPr>
          <w:p>
            <w:pPr>
              <w:spacing w:line="240" w:lineRule="auto" w:after="0"/>
            </w:pPr>
            <w:r>
              <w:rPr>
                <w:rFonts w:ascii="Times New Roman" w:hAnsi="Times New Roman"/>
                <w:sz w:val="15"/>
              </w:rPr>
            </w:r>
            <w:r>
              <w:rPr>
                <w:rFonts w:ascii="Times New Roman" w:hAnsi="Times New Roman"/>
                <w:sz w:val="15"/>
              </w:rPr>
              <w:t>1.018</w:t>
            </w:r>
          </w:p>
        </w:tc>
        <w:tc>
          <w:tcPr>
            <w:tcW w:type="dxa" w:w="936"/>
          </w:tcPr>
          <w:p>
            <w:pPr>
              <w:spacing w:line="240" w:lineRule="auto" w:after="0"/>
            </w:pPr>
            <w:r>
              <w:rPr>
                <w:rFonts w:ascii="Times New Roman" w:hAnsi="Times New Roman"/>
                <w:sz w:val="15"/>
              </w:rPr>
            </w:r>
            <w:r>
              <w:rPr>
                <w:rFonts w:ascii="Times New Roman" w:hAnsi="Times New Roman"/>
                <w:sz w:val="15"/>
              </w:rPr>
              <w:t>96.2 (0.9)</w:t>
            </w:r>
          </w:p>
        </w:tc>
        <w:tc>
          <w:tcPr>
            <w:tcW w:type="dxa" w:w="936"/>
          </w:tcPr>
          <w:p>
            <w:pPr>
              <w:spacing w:line="240" w:lineRule="auto" w:after="0"/>
            </w:pPr>
            <w:r>
              <w:rPr>
                <w:rFonts w:ascii="Times New Roman" w:hAnsi="Times New Roman"/>
                <w:sz w:val="15"/>
              </w:rPr>
            </w:r>
            <w:r>
              <w:rPr>
                <w:rFonts w:ascii="Times New Roman" w:hAnsi="Times New Roman"/>
                <w:sz w:val="15"/>
              </w:rPr>
              <w:t>3.6 (0.8)</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N</w:t>
            </w:r>
          </w:p>
        </w:tc>
        <w:tc>
          <w:tcPr>
            <w:tcW w:type="dxa" w:w="936"/>
          </w:tcPr>
          <w:p>
            <w:pPr>
              <w:spacing w:line="240" w:lineRule="auto" w:after="0"/>
            </w:pPr>
            <w:r>
              <w:rPr>
                <w:rFonts w:ascii="Times New Roman" w:hAnsi="Times New Roman"/>
                <w:sz w:val="15"/>
              </w:rPr>
            </w:r>
            <w:r>
              <w:rPr>
                <w:rFonts w:ascii="Times New Roman" w:hAnsi="Times New Roman"/>
                <w:sz w:val="15"/>
              </w:rPr>
              <w:t>Interval-censored Weibull</w:t>
            </w:r>
          </w:p>
        </w:tc>
        <w:tc>
          <w:tcPr>
            <w:tcW w:type="dxa" w:w="936"/>
          </w:tcPr>
          <w:p>
            <w:pPr>
              <w:spacing w:line="240" w:lineRule="auto" w:after="0"/>
            </w:pPr>
            <w:r>
              <w:rPr>
                <w:rFonts w:ascii="Times New Roman" w:hAnsi="Times New Roman"/>
                <w:sz w:val="15"/>
              </w:rPr>
            </w:r>
            <w:r>
              <w:rPr>
                <w:rFonts w:ascii="Times New Roman" w:hAnsi="Times New Roman"/>
                <w:sz w:val="15"/>
              </w:rPr>
              <w:t>-0.0025</w:t>
            </w:r>
          </w:p>
        </w:tc>
        <w:tc>
          <w:tcPr>
            <w:tcW w:type="dxa" w:w="936"/>
          </w:tcPr>
          <w:p>
            <w:pPr>
              <w:spacing w:line="240" w:lineRule="auto" w:after="0"/>
            </w:pPr>
            <w:r>
              <w:rPr>
                <w:rFonts w:ascii="Times New Roman" w:hAnsi="Times New Roman"/>
                <w:sz w:val="15"/>
              </w:rPr>
            </w:r>
            <w:r>
              <w:rPr>
                <w:rFonts w:ascii="Times New Roman" w:hAnsi="Times New Roman"/>
                <w:sz w:val="15"/>
              </w:rPr>
              <w:t>0.0009</w:t>
            </w:r>
          </w:p>
        </w:tc>
        <w:tc>
          <w:tcPr>
            <w:tcW w:type="dxa" w:w="936"/>
          </w:tcPr>
          <w:p>
            <w:pPr>
              <w:spacing w:line="240" w:lineRule="auto" w:after="0"/>
            </w:pPr>
            <w:r>
              <w:rPr>
                <w:rFonts w:ascii="Times New Roman" w:hAnsi="Times New Roman"/>
                <w:sz w:val="15"/>
              </w:rPr>
            </w:r>
            <w:r>
              <w:rPr>
                <w:rFonts w:ascii="Times New Roman" w:hAnsi="Times New Roman"/>
                <w:sz w:val="15"/>
              </w:rPr>
              <w:t>0.0034 (0.0012)</w:t>
            </w:r>
          </w:p>
        </w:tc>
        <w:tc>
          <w:tcPr>
            <w:tcW w:type="dxa" w:w="936"/>
          </w:tcPr>
          <w:p>
            <w:pPr>
              <w:spacing w:line="240" w:lineRule="auto" w:after="0"/>
            </w:pPr>
            <w:r>
              <w:rPr>
                <w:rFonts w:ascii="Times New Roman" w:hAnsi="Times New Roman"/>
                <w:sz w:val="15"/>
              </w:rPr>
            </w:r>
            <w:r>
              <w:rPr>
                <w:rFonts w:ascii="Times New Roman" w:hAnsi="Times New Roman"/>
                <w:sz w:val="15"/>
              </w:rPr>
              <w:t>0.0263</w:t>
            </w:r>
          </w:p>
        </w:tc>
        <w:tc>
          <w:tcPr>
            <w:tcW w:type="dxa" w:w="936"/>
          </w:tcPr>
          <w:p>
            <w:pPr>
              <w:spacing w:line="240" w:lineRule="auto" w:after="0"/>
            </w:pPr>
            <w:r>
              <w:rPr>
                <w:rFonts w:ascii="Times New Roman" w:hAnsi="Times New Roman"/>
                <w:sz w:val="15"/>
              </w:rPr>
            </w:r>
            <w:r>
              <w:rPr>
                <w:rFonts w:ascii="Times New Roman" w:hAnsi="Times New Roman"/>
                <w:sz w:val="15"/>
              </w:rPr>
              <w:t>0.0309</w:t>
            </w:r>
          </w:p>
        </w:tc>
        <w:tc>
          <w:tcPr>
            <w:tcW w:type="dxa" w:w="936"/>
          </w:tcPr>
          <w:p>
            <w:pPr>
              <w:spacing w:line="240" w:lineRule="auto" w:after="0"/>
            </w:pPr>
            <w:r>
              <w:rPr>
                <w:rFonts w:ascii="Times New Roman" w:hAnsi="Times New Roman"/>
                <w:sz w:val="15"/>
              </w:rPr>
            </w:r>
            <w:r>
              <w:rPr>
                <w:rFonts w:ascii="Times New Roman" w:hAnsi="Times New Roman"/>
                <w:sz w:val="15"/>
              </w:rPr>
              <w:t>1.177</w:t>
            </w:r>
          </w:p>
        </w:tc>
        <w:tc>
          <w:tcPr>
            <w:tcW w:type="dxa" w:w="936"/>
          </w:tcPr>
          <w:p>
            <w:pPr>
              <w:spacing w:line="240" w:lineRule="auto" w:after="0"/>
            </w:pPr>
            <w:r>
              <w:rPr>
                <w:rFonts w:ascii="Times New Roman" w:hAnsi="Times New Roman"/>
                <w:sz w:val="15"/>
              </w:rPr>
            </w:r>
            <w:r>
              <w:rPr>
                <w:rFonts w:ascii="Times New Roman" w:hAnsi="Times New Roman"/>
                <w:sz w:val="15"/>
              </w:rPr>
              <w:t>97.4 (0.7)</w:t>
            </w:r>
          </w:p>
        </w:tc>
        <w:tc>
          <w:tcPr>
            <w:tcW w:type="dxa" w:w="936"/>
          </w:tcPr>
          <w:p>
            <w:pPr>
              <w:spacing w:line="240" w:lineRule="auto" w:after="0"/>
            </w:pPr>
            <w:r>
              <w:rPr>
                <w:rFonts w:ascii="Times New Roman" w:hAnsi="Times New Roman"/>
                <w:sz w:val="15"/>
              </w:rPr>
            </w:r>
            <w:r>
              <w:rPr>
                <w:rFonts w:ascii="Times New Roman" w:hAnsi="Times New Roman"/>
                <w:sz w:val="15"/>
              </w:rPr>
              <w:t>2.6 (0.7)</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A</w:t>
            </w:r>
          </w:p>
        </w:tc>
        <w:tc>
          <w:tcPr>
            <w:tcW w:type="dxa" w:w="936"/>
          </w:tcPr>
          <w:p>
            <w:pPr>
              <w:spacing w:line="240" w:lineRule="auto" w:after="0"/>
            </w:pPr>
            <w:r>
              <w:rPr>
                <w:rFonts w:ascii="Times New Roman" w:hAnsi="Times New Roman"/>
                <w:sz w:val="15"/>
              </w:rPr>
            </w:r>
            <w:r>
              <w:rPr>
                <w:rFonts w:ascii="Times New Roman" w:hAnsi="Times New Roman"/>
                <w:sz w:val="15"/>
              </w:rPr>
              <w:t>Naive Cox</w:t>
            </w:r>
          </w:p>
        </w:tc>
        <w:tc>
          <w:tcPr>
            <w:tcW w:type="dxa" w:w="936"/>
          </w:tcPr>
          <w:p>
            <w:pPr>
              <w:spacing w:line="240" w:lineRule="auto" w:after="0"/>
            </w:pPr>
            <w:r>
              <w:rPr>
                <w:rFonts w:ascii="Times New Roman" w:hAnsi="Times New Roman"/>
                <w:sz w:val="15"/>
              </w:rPr>
            </w:r>
            <w:r>
              <w:rPr>
                <w:rFonts w:ascii="Times New Roman" w:hAnsi="Times New Roman"/>
                <w:sz w:val="15"/>
              </w:rPr>
              <w:t>-0.0024</w:t>
            </w:r>
          </w:p>
        </w:tc>
        <w:tc>
          <w:tcPr>
            <w:tcW w:type="dxa" w:w="936"/>
          </w:tcPr>
          <w:p>
            <w:pPr>
              <w:spacing w:line="240" w:lineRule="auto" w:after="0"/>
            </w:pPr>
            <w:r>
              <w:rPr>
                <w:rFonts w:ascii="Times New Roman" w:hAnsi="Times New Roman"/>
                <w:sz w:val="15"/>
              </w:rPr>
            </w:r>
            <w:r>
              <w:rPr>
                <w:rFonts w:ascii="Times New Roman" w:hAnsi="Times New Roman"/>
                <w:sz w:val="15"/>
              </w:rPr>
              <w:t>0.3667</w:t>
            </w:r>
          </w:p>
        </w:tc>
        <w:tc>
          <w:tcPr>
            <w:tcW w:type="dxa" w:w="936"/>
          </w:tcPr>
          <w:p>
            <w:pPr>
              <w:spacing w:line="240" w:lineRule="auto" w:after="0"/>
            </w:pPr>
            <w:r>
              <w:rPr>
                <w:rFonts w:ascii="Times New Roman" w:hAnsi="Times New Roman"/>
                <w:sz w:val="15"/>
              </w:rPr>
            </w:r>
            <w:r>
              <w:rPr>
                <w:rFonts w:ascii="Times New Roman" w:hAnsi="Times New Roman"/>
                <w:sz w:val="15"/>
              </w:rPr>
              <w:t>0.3691 (0.0014)</w:t>
            </w:r>
          </w:p>
        </w:tc>
        <w:tc>
          <w:tcPr>
            <w:tcW w:type="dxa" w:w="936"/>
          </w:tcPr>
          <w:p>
            <w:pPr>
              <w:spacing w:line="240" w:lineRule="auto" w:after="0"/>
            </w:pPr>
            <w:r>
              <w:rPr>
                <w:rFonts w:ascii="Times New Roman" w:hAnsi="Times New Roman"/>
                <w:sz w:val="15"/>
              </w:rPr>
            </w:r>
            <w:r>
              <w:rPr>
                <w:rFonts w:ascii="Times New Roman" w:hAnsi="Times New Roman"/>
                <w:sz w:val="15"/>
              </w:rPr>
              <w:t>0.0310</w:t>
            </w:r>
          </w:p>
        </w:tc>
        <w:tc>
          <w:tcPr>
            <w:tcW w:type="dxa" w:w="936"/>
          </w:tcPr>
          <w:p>
            <w:pPr>
              <w:spacing w:line="240" w:lineRule="auto" w:after="0"/>
            </w:pPr>
            <w:r>
              <w:rPr>
                <w:rFonts w:ascii="Times New Roman" w:hAnsi="Times New Roman"/>
                <w:sz w:val="15"/>
              </w:rPr>
            </w:r>
            <w:r>
              <w:rPr>
                <w:rFonts w:ascii="Times New Roman" w:hAnsi="Times New Roman"/>
                <w:sz w:val="15"/>
              </w:rPr>
              <w:t>0.0279</w:t>
            </w:r>
          </w:p>
        </w:tc>
        <w:tc>
          <w:tcPr>
            <w:tcW w:type="dxa" w:w="936"/>
          </w:tcPr>
          <w:p>
            <w:pPr>
              <w:spacing w:line="240" w:lineRule="auto" w:after="0"/>
            </w:pPr>
            <w:r>
              <w:rPr>
                <w:rFonts w:ascii="Times New Roman" w:hAnsi="Times New Roman"/>
                <w:sz w:val="15"/>
              </w:rPr>
            </w:r>
            <w:r>
              <w:rPr>
                <w:rFonts w:ascii="Times New Roman" w:hAnsi="Times New Roman"/>
                <w:sz w:val="15"/>
              </w:rPr>
              <w:t>0.900</w:t>
            </w:r>
          </w:p>
        </w:tc>
        <w:tc>
          <w:tcPr>
            <w:tcW w:type="dxa" w:w="936"/>
          </w:tcPr>
          <w:p>
            <w:pPr>
              <w:spacing w:line="240" w:lineRule="auto" w:after="0"/>
            </w:pPr>
            <w:r>
              <w:rPr>
                <w:rFonts w:ascii="Times New Roman" w:hAnsi="Times New Roman"/>
                <w:sz w:val="15"/>
              </w:rPr>
            </w:r>
            <w:r>
              <w:rPr>
                <w:rFonts w:ascii="Times New Roman" w:hAnsi="Times New Roman"/>
                <w:sz w:val="15"/>
              </w:rPr>
              <w:t>0.0 (0.0)</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A</w:t>
            </w:r>
          </w:p>
        </w:tc>
        <w:tc>
          <w:tcPr>
            <w:tcW w:type="dxa" w:w="936"/>
          </w:tcPr>
          <w:p>
            <w:pPr>
              <w:spacing w:line="240" w:lineRule="auto" w:after="0"/>
            </w:pPr>
            <w:r>
              <w:rPr>
                <w:rFonts w:ascii="Times New Roman" w:hAnsi="Times New Roman"/>
                <w:sz w:val="15"/>
              </w:rPr>
            </w:r>
            <w:r>
              <w:rPr>
                <w:rFonts w:ascii="Times New Roman" w:hAnsi="Times New Roman"/>
                <w:sz w:val="15"/>
              </w:rPr>
              <w:t>Landmark Cox</w:t>
            </w:r>
          </w:p>
        </w:tc>
        <w:tc>
          <w:tcPr>
            <w:tcW w:type="dxa" w:w="936"/>
          </w:tcPr>
          <w:p>
            <w:pPr>
              <w:spacing w:line="240" w:lineRule="auto" w:after="0"/>
            </w:pPr>
            <w:r>
              <w:rPr>
                <w:rFonts w:ascii="Times New Roman" w:hAnsi="Times New Roman"/>
                <w:sz w:val="15"/>
              </w:rPr>
            </w:r>
            <w:r>
              <w:rPr>
                <w:rFonts w:ascii="Times New Roman" w:hAnsi="Times New Roman"/>
                <w:sz w:val="15"/>
              </w:rPr>
              <w:t>-0.0024</w:t>
            </w:r>
          </w:p>
        </w:tc>
        <w:tc>
          <w:tcPr>
            <w:tcW w:type="dxa" w:w="936"/>
          </w:tcPr>
          <w:p>
            <w:pPr>
              <w:spacing w:line="240" w:lineRule="auto" w:after="0"/>
            </w:pPr>
            <w:r>
              <w:rPr>
                <w:rFonts w:ascii="Times New Roman" w:hAnsi="Times New Roman"/>
                <w:sz w:val="15"/>
              </w:rPr>
            </w:r>
            <w:r>
              <w:rPr>
                <w:rFonts w:ascii="Times New Roman" w:hAnsi="Times New Roman"/>
                <w:sz w:val="15"/>
              </w:rPr>
              <w:t>0.2095</w:t>
            </w:r>
          </w:p>
        </w:tc>
        <w:tc>
          <w:tcPr>
            <w:tcW w:type="dxa" w:w="936"/>
          </w:tcPr>
          <w:p>
            <w:pPr>
              <w:spacing w:line="240" w:lineRule="auto" w:after="0"/>
            </w:pPr>
            <w:r>
              <w:rPr>
                <w:rFonts w:ascii="Times New Roman" w:hAnsi="Times New Roman"/>
                <w:sz w:val="15"/>
              </w:rPr>
            </w:r>
            <w:r>
              <w:rPr>
                <w:rFonts w:ascii="Times New Roman" w:hAnsi="Times New Roman"/>
                <w:sz w:val="15"/>
              </w:rPr>
              <w:t>0.2119 (0.0016)</w:t>
            </w:r>
          </w:p>
        </w:tc>
        <w:tc>
          <w:tcPr>
            <w:tcW w:type="dxa" w:w="936"/>
          </w:tcPr>
          <w:p>
            <w:pPr>
              <w:spacing w:line="240" w:lineRule="auto" w:after="0"/>
            </w:pPr>
            <w:r>
              <w:rPr>
                <w:rFonts w:ascii="Times New Roman" w:hAnsi="Times New Roman"/>
                <w:sz w:val="15"/>
              </w:rPr>
            </w:r>
            <w:r>
              <w:rPr>
                <w:rFonts w:ascii="Times New Roman" w:hAnsi="Times New Roman"/>
                <w:sz w:val="15"/>
              </w:rPr>
              <w:t>0.0348</w:t>
            </w:r>
          </w:p>
        </w:tc>
        <w:tc>
          <w:tcPr>
            <w:tcW w:type="dxa" w:w="936"/>
          </w:tcPr>
          <w:p>
            <w:pPr>
              <w:spacing w:line="240" w:lineRule="auto" w:after="0"/>
            </w:pPr>
            <w:r>
              <w:rPr>
                <w:rFonts w:ascii="Times New Roman" w:hAnsi="Times New Roman"/>
                <w:sz w:val="15"/>
              </w:rPr>
            </w:r>
            <w:r>
              <w:rPr>
                <w:rFonts w:ascii="Times New Roman" w:hAnsi="Times New Roman"/>
                <w:sz w:val="15"/>
              </w:rPr>
              <w:t>0.0320</w:t>
            </w:r>
          </w:p>
        </w:tc>
        <w:tc>
          <w:tcPr>
            <w:tcW w:type="dxa" w:w="936"/>
          </w:tcPr>
          <w:p>
            <w:pPr>
              <w:spacing w:line="240" w:lineRule="auto" w:after="0"/>
            </w:pPr>
            <w:r>
              <w:rPr>
                <w:rFonts w:ascii="Times New Roman" w:hAnsi="Times New Roman"/>
                <w:sz w:val="15"/>
              </w:rPr>
            </w:r>
            <w:r>
              <w:rPr>
                <w:rFonts w:ascii="Times New Roman" w:hAnsi="Times New Roman"/>
                <w:sz w:val="15"/>
              </w:rPr>
              <w:t>0.919</w:t>
            </w:r>
          </w:p>
        </w:tc>
        <w:tc>
          <w:tcPr>
            <w:tcW w:type="dxa" w:w="936"/>
          </w:tcPr>
          <w:p>
            <w:pPr>
              <w:spacing w:line="240" w:lineRule="auto" w:after="0"/>
            </w:pPr>
            <w:r>
              <w:rPr>
                <w:rFonts w:ascii="Times New Roman" w:hAnsi="Times New Roman"/>
                <w:sz w:val="15"/>
              </w:rPr>
            </w:r>
            <w:r>
              <w:rPr>
                <w:rFonts w:ascii="Times New Roman" w:hAnsi="Times New Roman"/>
                <w:sz w:val="15"/>
              </w:rPr>
              <w:t>0.0 (0.0)</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A</w:t>
            </w:r>
          </w:p>
        </w:tc>
        <w:tc>
          <w:tcPr>
            <w:tcW w:type="dxa" w:w="936"/>
          </w:tcPr>
          <w:p>
            <w:pPr>
              <w:spacing w:line="240" w:lineRule="auto" w:after="0"/>
            </w:pPr>
            <w:r>
              <w:rPr>
                <w:rFonts w:ascii="Times New Roman" w:hAnsi="Times New Roman"/>
                <w:sz w:val="15"/>
              </w:rPr>
            </w:r>
            <w:r>
              <w:rPr>
                <w:rFonts w:ascii="Times New Roman" w:hAnsi="Times New Roman"/>
                <w:sz w:val="15"/>
              </w:rPr>
              <w:t>Interval-censored Weibull</w:t>
            </w:r>
          </w:p>
        </w:tc>
        <w:tc>
          <w:tcPr>
            <w:tcW w:type="dxa" w:w="936"/>
          </w:tcPr>
          <w:p>
            <w:pPr>
              <w:spacing w:line="240" w:lineRule="auto" w:after="0"/>
            </w:pPr>
            <w:r>
              <w:rPr>
                <w:rFonts w:ascii="Times New Roman" w:hAnsi="Times New Roman"/>
                <w:sz w:val="15"/>
              </w:rPr>
            </w:r>
            <w:r>
              <w:rPr>
                <w:rFonts w:ascii="Times New Roman" w:hAnsi="Times New Roman"/>
                <w:sz w:val="15"/>
              </w:rPr>
              <w:t>-0.0024</w:t>
            </w:r>
          </w:p>
        </w:tc>
        <w:tc>
          <w:tcPr>
            <w:tcW w:type="dxa" w:w="936"/>
          </w:tcPr>
          <w:p>
            <w:pPr>
              <w:spacing w:line="240" w:lineRule="auto" w:after="0"/>
            </w:pPr>
            <w:r>
              <w:rPr>
                <w:rFonts w:ascii="Times New Roman" w:hAnsi="Times New Roman"/>
                <w:sz w:val="15"/>
              </w:rPr>
            </w:r>
            <w:r>
              <w:rPr>
                <w:rFonts w:ascii="Times New Roman" w:hAnsi="Times New Roman"/>
                <w:sz w:val="15"/>
              </w:rPr>
              <w:t>0.2202</w:t>
            </w:r>
          </w:p>
        </w:tc>
        <w:tc>
          <w:tcPr>
            <w:tcW w:type="dxa" w:w="936"/>
          </w:tcPr>
          <w:p>
            <w:pPr>
              <w:spacing w:line="240" w:lineRule="auto" w:after="0"/>
            </w:pPr>
            <w:r>
              <w:rPr>
                <w:rFonts w:ascii="Times New Roman" w:hAnsi="Times New Roman"/>
                <w:sz w:val="15"/>
              </w:rPr>
            </w:r>
            <w:r>
              <w:rPr>
                <w:rFonts w:ascii="Times New Roman" w:hAnsi="Times New Roman"/>
                <w:sz w:val="15"/>
              </w:rPr>
              <w:t>0.2226 (0.0014)</w:t>
            </w:r>
          </w:p>
        </w:tc>
        <w:tc>
          <w:tcPr>
            <w:tcW w:type="dxa" w:w="936"/>
          </w:tcPr>
          <w:p>
            <w:pPr>
              <w:spacing w:line="240" w:lineRule="auto" w:after="0"/>
            </w:pPr>
            <w:r>
              <w:rPr>
                <w:rFonts w:ascii="Times New Roman" w:hAnsi="Times New Roman"/>
                <w:sz w:val="15"/>
              </w:rPr>
            </w:r>
            <w:r>
              <w:rPr>
                <w:rFonts w:ascii="Times New Roman" w:hAnsi="Times New Roman"/>
                <w:sz w:val="15"/>
              </w:rPr>
              <w:t>0.0323</w:t>
            </w:r>
          </w:p>
        </w:tc>
        <w:tc>
          <w:tcPr>
            <w:tcW w:type="dxa" w:w="936"/>
          </w:tcPr>
          <w:p>
            <w:pPr>
              <w:spacing w:line="240" w:lineRule="auto" w:after="0"/>
            </w:pPr>
            <w:r>
              <w:rPr>
                <w:rFonts w:ascii="Times New Roman" w:hAnsi="Times New Roman"/>
                <w:sz w:val="15"/>
              </w:rPr>
            </w:r>
            <w:r>
              <w:rPr>
                <w:rFonts w:ascii="Times New Roman" w:hAnsi="Times New Roman"/>
                <w:sz w:val="15"/>
              </w:rPr>
              <w:t>0.0342</w:t>
            </w:r>
          </w:p>
        </w:tc>
        <w:tc>
          <w:tcPr>
            <w:tcW w:type="dxa" w:w="936"/>
          </w:tcPr>
          <w:p>
            <w:pPr>
              <w:spacing w:line="240" w:lineRule="auto" w:after="0"/>
            </w:pPr>
            <w:r>
              <w:rPr>
                <w:rFonts w:ascii="Times New Roman" w:hAnsi="Times New Roman"/>
                <w:sz w:val="15"/>
              </w:rPr>
            </w:r>
            <w:r>
              <w:rPr>
                <w:rFonts w:ascii="Times New Roman" w:hAnsi="Times New Roman"/>
                <w:sz w:val="15"/>
              </w:rPr>
              <w:t>1.059</w:t>
            </w:r>
          </w:p>
        </w:tc>
        <w:tc>
          <w:tcPr>
            <w:tcW w:type="dxa" w:w="936"/>
          </w:tcPr>
          <w:p>
            <w:pPr>
              <w:spacing w:line="240" w:lineRule="auto" w:after="0"/>
            </w:pPr>
            <w:r>
              <w:rPr>
                <w:rFonts w:ascii="Times New Roman" w:hAnsi="Times New Roman"/>
                <w:sz w:val="15"/>
              </w:rPr>
            </w:r>
            <w:r>
              <w:rPr>
                <w:rFonts w:ascii="Times New Roman" w:hAnsi="Times New Roman"/>
                <w:sz w:val="15"/>
              </w:rPr>
              <w:t>0.0 (0.0)</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B</w:t>
            </w:r>
          </w:p>
        </w:tc>
        <w:tc>
          <w:tcPr>
            <w:tcW w:type="dxa" w:w="936"/>
          </w:tcPr>
          <w:p>
            <w:pPr>
              <w:spacing w:line="240" w:lineRule="auto" w:after="0"/>
            </w:pPr>
            <w:r>
              <w:rPr>
                <w:rFonts w:ascii="Times New Roman" w:hAnsi="Times New Roman"/>
                <w:sz w:val="15"/>
              </w:rPr>
            </w:r>
            <w:r>
              <w:rPr>
                <w:rFonts w:ascii="Times New Roman" w:hAnsi="Times New Roman"/>
                <w:sz w:val="15"/>
              </w:rPr>
              <w:t>Naive Cox</w:t>
            </w:r>
          </w:p>
        </w:tc>
        <w:tc>
          <w:tcPr>
            <w:tcW w:type="dxa" w:w="936"/>
          </w:tcPr>
          <w:p>
            <w:pPr>
              <w:spacing w:line="240" w:lineRule="auto" w:after="0"/>
            </w:pPr>
            <w:r>
              <w:rPr>
                <w:rFonts w:ascii="Times New Roman" w:hAnsi="Times New Roman"/>
                <w:sz w:val="15"/>
              </w:rPr>
            </w:r>
            <w:r>
              <w:rPr>
                <w:rFonts w:ascii="Times New Roman" w:hAnsi="Times New Roman"/>
                <w:sz w:val="15"/>
              </w:rPr>
              <w:t>0.3300</w:t>
            </w:r>
          </w:p>
        </w:tc>
        <w:tc>
          <w:tcPr>
            <w:tcW w:type="dxa" w:w="936"/>
          </w:tcPr>
          <w:p>
            <w:pPr>
              <w:spacing w:line="240" w:lineRule="auto" w:after="0"/>
            </w:pPr>
            <w:r>
              <w:rPr>
                <w:rFonts w:ascii="Times New Roman" w:hAnsi="Times New Roman"/>
                <w:sz w:val="15"/>
              </w:rPr>
            </w:r>
            <w:r>
              <w:rPr>
                <w:rFonts w:ascii="Times New Roman" w:hAnsi="Times New Roman"/>
                <w:sz w:val="15"/>
              </w:rPr>
              <w:t>0.5385</w:t>
            </w:r>
          </w:p>
        </w:tc>
        <w:tc>
          <w:tcPr>
            <w:tcW w:type="dxa" w:w="936"/>
          </w:tcPr>
          <w:p>
            <w:pPr>
              <w:spacing w:line="240" w:lineRule="auto" w:after="0"/>
            </w:pPr>
            <w:r>
              <w:rPr>
                <w:rFonts w:ascii="Times New Roman" w:hAnsi="Times New Roman"/>
                <w:sz w:val="15"/>
              </w:rPr>
            </w:r>
            <w:r>
              <w:rPr>
                <w:rFonts w:ascii="Times New Roman" w:hAnsi="Times New Roman"/>
                <w:sz w:val="15"/>
              </w:rPr>
              <w:t>0.2085 (0.0014)</w:t>
            </w:r>
          </w:p>
        </w:tc>
        <w:tc>
          <w:tcPr>
            <w:tcW w:type="dxa" w:w="936"/>
          </w:tcPr>
          <w:p>
            <w:pPr>
              <w:spacing w:line="240" w:lineRule="auto" w:after="0"/>
            </w:pPr>
            <w:r>
              <w:rPr>
                <w:rFonts w:ascii="Times New Roman" w:hAnsi="Times New Roman"/>
                <w:sz w:val="15"/>
              </w:rPr>
            </w:r>
            <w:r>
              <w:rPr>
                <w:rFonts w:ascii="Times New Roman" w:hAnsi="Times New Roman"/>
                <w:sz w:val="15"/>
              </w:rPr>
              <w:t>0.0320</w:t>
            </w:r>
          </w:p>
        </w:tc>
        <w:tc>
          <w:tcPr>
            <w:tcW w:type="dxa" w:w="936"/>
          </w:tcPr>
          <w:p>
            <w:pPr>
              <w:spacing w:line="240" w:lineRule="auto" w:after="0"/>
            </w:pPr>
            <w:r>
              <w:rPr>
                <w:rFonts w:ascii="Times New Roman" w:hAnsi="Times New Roman"/>
                <w:sz w:val="15"/>
              </w:rPr>
            </w:r>
            <w:r>
              <w:rPr>
                <w:rFonts w:ascii="Times New Roman" w:hAnsi="Times New Roman"/>
                <w:sz w:val="15"/>
              </w:rPr>
              <w:t>0.0284</w:t>
            </w:r>
          </w:p>
        </w:tc>
        <w:tc>
          <w:tcPr>
            <w:tcW w:type="dxa" w:w="936"/>
          </w:tcPr>
          <w:p>
            <w:pPr>
              <w:spacing w:line="240" w:lineRule="auto" w:after="0"/>
            </w:pPr>
            <w:r>
              <w:rPr>
                <w:rFonts w:ascii="Times New Roman" w:hAnsi="Times New Roman"/>
                <w:sz w:val="15"/>
              </w:rPr>
            </w:r>
            <w:r>
              <w:rPr>
                <w:rFonts w:ascii="Times New Roman" w:hAnsi="Times New Roman"/>
                <w:sz w:val="15"/>
              </w:rPr>
              <w:t>0.890</w:t>
            </w:r>
          </w:p>
        </w:tc>
        <w:tc>
          <w:tcPr>
            <w:tcW w:type="dxa" w:w="936"/>
          </w:tcPr>
          <w:p>
            <w:pPr>
              <w:spacing w:line="240" w:lineRule="auto" w:after="0"/>
            </w:pPr>
            <w:r>
              <w:rPr>
                <w:rFonts w:ascii="Times New Roman" w:hAnsi="Times New Roman"/>
                <w:sz w:val="15"/>
              </w:rPr>
            </w:r>
            <w:r>
              <w:rPr>
                <w:rFonts w:ascii="Times New Roman" w:hAnsi="Times New Roman"/>
                <w:sz w:val="15"/>
              </w:rPr>
              <w:t>0.0 (0.0)</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B</w:t>
            </w:r>
          </w:p>
        </w:tc>
        <w:tc>
          <w:tcPr>
            <w:tcW w:type="dxa" w:w="936"/>
          </w:tcPr>
          <w:p>
            <w:pPr>
              <w:spacing w:line="240" w:lineRule="auto" w:after="0"/>
            </w:pPr>
            <w:r>
              <w:rPr>
                <w:rFonts w:ascii="Times New Roman" w:hAnsi="Times New Roman"/>
                <w:sz w:val="15"/>
              </w:rPr>
            </w:r>
            <w:r>
              <w:rPr>
                <w:rFonts w:ascii="Times New Roman" w:hAnsi="Times New Roman"/>
                <w:sz w:val="15"/>
              </w:rPr>
              <w:t>Landmark Cox</w:t>
            </w:r>
          </w:p>
        </w:tc>
        <w:tc>
          <w:tcPr>
            <w:tcW w:type="dxa" w:w="936"/>
          </w:tcPr>
          <w:p>
            <w:pPr>
              <w:spacing w:line="240" w:lineRule="auto" w:after="0"/>
            </w:pPr>
            <w:r>
              <w:rPr>
                <w:rFonts w:ascii="Times New Roman" w:hAnsi="Times New Roman"/>
                <w:sz w:val="15"/>
              </w:rPr>
            </w:r>
            <w:r>
              <w:rPr>
                <w:rFonts w:ascii="Times New Roman" w:hAnsi="Times New Roman"/>
                <w:sz w:val="15"/>
              </w:rPr>
              <w:t>0.3300</w:t>
            </w:r>
          </w:p>
        </w:tc>
        <w:tc>
          <w:tcPr>
            <w:tcW w:type="dxa" w:w="936"/>
          </w:tcPr>
          <w:p>
            <w:pPr>
              <w:spacing w:line="240" w:lineRule="auto" w:after="0"/>
            </w:pPr>
            <w:r>
              <w:rPr>
                <w:rFonts w:ascii="Times New Roman" w:hAnsi="Times New Roman"/>
                <w:sz w:val="15"/>
              </w:rPr>
            </w:r>
            <w:r>
              <w:rPr>
                <w:rFonts w:ascii="Times New Roman" w:hAnsi="Times New Roman"/>
                <w:sz w:val="15"/>
              </w:rPr>
              <w:t>0.4406</w:t>
            </w:r>
          </w:p>
        </w:tc>
        <w:tc>
          <w:tcPr>
            <w:tcW w:type="dxa" w:w="936"/>
          </w:tcPr>
          <w:p>
            <w:pPr>
              <w:spacing w:line="240" w:lineRule="auto" w:after="0"/>
            </w:pPr>
            <w:r>
              <w:rPr>
                <w:rFonts w:ascii="Times New Roman" w:hAnsi="Times New Roman"/>
                <w:sz w:val="15"/>
              </w:rPr>
            </w:r>
            <w:r>
              <w:rPr>
                <w:rFonts w:ascii="Times New Roman" w:hAnsi="Times New Roman"/>
                <w:sz w:val="15"/>
              </w:rPr>
              <w:t>0.1106 (0.0016)</w:t>
            </w:r>
          </w:p>
        </w:tc>
        <w:tc>
          <w:tcPr>
            <w:tcW w:type="dxa" w:w="936"/>
          </w:tcPr>
          <w:p>
            <w:pPr>
              <w:spacing w:line="240" w:lineRule="auto" w:after="0"/>
            </w:pPr>
            <w:r>
              <w:rPr>
                <w:rFonts w:ascii="Times New Roman" w:hAnsi="Times New Roman"/>
                <w:sz w:val="15"/>
              </w:rPr>
            </w:r>
            <w:r>
              <w:rPr>
                <w:rFonts w:ascii="Times New Roman" w:hAnsi="Times New Roman"/>
                <w:sz w:val="15"/>
              </w:rPr>
              <w:t>0.0349</w:t>
            </w:r>
          </w:p>
        </w:tc>
        <w:tc>
          <w:tcPr>
            <w:tcW w:type="dxa" w:w="936"/>
          </w:tcPr>
          <w:p>
            <w:pPr>
              <w:spacing w:line="240" w:lineRule="auto" w:after="0"/>
            </w:pPr>
            <w:r>
              <w:rPr>
                <w:rFonts w:ascii="Times New Roman" w:hAnsi="Times New Roman"/>
                <w:sz w:val="15"/>
              </w:rPr>
            </w:r>
            <w:r>
              <w:rPr>
                <w:rFonts w:ascii="Times New Roman" w:hAnsi="Times New Roman"/>
                <w:sz w:val="15"/>
              </w:rPr>
              <w:t>0.0329</w:t>
            </w:r>
          </w:p>
        </w:tc>
        <w:tc>
          <w:tcPr>
            <w:tcW w:type="dxa" w:w="936"/>
          </w:tcPr>
          <w:p>
            <w:pPr>
              <w:spacing w:line="240" w:lineRule="auto" w:after="0"/>
            </w:pPr>
            <w:r>
              <w:rPr>
                <w:rFonts w:ascii="Times New Roman" w:hAnsi="Times New Roman"/>
                <w:sz w:val="15"/>
              </w:rPr>
            </w:r>
            <w:r>
              <w:rPr>
                <w:rFonts w:ascii="Times New Roman" w:hAnsi="Times New Roman"/>
                <w:sz w:val="15"/>
              </w:rPr>
              <w:t>0.942</w:t>
            </w:r>
          </w:p>
        </w:tc>
        <w:tc>
          <w:tcPr>
            <w:tcW w:type="dxa" w:w="936"/>
          </w:tcPr>
          <w:p>
            <w:pPr>
              <w:spacing w:line="240" w:lineRule="auto" w:after="0"/>
            </w:pPr>
            <w:r>
              <w:rPr>
                <w:rFonts w:ascii="Times New Roman" w:hAnsi="Times New Roman"/>
                <w:sz w:val="15"/>
              </w:rPr>
            </w:r>
            <w:r>
              <w:rPr>
                <w:rFonts w:ascii="Times New Roman" w:hAnsi="Times New Roman"/>
                <w:sz w:val="15"/>
              </w:rPr>
              <w:t>9.0 (1.3)</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B</w:t>
            </w:r>
          </w:p>
        </w:tc>
        <w:tc>
          <w:tcPr>
            <w:tcW w:type="dxa" w:w="936"/>
          </w:tcPr>
          <w:p>
            <w:pPr>
              <w:spacing w:line="240" w:lineRule="auto" w:after="0"/>
            </w:pPr>
            <w:r>
              <w:rPr>
                <w:rFonts w:ascii="Times New Roman" w:hAnsi="Times New Roman"/>
                <w:sz w:val="15"/>
              </w:rPr>
            </w:r>
            <w:r>
              <w:rPr>
                <w:rFonts w:ascii="Times New Roman" w:hAnsi="Times New Roman"/>
                <w:sz w:val="15"/>
              </w:rPr>
              <w:t>Interval-censored Weibull</w:t>
            </w:r>
          </w:p>
        </w:tc>
        <w:tc>
          <w:tcPr>
            <w:tcW w:type="dxa" w:w="936"/>
          </w:tcPr>
          <w:p>
            <w:pPr>
              <w:spacing w:line="240" w:lineRule="auto" w:after="0"/>
            </w:pPr>
            <w:r>
              <w:rPr>
                <w:rFonts w:ascii="Times New Roman" w:hAnsi="Times New Roman"/>
                <w:sz w:val="15"/>
              </w:rPr>
            </w:r>
            <w:r>
              <w:rPr>
                <w:rFonts w:ascii="Times New Roman" w:hAnsi="Times New Roman"/>
                <w:sz w:val="15"/>
              </w:rPr>
              <w:t>0.3300</w:t>
            </w:r>
          </w:p>
        </w:tc>
        <w:tc>
          <w:tcPr>
            <w:tcW w:type="dxa" w:w="936"/>
          </w:tcPr>
          <w:p>
            <w:pPr>
              <w:spacing w:line="240" w:lineRule="auto" w:after="0"/>
            </w:pPr>
            <w:r>
              <w:rPr>
                <w:rFonts w:ascii="Times New Roman" w:hAnsi="Times New Roman"/>
                <w:sz w:val="15"/>
              </w:rPr>
            </w:r>
            <w:r>
              <w:rPr>
                <w:rFonts w:ascii="Times New Roman" w:hAnsi="Times New Roman"/>
                <w:sz w:val="15"/>
              </w:rPr>
              <w:t>0.3250</w:t>
            </w:r>
          </w:p>
        </w:tc>
        <w:tc>
          <w:tcPr>
            <w:tcW w:type="dxa" w:w="936"/>
          </w:tcPr>
          <w:p>
            <w:pPr>
              <w:spacing w:line="240" w:lineRule="auto" w:after="0"/>
            </w:pPr>
            <w:r>
              <w:rPr>
                <w:rFonts w:ascii="Times New Roman" w:hAnsi="Times New Roman"/>
                <w:sz w:val="15"/>
              </w:rPr>
            </w:r>
            <w:r>
              <w:rPr>
                <w:rFonts w:ascii="Times New Roman" w:hAnsi="Times New Roman"/>
                <w:sz w:val="15"/>
              </w:rPr>
              <w:t>-0.0050 (0.0015)</w:t>
            </w:r>
          </w:p>
        </w:tc>
        <w:tc>
          <w:tcPr>
            <w:tcW w:type="dxa" w:w="936"/>
          </w:tcPr>
          <w:p>
            <w:pPr>
              <w:spacing w:line="240" w:lineRule="auto" w:after="0"/>
            </w:pPr>
            <w:r>
              <w:rPr>
                <w:rFonts w:ascii="Times New Roman" w:hAnsi="Times New Roman"/>
                <w:sz w:val="15"/>
              </w:rPr>
            </w:r>
            <w:r>
              <w:rPr>
                <w:rFonts w:ascii="Times New Roman" w:hAnsi="Times New Roman"/>
                <w:sz w:val="15"/>
              </w:rPr>
              <w:t>0.0338</w:t>
            </w:r>
          </w:p>
        </w:tc>
        <w:tc>
          <w:tcPr>
            <w:tcW w:type="dxa" w:w="936"/>
          </w:tcPr>
          <w:p>
            <w:pPr>
              <w:spacing w:line="240" w:lineRule="auto" w:after="0"/>
            </w:pPr>
            <w:r>
              <w:rPr>
                <w:rFonts w:ascii="Times New Roman" w:hAnsi="Times New Roman"/>
                <w:sz w:val="15"/>
              </w:rPr>
            </w:r>
            <w:r>
              <w:rPr>
                <w:rFonts w:ascii="Times New Roman" w:hAnsi="Times New Roman"/>
                <w:sz w:val="15"/>
              </w:rPr>
              <w:t>0.0367</w:t>
            </w:r>
          </w:p>
        </w:tc>
        <w:tc>
          <w:tcPr>
            <w:tcW w:type="dxa" w:w="936"/>
          </w:tcPr>
          <w:p>
            <w:pPr>
              <w:spacing w:line="240" w:lineRule="auto" w:after="0"/>
            </w:pPr>
            <w:r>
              <w:rPr>
                <w:rFonts w:ascii="Times New Roman" w:hAnsi="Times New Roman"/>
                <w:sz w:val="15"/>
              </w:rPr>
            </w:r>
            <w:r>
              <w:rPr>
                <w:rFonts w:ascii="Times New Roman" w:hAnsi="Times New Roman"/>
                <w:sz w:val="15"/>
              </w:rPr>
              <w:t>1.086</w:t>
            </w:r>
          </w:p>
        </w:tc>
        <w:tc>
          <w:tcPr>
            <w:tcW w:type="dxa" w:w="936"/>
          </w:tcPr>
          <w:p>
            <w:pPr>
              <w:spacing w:line="240" w:lineRule="auto" w:after="0"/>
            </w:pPr>
            <w:r>
              <w:rPr>
                <w:rFonts w:ascii="Times New Roman" w:hAnsi="Times New Roman"/>
                <w:sz w:val="15"/>
              </w:rPr>
            </w:r>
            <w:r>
              <w:rPr>
                <w:rFonts w:ascii="Times New Roman" w:hAnsi="Times New Roman"/>
                <w:sz w:val="15"/>
              </w:rPr>
              <w:t>95.6 (0.9)</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C</w:t>
            </w:r>
          </w:p>
        </w:tc>
        <w:tc>
          <w:tcPr>
            <w:tcW w:type="dxa" w:w="936"/>
          </w:tcPr>
          <w:p>
            <w:pPr>
              <w:spacing w:line="240" w:lineRule="auto" w:after="0"/>
            </w:pPr>
            <w:r>
              <w:rPr>
                <w:rFonts w:ascii="Times New Roman" w:hAnsi="Times New Roman"/>
                <w:sz w:val="15"/>
              </w:rPr>
            </w:r>
            <w:r>
              <w:rPr>
                <w:rFonts w:ascii="Times New Roman" w:hAnsi="Times New Roman"/>
                <w:sz w:val="15"/>
              </w:rPr>
              <w:t>Naive Cox</w:t>
            </w:r>
          </w:p>
        </w:tc>
        <w:tc>
          <w:tcPr>
            <w:tcW w:type="dxa" w:w="936"/>
          </w:tcPr>
          <w:p>
            <w:pPr>
              <w:spacing w:line="240" w:lineRule="auto" w:after="0"/>
            </w:pPr>
            <w:r>
              <w:rPr>
                <w:rFonts w:ascii="Times New Roman" w:hAnsi="Times New Roman"/>
                <w:sz w:val="15"/>
              </w:rPr>
            </w:r>
            <w:r>
              <w:rPr>
                <w:rFonts w:ascii="Times New Roman" w:hAnsi="Times New Roman"/>
                <w:sz w:val="15"/>
              </w:rPr>
              <w:t>0.0014</w:t>
            </w:r>
          </w:p>
        </w:tc>
        <w:tc>
          <w:tcPr>
            <w:tcW w:type="dxa" w:w="936"/>
          </w:tcPr>
          <w:p>
            <w:pPr>
              <w:spacing w:line="240" w:lineRule="auto" w:after="0"/>
            </w:pPr>
            <w:r>
              <w:rPr>
                <w:rFonts w:ascii="Times New Roman" w:hAnsi="Times New Roman"/>
                <w:sz w:val="15"/>
              </w:rPr>
            </w:r>
            <w:r>
              <w:rPr>
                <w:rFonts w:ascii="Times New Roman" w:hAnsi="Times New Roman"/>
                <w:sz w:val="15"/>
              </w:rPr>
              <w:t>0.1175</w:t>
            </w:r>
          </w:p>
        </w:tc>
        <w:tc>
          <w:tcPr>
            <w:tcW w:type="dxa" w:w="936"/>
          </w:tcPr>
          <w:p>
            <w:pPr>
              <w:spacing w:line="240" w:lineRule="auto" w:after="0"/>
            </w:pPr>
            <w:r>
              <w:rPr>
                <w:rFonts w:ascii="Times New Roman" w:hAnsi="Times New Roman"/>
                <w:sz w:val="15"/>
              </w:rPr>
            </w:r>
            <w:r>
              <w:rPr>
                <w:rFonts w:ascii="Times New Roman" w:hAnsi="Times New Roman"/>
                <w:sz w:val="15"/>
              </w:rPr>
              <w:t>0.1161 (0.0011)</w:t>
            </w:r>
          </w:p>
        </w:tc>
        <w:tc>
          <w:tcPr>
            <w:tcW w:type="dxa" w:w="936"/>
          </w:tcPr>
          <w:p>
            <w:pPr>
              <w:spacing w:line="240" w:lineRule="auto" w:after="0"/>
            </w:pPr>
            <w:r>
              <w:rPr>
                <w:rFonts w:ascii="Times New Roman" w:hAnsi="Times New Roman"/>
                <w:sz w:val="15"/>
              </w:rPr>
            </w:r>
            <w:r>
              <w:rPr>
                <w:rFonts w:ascii="Times New Roman" w:hAnsi="Times New Roman"/>
                <w:sz w:val="15"/>
              </w:rPr>
              <w:t>0.0249</w:t>
            </w:r>
          </w:p>
        </w:tc>
        <w:tc>
          <w:tcPr>
            <w:tcW w:type="dxa" w:w="936"/>
          </w:tcPr>
          <w:p>
            <w:pPr>
              <w:spacing w:line="240" w:lineRule="auto" w:after="0"/>
            </w:pPr>
            <w:r>
              <w:rPr>
                <w:rFonts w:ascii="Times New Roman" w:hAnsi="Times New Roman"/>
                <w:sz w:val="15"/>
              </w:rPr>
            </w:r>
            <w:r>
              <w:rPr>
                <w:rFonts w:ascii="Times New Roman" w:hAnsi="Times New Roman"/>
                <w:sz w:val="15"/>
              </w:rPr>
              <w:t>0.0262</w:t>
            </w:r>
          </w:p>
        </w:tc>
        <w:tc>
          <w:tcPr>
            <w:tcW w:type="dxa" w:w="936"/>
          </w:tcPr>
          <w:p>
            <w:pPr>
              <w:spacing w:line="240" w:lineRule="auto" w:after="0"/>
            </w:pPr>
            <w:r>
              <w:rPr>
                <w:rFonts w:ascii="Times New Roman" w:hAnsi="Times New Roman"/>
                <w:sz w:val="15"/>
              </w:rPr>
            </w:r>
            <w:r>
              <w:rPr>
                <w:rFonts w:ascii="Times New Roman" w:hAnsi="Times New Roman"/>
                <w:sz w:val="15"/>
              </w:rPr>
              <w:t>1.052</w:t>
            </w:r>
          </w:p>
        </w:tc>
        <w:tc>
          <w:tcPr>
            <w:tcW w:type="dxa" w:w="936"/>
          </w:tcPr>
          <w:p>
            <w:pPr>
              <w:spacing w:line="240" w:lineRule="auto" w:after="0"/>
            </w:pPr>
            <w:r>
              <w:rPr>
                <w:rFonts w:ascii="Times New Roman" w:hAnsi="Times New Roman"/>
                <w:sz w:val="15"/>
              </w:rPr>
            </w:r>
            <w:r>
              <w:rPr>
                <w:rFonts w:ascii="Times New Roman" w:hAnsi="Times New Roman"/>
                <w:sz w:val="15"/>
              </w:rPr>
              <w:t>0.2 (0.2)</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C</w:t>
            </w:r>
          </w:p>
        </w:tc>
        <w:tc>
          <w:tcPr>
            <w:tcW w:type="dxa" w:w="936"/>
          </w:tcPr>
          <w:p>
            <w:pPr>
              <w:spacing w:line="240" w:lineRule="auto" w:after="0"/>
            </w:pPr>
            <w:r>
              <w:rPr>
                <w:rFonts w:ascii="Times New Roman" w:hAnsi="Times New Roman"/>
                <w:sz w:val="15"/>
              </w:rPr>
            </w:r>
            <w:r>
              <w:rPr>
                <w:rFonts w:ascii="Times New Roman" w:hAnsi="Times New Roman"/>
                <w:sz w:val="15"/>
              </w:rPr>
              <w:t>Landmark Cox</w:t>
            </w:r>
          </w:p>
        </w:tc>
        <w:tc>
          <w:tcPr>
            <w:tcW w:type="dxa" w:w="936"/>
          </w:tcPr>
          <w:p>
            <w:pPr>
              <w:spacing w:line="240" w:lineRule="auto" w:after="0"/>
            </w:pPr>
            <w:r>
              <w:rPr>
                <w:rFonts w:ascii="Times New Roman" w:hAnsi="Times New Roman"/>
                <w:sz w:val="15"/>
              </w:rPr>
            </w:r>
            <w:r>
              <w:rPr>
                <w:rFonts w:ascii="Times New Roman" w:hAnsi="Times New Roman"/>
                <w:sz w:val="15"/>
              </w:rPr>
              <w:t>0.0014</w:t>
            </w:r>
          </w:p>
        </w:tc>
        <w:tc>
          <w:tcPr>
            <w:tcW w:type="dxa" w:w="936"/>
          </w:tcPr>
          <w:p>
            <w:pPr>
              <w:spacing w:line="240" w:lineRule="auto" w:after="0"/>
            </w:pPr>
            <w:r>
              <w:rPr>
                <w:rFonts w:ascii="Times New Roman" w:hAnsi="Times New Roman"/>
                <w:sz w:val="15"/>
              </w:rPr>
            </w:r>
            <w:r>
              <w:rPr>
                <w:rFonts w:ascii="Times New Roman" w:hAnsi="Times New Roman"/>
                <w:sz w:val="15"/>
              </w:rPr>
              <w:t>0.0704</w:t>
            </w:r>
          </w:p>
        </w:tc>
        <w:tc>
          <w:tcPr>
            <w:tcW w:type="dxa" w:w="936"/>
          </w:tcPr>
          <w:p>
            <w:pPr>
              <w:spacing w:line="240" w:lineRule="auto" w:after="0"/>
            </w:pPr>
            <w:r>
              <w:rPr>
                <w:rFonts w:ascii="Times New Roman" w:hAnsi="Times New Roman"/>
                <w:sz w:val="15"/>
              </w:rPr>
            </w:r>
            <w:r>
              <w:rPr>
                <w:rFonts w:ascii="Times New Roman" w:hAnsi="Times New Roman"/>
                <w:sz w:val="15"/>
              </w:rPr>
              <w:t>0.0690 (0.0013)</w:t>
            </w:r>
          </w:p>
        </w:tc>
        <w:tc>
          <w:tcPr>
            <w:tcW w:type="dxa" w:w="936"/>
          </w:tcPr>
          <w:p>
            <w:pPr>
              <w:spacing w:line="240" w:lineRule="auto" w:after="0"/>
            </w:pPr>
            <w:r>
              <w:rPr>
                <w:rFonts w:ascii="Times New Roman" w:hAnsi="Times New Roman"/>
                <w:sz w:val="15"/>
              </w:rPr>
            </w:r>
            <w:r>
              <w:rPr>
                <w:rFonts w:ascii="Times New Roman" w:hAnsi="Times New Roman"/>
                <w:sz w:val="15"/>
              </w:rPr>
              <w:t>0.0281</w:t>
            </w:r>
          </w:p>
        </w:tc>
        <w:tc>
          <w:tcPr>
            <w:tcW w:type="dxa" w:w="936"/>
          </w:tcPr>
          <w:p>
            <w:pPr>
              <w:spacing w:line="240" w:lineRule="auto" w:after="0"/>
            </w:pPr>
            <w:r>
              <w:rPr>
                <w:rFonts w:ascii="Times New Roman" w:hAnsi="Times New Roman"/>
                <w:sz w:val="15"/>
              </w:rPr>
            </w:r>
            <w:r>
              <w:rPr>
                <w:rFonts w:ascii="Times New Roman" w:hAnsi="Times New Roman"/>
                <w:sz w:val="15"/>
              </w:rPr>
              <w:t>0.0300</w:t>
            </w:r>
          </w:p>
        </w:tc>
        <w:tc>
          <w:tcPr>
            <w:tcW w:type="dxa" w:w="936"/>
          </w:tcPr>
          <w:p>
            <w:pPr>
              <w:spacing w:line="240" w:lineRule="auto" w:after="0"/>
            </w:pPr>
            <w:r>
              <w:rPr>
                <w:rFonts w:ascii="Times New Roman" w:hAnsi="Times New Roman"/>
                <w:sz w:val="15"/>
              </w:rPr>
            </w:r>
            <w:r>
              <w:rPr>
                <w:rFonts w:ascii="Times New Roman" w:hAnsi="Times New Roman"/>
                <w:sz w:val="15"/>
              </w:rPr>
              <w:t>1.068</w:t>
            </w:r>
          </w:p>
        </w:tc>
        <w:tc>
          <w:tcPr>
            <w:tcW w:type="dxa" w:w="936"/>
          </w:tcPr>
          <w:p>
            <w:pPr>
              <w:spacing w:line="240" w:lineRule="auto" w:after="0"/>
            </w:pPr>
            <w:r>
              <w:rPr>
                <w:rFonts w:ascii="Times New Roman" w:hAnsi="Times New Roman"/>
                <w:sz w:val="15"/>
              </w:rPr>
            </w:r>
            <w:r>
              <w:rPr>
                <w:rFonts w:ascii="Times New Roman" w:hAnsi="Times New Roman"/>
                <w:sz w:val="15"/>
              </w:rPr>
              <w:t>35.2 (2.1)</w:t>
            </w:r>
          </w:p>
        </w:tc>
        <w:tc>
          <w:tcPr>
            <w:tcW w:type="dxa" w:w="936"/>
          </w:tcPr>
          <w:p>
            <w:pPr>
              <w:spacing w:line="240" w:lineRule="auto" w:after="0"/>
            </w:pPr>
            <w:r>
              <w:rPr>
                <w:rFonts w:ascii="Times New Roman" w:hAnsi="Times New Roman"/>
                <w:sz w:val="15"/>
              </w:rPr>
            </w:r>
            <w:r>
              <w:rPr>
                <w:rFonts w:ascii="Times New Roman" w:hAnsi="Times New Roman"/>
                <w:sz w:val="15"/>
              </w:rPr>
              <w:t>67.4 (2.1)</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C</w:t>
            </w:r>
          </w:p>
        </w:tc>
        <w:tc>
          <w:tcPr>
            <w:tcW w:type="dxa" w:w="936"/>
          </w:tcPr>
          <w:p>
            <w:pPr>
              <w:spacing w:line="240" w:lineRule="auto" w:after="0"/>
            </w:pPr>
            <w:r>
              <w:rPr>
                <w:rFonts w:ascii="Times New Roman" w:hAnsi="Times New Roman"/>
                <w:sz w:val="15"/>
              </w:rPr>
            </w:r>
            <w:r>
              <w:rPr>
                <w:rFonts w:ascii="Times New Roman" w:hAnsi="Times New Roman"/>
                <w:sz w:val="15"/>
              </w:rPr>
              <w:t>Interval-censored Weibull</w:t>
            </w:r>
          </w:p>
        </w:tc>
        <w:tc>
          <w:tcPr>
            <w:tcW w:type="dxa" w:w="936"/>
          </w:tcPr>
          <w:p>
            <w:pPr>
              <w:spacing w:line="240" w:lineRule="auto" w:after="0"/>
            </w:pPr>
            <w:r>
              <w:rPr>
                <w:rFonts w:ascii="Times New Roman" w:hAnsi="Times New Roman"/>
                <w:sz w:val="15"/>
              </w:rPr>
            </w:r>
            <w:r>
              <w:rPr>
                <w:rFonts w:ascii="Times New Roman" w:hAnsi="Times New Roman"/>
                <w:sz w:val="15"/>
              </w:rPr>
              <w:t>0.0014</w:t>
            </w:r>
          </w:p>
        </w:tc>
        <w:tc>
          <w:tcPr>
            <w:tcW w:type="dxa" w:w="936"/>
          </w:tcPr>
          <w:p>
            <w:pPr>
              <w:spacing w:line="240" w:lineRule="auto" w:after="0"/>
            </w:pPr>
            <w:r>
              <w:rPr>
                <w:rFonts w:ascii="Times New Roman" w:hAnsi="Times New Roman"/>
                <w:sz w:val="15"/>
              </w:rPr>
            </w:r>
            <w:r>
              <w:rPr>
                <w:rFonts w:ascii="Times New Roman" w:hAnsi="Times New Roman"/>
                <w:sz w:val="15"/>
              </w:rPr>
              <w:t>0.0751</w:t>
            </w:r>
          </w:p>
        </w:tc>
        <w:tc>
          <w:tcPr>
            <w:tcW w:type="dxa" w:w="936"/>
          </w:tcPr>
          <w:p>
            <w:pPr>
              <w:spacing w:line="240" w:lineRule="auto" w:after="0"/>
            </w:pPr>
            <w:r>
              <w:rPr>
                <w:rFonts w:ascii="Times New Roman" w:hAnsi="Times New Roman"/>
                <w:sz w:val="15"/>
              </w:rPr>
            </w:r>
            <w:r>
              <w:rPr>
                <w:rFonts w:ascii="Times New Roman" w:hAnsi="Times New Roman"/>
                <w:sz w:val="15"/>
              </w:rPr>
              <w:t>0.0737 (0.0012)</w:t>
            </w:r>
          </w:p>
        </w:tc>
        <w:tc>
          <w:tcPr>
            <w:tcW w:type="dxa" w:w="936"/>
          </w:tcPr>
          <w:p>
            <w:pPr>
              <w:spacing w:line="240" w:lineRule="auto" w:after="0"/>
            </w:pPr>
            <w:r>
              <w:rPr>
                <w:rFonts w:ascii="Times New Roman" w:hAnsi="Times New Roman"/>
                <w:sz w:val="15"/>
              </w:rPr>
            </w:r>
            <w:r>
              <w:rPr>
                <w:rFonts w:ascii="Times New Roman" w:hAnsi="Times New Roman"/>
                <w:sz w:val="15"/>
              </w:rPr>
              <w:t>0.0259</w:t>
            </w:r>
          </w:p>
        </w:tc>
        <w:tc>
          <w:tcPr>
            <w:tcW w:type="dxa" w:w="936"/>
          </w:tcPr>
          <w:p>
            <w:pPr>
              <w:spacing w:line="240" w:lineRule="auto" w:after="0"/>
            </w:pPr>
            <w:r>
              <w:rPr>
                <w:rFonts w:ascii="Times New Roman" w:hAnsi="Times New Roman"/>
                <w:sz w:val="15"/>
              </w:rPr>
            </w:r>
            <w:r>
              <w:rPr>
                <w:rFonts w:ascii="Times New Roman" w:hAnsi="Times New Roman"/>
                <w:sz w:val="15"/>
              </w:rPr>
              <w:t>0.0314</w:t>
            </w:r>
          </w:p>
        </w:tc>
        <w:tc>
          <w:tcPr>
            <w:tcW w:type="dxa" w:w="936"/>
          </w:tcPr>
          <w:p>
            <w:pPr>
              <w:spacing w:line="240" w:lineRule="auto" w:after="0"/>
            </w:pPr>
            <w:r>
              <w:rPr>
                <w:rFonts w:ascii="Times New Roman" w:hAnsi="Times New Roman"/>
                <w:sz w:val="15"/>
              </w:rPr>
            </w:r>
            <w:r>
              <w:rPr>
                <w:rFonts w:ascii="Times New Roman" w:hAnsi="Times New Roman"/>
                <w:sz w:val="15"/>
              </w:rPr>
              <w:t>1.211</w:t>
            </w:r>
          </w:p>
        </w:tc>
        <w:tc>
          <w:tcPr>
            <w:tcW w:type="dxa" w:w="936"/>
          </w:tcPr>
          <w:p>
            <w:pPr>
              <w:spacing w:line="240" w:lineRule="auto" w:after="0"/>
            </w:pPr>
            <w:r>
              <w:rPr>
                <w:rFonts w:ascii="Times New Roman" w:hAnsi="Times New Roman"/>
                <w:sz w:val="15"/>
              </w:rPr>
            </w:r>
            <w:r>
              <w:rPr>
                <w:rFonts w:ascii="Times New Roman" w:hAnsi="Times New Roman"/>
                <w:sz w:val="15"/>
              </w:rPr>
              <w:t>31.2 (2.1)</w:t>
            </w:r>
          </w:p>
        </w:tc>
        <w:tc>
          <w:tcPr>
            <w:tcW w:type="dxa" w:w="936"/>
          </w:tcPr>
          <w:p>
            <w:pPr>
              <w:spacing w:line="240" w:lineRule="auto" w:after="0"/>
            </w:pPr>
            <w:r>
              <w:rPr>
                <w:rFonts w:ascii="Times New Roman" w:hAnsi="Times New Roman"/>
                <w:sz w:val="15"/>
              </w:rPr>
            </w:r>
            <w:r>
              <w:rPr>
                <w:rFonts w:ascii="Times New Roman" w:hAnsi="Times New Roman"/>
                <w:sz w:val="15"/>
              </w:rPr>
              <w:t>70.6 (2.0)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D</w:t>
            </w:r>
          </w:p>
        </w:tc>
        <w:tc>
          <w:tcPr>
            <w:tcW w:type="dxa" w:w="936"/>
          </w:tcPr>
          <w:p>
            <w:pPr>
              <w:spacing w:line="240" w:lineRule="auto" w:after="0"/>
            </w:pPr>
            <w:r>
              <w:rPr>
                <w:rFonts w:ascii="Times New Roman" w:hAnsi="Times New Roman"/>
                <w:sz w:val="15"/>
              </w:rPr>
            </w:r>
            <w:r>
              <w:rPr>
                <w:rFonts w:ascii="Times New Roman" w:hAnsi="Times New Roman"/>
                <w:sz w:val="15"/>
              </w:rPr>
              <w:t>Naive Cox</w:t>
            </w:r>
          </w:p>
        </w:tc>
        <w:tc>
          <w:tcPr>
            <w:tcW w:type="dxa" w:w="936"/>
          </w:tcPr>
          <w:p>
            <w:pPr>
              <w:spacing w:line="240" w:lineRule="auto" w:after="0"/>
            </w:pPr>
            <w:r>
              <w:rPr>
                <w:rFonts w:ascii="Times New Roman" w:hAnsi="Times New Roman"/>
                <w:sz w:val="15"/>
              </w:rPr>
            </w:r>
            <w:r>
              <w:rPr>
                <w:rFonts w:ascii="Times New Roman" w:hAnsi="Times New Roman"/>
                <w:sz w:val="15"/>
              </w:rPr>
              <w:t>-0.0005</w:t>
            </w:r>
          </w:p>
        </w:tc>
        <w:tc>
          <w:tcPr>
            <w:tcW w:type="dxa" w:w="936"/>
          </w:tcPr>
          <w:p>
            <w:pPr>
              <w:spacing w:line="240" w:lineRule="auto" w:after="0"/>
            </w:pPr>
            <w:r>
              <w:rPr>
                <w:rFonts w:ascii="Times New Roman" w:hAnsi="Times New Roman"/>
                <w:sz w:val="15"/>
              </w:rPr>
            </w:r>
            <w:r>
              <w:rPr>
                <w:rFonts w:ascii="Times New Roman" w:hAnsi="Times New Roman"/>
                <w:sz w:val="15"/>
              </w:rPr>
              <w:t>0.5008</w:t>
            </w:r>
          </w:p>
        </w:tc>
        <w:tc>
          <w:tcPr>
            <w:tcW w:type="dxa" w:w="936"/>
          </w:tcPr>
          <w:p>
            <w:pPr>
              <w:spacing w:line="240" w:lineRule="auto" w:after="0"/>
            </w:pPr>
            <w:r>
              <w:rPr>
                <w:rFonts w:ascii="Times New Roman" w:hAnsi="Times New Roman"/>
                <w:sz w:val="15"/>
              </w:rPr>
            </w:r>
            <w:r>
              <w:rPr>
                <w:rFonts w:ascii="Times New Roman" w:hAnsi="Times New Roman"/>
                <w:sz w:val="15"/>
              </w:rPr>
              <w:t>0.5013 (0.0015)</w:t>
            </w:r>
          </w:p>
        </w:tc>
        <w:tc>
          <w:tcPr>
            <w:tcW w:type="dxa" w:w="936"/>
          </w:tcPr>
          <w:p>
            <w:pPr>
              <w:spacing w:line="240" w:lineRule="auto" w:after="0"/>
            </w:pPr>
            <w:r>
              <w:rPr>
                <w:rFonts w:ascii="Times New Roman" w:hAnsi="Times New Roman"/>
                <w:sz w:val="15"/>
              </w:rPr>
            </w:r>
            <w:r>
              <w:rPr>
                <w:rFonts w:ascii="Times New Roman" w:hAnsi="Times New Roman"/>
                <w:sz w:val="15"/>
              </w:rPr>
              <w:t>0.0326</w:t>
            </w:r>
          </w:p>
        </w:tc>
        <w:tc>
          <w:tcPr>
            <w:tcW w:type="dxa" w:w="936"/>
          </w:tcPr>
          <w:p>
            <w:pPr>
              <w:spacing w:line="240" w:lineRule="auto" w:after="0"/>
            </w:pPr>
            <w:r>
              <w:rPr>
                <w:rFonts w:ascii="Times New Roman" w:hAnsi="Times New Roman"/>
                <w:sz w:val="15"/>
              </w:rPr>
            </w:r>
            <w:r>
              <w:rPr>
                <w:rFonts w:ascii="Times New Roman" w:hAnsi="Times New Roman"/>
                <w:sz w:val="15"/>
              </w:rPr>
              <w:t>0.0292</w:t>
            </w:r>
          </w:p>
        </w:tc>
        <w:tc>
          <w:tcPr>
            <w:tcW w:type="dxa" w:w="936"/>
          </w:tcPr>
          <w:p>
            <w:pPr>
              <w:spacing w:line="240" w:lineRule="auto" w:after="0"/>
            </w:pPr>
            <w:r>
              <w:rPr>
                <w:rFonts w:ascii="Times New Roman" w:hAnsi="Times New Roman"/>
                <w:sz w:val="15"/>
              </w:rPr>
            </w:r>
            <w:r>
              <w:rPr>
                <w:rFonts w:ascii="Times New Roman" w:hAnsi="Times New Roman"/>
                <w:sz w:val="15"/>
              </w:rPr>
              <w:t>0.896</w:t>
            </w:r>
          </w:p>
        </w:tc>
        <w:tc>
          <w:tcPr>
            <w:tcW w:type="dxa" w:w="936"/>
          </w:tcPr>
          <w:p>
            <w:pPr>
              <w:spacing w:line="240" w:lineRule="auto" w:after="0"/>
            </w:pPr>
            <w:r>
              <w:rPr>
                <w:rFonts w:ascii="Times New Roman" w:hAnsi="Times New Roman"/>
                <w:sz w:val="15"/>
              </w:rPr>
            </w:r>
            <w:r>
              <w:rPr>
                <w:rFonts w:ascii="Times New Roman" w:hAnsi="Times New Roman"/>
                <w:sz w:val="15"/>
              </w:rPr>
              <w:t>0.0 (0.0)</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D</w:t>
            </w:r>
          </w:p>
        </w:tc>
        <w:tc>
          <w:tcPr>
            <w:tcW w:type="dxa" w:w="936"/>
          </w:tcPr>
          <w:p>
            <w:pPr>
              <w:spacing w:line="240" w:lineRule="auto" w:after="0"/>
            </w:pPr>
            <w:r>
              <w:rPr>
                <w:rFonts w:ascii="Times New Roman" w:hAnsi="Times New Roman"/>
                <w:sz w:val="15"/>
              </w:rPr>
            </w:r>
            <w:r>
              <w:rPr>
                <w:rFonts w:ascii="Times New Roman" w:hAnsi="Times New Roman"/>
                <w:sz w:val="15"/>
              </w:rPr>
              <w:t>Landmark Cox</w:t>
            </w:r>
          </w:p>
        </w:tc>
        <w:tc>
          <w:tcPr>
            <w:tcW w:type="dxa" w:w="936"/>
          </w:tcPr>
          <w:p>
            <w:pPr>
              <w:spacing w:line="240" w:lineRule="auto" w:after="0"/>
            </w:pPr>
            <w:r>
              <w:rPr>
                <w:rFonts w:ascii="Times New Roman" w:hAnsi="Times New Roman"/>
                <w:sz w:val="15"/>
              </w:rPr>
            </w:r>
            <w:r>
              <w:rPr>
                <w:rFonts w:ascii="Times New Roman" w:hAnsi="Times New Roman"/>
                <w:sz w:val="15"/>
              </w:rPr>
              <w:t>-0.0005</w:t>
            </w:r>
          </w:p>
        </w:tc>
        <w:tc>
          <w:tcPr>
            <w:tcW w:type="dxa" w:w="936"/>
          </w:tcPr>
          <w:p>
            <w:pPr>
              <w:spacing w:line="240" w:lineRule="auto" w:after="0"/>
            </w:pPr>
            <w:r>
              <w:rPr>
                <w:rFonts w:ascii="Times New Roman" w:hAnsi="Times New Roman"/>
                <w:sz w:val="15"/>
              </w:rPr>
            </w:r>
            <w:r>
              <w:rPr>
                <w:rFonts w:ascii="Times New Roman" w:hAnsi="Times New Roman"/>
                <w:sz w:val="15"/>
              </w:rPr>
              <w:t>0.2668</w:t>
            </w:r>
          </w:p>
        </w:tc>
        <w:tc>
          <w:tcPr>
            <w:tcW w:type="dxa" w:w="936"/>
          </w:tcPr>
          <w:p>
            <w:pPr>
              <w:spacing w:line="240" w:lineRule="auto" w:after="0"/>
            </w:pPr>
            <w:r>
              <w:rPr>
                <w:rFonts w:ascii="Times New Roman" w:hAnsi="Times New Roman"/>
                <w:sz w:val="15"/>
              </w:rPr>
            </w:r>
            <w:r>
              <w:rPr>
                <w:rFonts w:ascii="Times New Roman" w:hAnsi="Times New Roman"/>
                <w:sz w:val="15"/>
              </w:rPr>
              <w:t>0.2673 (0.0015)</w:t>
            </w:r>
          </w:p>
        </w:tc>
        <w:tc>
          <w:tcPr>
            <w:tcW w:type="dxa" w:w="936"/>
          </w:tcPr>
          <w:p>
            <w:pPr>
              <w:spacing w:line="240" w:lineRule="auto" w:after="0"/>
            </w:pPr>
            <w:r>
              <w:rPr>
                <w:rFonts w:ascii="Times New Roman" w:hAnsi="Times New Roman"/>
                <w:sz w:val="15"/>
              </w:rPr>
            </w:r>
            <w:r>
              <w:rPr>
                <w:rFonts w:ascii="Times New Roman" w:hAnsi="Times New Roman"/>
                <w:sz w:val="15"/>
              </w:rPr>
              <w:t>0.0335</w:t>
            </w:r>
          </w:p>
        </w:tc>
        <w:tc>
          <w:tcPr>
            <w:tcW w:type="dxa" w:w="936"/>
          </w:tcPr>
          <w:p>
            <w:pPr>
              <w:spacing w:line="240" w:lineRule="auto" w:after="0"/>
            </w:pPr>
            <w:r>
              <w:rPr>
                <w:rFonts w:ascii="Times New Roman" w:hAnsi="Times New Roman"/>
                <w:sz w:val="15"/>
              </w:rPr>
            </w:r>
            <w:r>
              <w:rPr>
                <w:rFonts w:ascii="Times New Roman" w:hAnsi="Times New Roman"/>
                <w:sz w:val="15"/>
              </w:rPr>
              <w:t>0.0326</w:t>
            </w:r>
          </w:p>
        </w:tc>
        <w:tc>
          <w:tcPr>
            <w:tcW w:type="dxa" w:w="936"/>
          </w:tcPr>
          <w:p>
            <w:pPr>
              <w:spacing w:line="240" w:lineRule="auto" w:after="0"/>
            </w:pPr>
            <w:r>
              <w:rPr>
                <w:rFonts w:ascii="Times New Roman" w:hAnsi="Times New Roman"/>
                <w:sz w:val="15"/>
              </w:rPr>
            </w:r>
            <w:r>
              <w:rPr>
                <w:rFonts w:ascii="Times New Roman" w:hAnsi="Times New Roman"/>
                <w:sz w:val="15"/>
              </w:rPr>
              <w:t>0.975</w:t>
            </w:r>
          </w:p>
        </w:tc>
        <w:tc>
          <w:tcPr>
            <w:tcW w:type="dxa" w:w="936"/>
          </w:tcPr>
          <w:p>
            <w:pPr>
              <w:spacing w:line="240" w:lineRule="auto" w:after="0"/>
            </w:pPr>
            <w:r>
              <w:rPr>
                <w:rFonts w:ascii="Times New Roman" w:hAnsi="Times New Roman"/>
                <w:sz w:val="15"/>
              </w:rPr>
            </w:r>
            <w:r>
              <w:rPr>
                <w:rFonts w:ascii="Times New Roman" w:hAnsi="Times New Roman"/>
                <w:sz w:val="15"/>
              </w:rPr>
              <w:t>0.0 (0.0)</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D</w:t>
            </w:r>
          </w:p>
        </w:tc>
        <w:tc>
          <w:tcPr>
            <w:tcW w:type="dxa" w:w="936"/>
          </w:tcPr>
          <w:p>
            <w:pPr>
              <w:spacing w:line="240" w:lineRule="auto" w:after="0"/>
            </w:pPr>
            <w:r>
              <w:rPr>
                <w:rFonts w:ascii="Times New Roman" w:hAnsi="Times New Roman"/>
                <w:sz w:val="15"/>
              </w:rPr>
            </w:r>
            <w:r>
              <w:rPr>
                <w:rFonts w:ascii="Times New Roman" w:hAnsi="Times New Roman"/>
                <w:sz w:val="15"/>
              </w:rPr>
              <w:t>Interval-censored Weibull</w:t>
            </w:r>
          </w:p>
        </w:tc>
        <w:tc>
          <w:tcPr>
            <w:tcW w:type="dxa" w:w="936"/>
          </w:tcPr>
          <w:p>
            <w:pPr>
              <w:spacing w:line="240" w:lineRule="auto" w:after="0"/>
            </w:pPr>
            <w:r>
              <w:rPr>
                <w:rFonts w:ascii="Times New Roman" w:hAnsi="Times New Roman"/>
                <w:sz w:val="15"/>
              </w:rPr>
            </w:r>
            <w:r>
              <w:rPr>
                <w:rFonts w:ascii="Times New Roman" w:hAnsi="Times New Roman"/>
                <w:sz w:val="15"/>
              </w:rPr>
              <w:t>-0.0005</w:t>
            </w:r>
          </w:p>
        </w:tc>
        <w:tc>
          <w:tcPr>
            <w:tcW w:type="dxa" w:w="936"/>
          </w:tcPr>
          <w:p>
            <w:pPr>
              <w:spacing w:line="240" w:lineRule="auto" w:after="0"/>
            </w:pPr>
            <w:r>
              <w:rPr>
                <w:rFonts w:ascii="Times New Roman" w:hAnsi="Times New Roman"/>
                <w:sz w:val="15"/>
              </w:rPr>
            </w:r>
            <w:r>
              <w:rPr>
                <w:rFonts w:ascii="Times New Roman" w:hAnsi="Times New Roman"/>
                <w:sz w:val="15"/>
              </w:rPr>
              <w:t>0.1504</w:t>
            </w:r>
          </w:p>
        </w:tc>
        <w:tc>
          <w:tcPr>
            <w:tcW w:type="dxa" w:w="936"/>
          </w:tcPr>
          <w:p>
            <w:pPr>
              <w:spacing w:line="240" w:lineRule="auto" w:after="0"/>
            </w:pPr>
            <w:r>
              <w:rPr>
                <w:rFonts w:ascii="Times New Roman" w:hAnsi="Times New Roman"/>
                <w:sz w:val="15"/>
              </w:rPr>
            </w:r>
            <w:r>
              <w:rPr>
                <w:rFonts w:ascii="Times New Roman" w:hAnsi="Times New Roman"/>
                <w:sz w:val="15"/>
              </w:rPr>
              <w:t>0.1509 (0.0013)</w:t>
            </w:r>
          </w:p>
        </w:tc>
        <w:tc>
          <w:tcPr>
            <w:tcW w:type="dxa" w:w="936"/>
          </w:tcPr>
          <w:p>
            <w:pPr>
              <w:spacing w:line="240" w:lineRule="auto" w:after="0"/>
            </w:pPr>
            <w:r>
              <w:rPr>
                <w:rFonts w:ascii="Times New Roman" w:hAnsi="Times New Roman"/>
                <w:sz w:val="15"/>
              </w:rPr>
            </w:r>
            <w:r>
              <w:rPr>
                <w:rFonts w:ascii="Times New Roman" w:hAnsi="Times New Roman"/>
                <w:sz w:val="15"/>
              </w:rPr>
              <w:t>0.0292</w:t>
            </w:r>
          </w:p>
        </w:tc>
        <w:tc>
          <w:tcPr>
            <w:tcW w:type="dxa" w:w="936"/>
          </w:tcPr>
          <w:p>
            <w:pPr>
              <w:spacing w:line="240" w:lineRule="auto" w:after="0"/>
            </w:pPr>
            <w:r>
              <w:rPr>
                <w:rFonts w:ascii="Times New Roman" w:hAnsi="Times New Roman"/>
                <w:sz w:val="15"/>
              </w:rPr>
            </w:r>
            <w:r>
              <w:rPr>
                <w:rFonts w:ascii="Times New Roman" w:hAnsi="Times New Roman"/>
                <w:sz w:val="15"/>
              </w:rPr>
              <w:t>0.0344</w:t>
            </w:r>
          </w:p>
        </w:tc>
        <w:tc>
          <w:tcPr>
            <w:tcW w:type="dxa" w:w="936"/>
          </w:tcPr>
          <w:p>
            <w:pPr>
              <w:spacing w:line="240" w:lineRule="auto" w:after="0"/>
            </w:pPr>
            <w:r>
              <w:rPr>
                <w:rFonts w:ascii="Times New Roman" w:hAnsi="Times New Roman"/>
                <w:sz w:val="15"/>
              </w:rPr>
            </w:r>
            <w:r>
              <w:rPr>
                <w:rFonts w:ascii="Times New Roman" w:hAnsi="Times New Roman"/>
                <w:sz w:val="15"/>
              </w:rPr>
              <w:t>1.180</w:t>
            </w:r>
          </w:p>
        </w:tc>
        <w:tc>
          <w:tcPr>
            <w:tcW w:type="dxa" w:w="936"/>
          </w:tcPr>
          <w:p>
            <w:pPr>
              <w:spacing w:line="240" w:lineRule="auto" w:after="0"/>
            </w:pPr>
            <w:r>
              <w:rPr>
                <w:rFonts w:ascii="Times New Roman" w:hAnsi="Times New Roman"/>
                <w:sz w:val="15"/>
              </w:rPr>
            </w:r>
            <w:r>
              <w:rPr>
                <w:rFonts w:ascii="Times New Roman" w:hAnsi="Times New Roman"/>
                <w:sz w:val="15"/>
              </w:rPr>
              <w:t>0.0 (0.0)</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E</w:t>
            </w:r>
          </w:p>
        </w:tc>
        <w:tc>
          <w:tcPr>
            <w:tcW w:type="dxa" w:w="936"/>
          </w:tcPr>
          <w:p>
            <w:pPr>
              <w:spacing w:line="240" w:lineRule="auto" w:after="0"/>
            </w:pPr>
            <w:r>
              <w:rPr>
                <w:rFonts w:ascii="Times New Roman" w:hAnsi="Times New Roman"/>
                <w:sz w:val="15"/>
              </w:rPr>
            </w:r>
            <w:r>
              <w:rPr>
                <w:rFonts w:ascii="Times New Roman" w:hAnsi="Times New Roman"/>
                <w:sz w:val="15"/>
              </w:rPr>
              <w:t>Naive Cox</w:t>
            </w:r>
          </w:p>
        </w:tc>
        <w:tc>
          <w:tcPr>
            <w:tcW w:type="dxa" w:w="936"/>
          </w:tcPr>
          <w:p>
            <w:pPr>
              <w:spacing w:line="240" w:lineRule="auto" w:after="0"/>
            </w:pPr>
            <w:r>
              <w:rPr>
                <w:rFonts w:ascii="Times New Roman" w:hAnsi="Times New Roman"/>
                <w:sz w:val="15"/>
              </w:rPr>
            </w:r>
            <w:r>
              <w:rPr>
                <w:rFonts w:ascii="Times New Roman" w:hAnsi="Times New Roman"/>
                <w:sz w:val="15"/>
              </w:rPr>
              <w:t>0.3281</w:t>
            </w:r>
          </w:p>
        </w:tc>
        <w:tc>
          <w:tcPr>
            <w:tcW w:type="dxa" w:w="936"/>
          </w:tcPr>
          <w:p>
            <w:pPr>
              <w:spacing w:line="240" w:lineRule="auto" w:after="0"/>
            </w:pPr>
            <w:r>
              <w:rPr>
                <w:rFonts w:ascii="Times New Roman" w:hAnsi="Times New Roman"/>
                <w:sz w:val="15"/>
              </w:rPr>
            </w:r>
            <w:r>
              <w:rPr>
                <w:rFonts w:ascii="Times New Roman" w:hAnsi="Times New Roman"/>
                <w:sz w:val="15"/>
              </w:rPr>
              <w:t>0.3995</w:t>
            </w:r>
          </w:p>
        </w:tc>
        <w:tc>
          <w:tcPr>
            <w:tcW w:type="dxa" w:w="936"/>
          </w:tcPr>
          <w:p>
            <w:pPr>
              <w:spacing w:line="240" w:lineRule="auto" w:after="0"/>
            </w:pPr>
            <w:r>
              <w:rPr>
                <w:rFonts w:ascii="Times New Roman" w:hAnsi="Times New Roman"/>
                <w:sz w:val="15"/>
              </w:rPr>
            </w:r>
            <w:r>
              <w:rPr>
                <w:rFonts w:ascii="Times New Roman" w:hAnsi="Times New Roman"/>
                <w:sz w:val="15"/>
              </w:rPr>
              <w:t>0.0714 (0.0014)</w:t>
            </w:r>
          </w:p>
        </w:tc>
        <w:tc>
          <w:tcPr>
            <w:tcW w:type="dxa" w:w="936"/>
          </w:tcPr>
          <w:p>
            <w:pPr>
              <w:spacing w:line="240" w:lineRule="auto" w:after="0"/>
            </w:pPr>
            <w:r>
              <w:rPr>
                <w:rFonts w:ascii="Times New Roman" w:hAnsi="Times New Roman"/>
                <w:sz w:val="15"/>
              </w:rPr>
            </w:r>
            <w:r>
              <w:rPr>
                <w:rFonts w:ascii="Times New Roman" w:hAnsi="Times New Roman"/>
                <w:sz w:val="15"/>
              </w:rPr>
              <w:t>0.0316</w:t>
            </w:r>
          </w:p>
        </w:tc>
        <w:tc>
          <w:tcPr>
            <w:tcW w:type="dxa" w:w="936"/>
          </w:tcPr>
          <w:p>
            <w:pPr>
              <w:spacing w:line="240" w:lineRule="auto" w:after="0"/>
            </w:pPr>
            <w:r>
              <w:rPr>
                <w:rFonts w:ascii="Times New Roman" w:hAnsi="Times New Roman"/>
                <w:sz w:val="15"/>
              </w:rPr>
            </w:r>
            <w:r>
              <w:rPr>
                <w:rFonts w:ascii="Times New Roman" w:hAnsi="Times New Roman"/>
                <w:sz w:val="15"/>
              </w:rPr>
              <w:t>0.0292</w:t>
            </w:r>
          </w:p>
        </w:tc>
        <w:tc>
          <w:tcPr>
            <w:tcW w:type="dxa" w:w="936"/>
          </w:tcPr>
          <w:p>
            <w:pPr>
              <w:spacing w:line="240" w:lineRule="auto" w:after="0"/>
            </w:pPr>
            <w:r>
              <w:rPr>
                <w:rFonts w:ascii="Times New Roman" w:hAnsi="Times New Roman"/>
                <w:sz w:val="15"/>
              </w:rPr>
            </w:r>
            <w:r>
              <w:rPr>
                <w:rFonts w:ascii="Times New Roman" w:hAnsi="Times New Roman"/>
                <w:sz w:val="15"/>
              </w:rPr>
              <w:t>0.925</w:t>
            </w:r>
          </w:p>
        </w:tc>
        <w:tc>
          <w:tcPr>
            <w:tcW w:type="dxa" w:w="936"/>
          </w:tcPr>
          <w:p>
            <w:pPr>
              <w:spacing w:line="240" w:lineRule="auto" w:after="0"/>
            </w:pPr>
            <w:r>
              <w:rPr>
                <w:rFonts w:ascii="Times New Roman" w:hAnsi="Times New Roman"/>
                <w:sz w:val="15"/>
              </w:rPr>
            </w:r>
            <w:r>
              <w:rPr>
                <w:rFonts w:ascii="Times New Roman" w:hAnsi="Times New Roman"/>
                <w:sz w:val="15"/>
              </w:rPr>
              <w:t>34.0 (2.1)</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E</w:t>
            </w:r>
          </w:p>
        </w:tc>
        <w:tc>
          <w:tcPr>
            <w:tcW w:type="dxa" w:w="936"/>
          </w:tcPr>
          <w:p>
            <w:pPr>
              <w:spacing w:line="240" w:lineRule="auto" w:after="0"/>
            </w:pPr>
            <w:r>
              <w:rPr>
                <w:rFonts w:ascii="Times New Roman" w:hAnsi="Times New Roman"/>
                <w:sz w:val="15"/>
              </w:rPr>
            </w:r>
            <w:r>
              <w:rPr>
                <w:rFonts w:ascii="Times New Roman" w:hAnsi="Times New Roman"/>
                <w:sz w:val="15"/>
              </w:rPr>
              <w:t>Landmark Cox</w:t>
            </w:r>
          </w:p>
        </w:tc>
        <w:tc>
          <w:tcPr>
            <w:tcW w:type="dxa" w:w="936"/>
          </w:tcPr>
          <w:p>
            <w:pPr>
              <w:spacing w:line="240" w:lineRule="auto" w:after="0"/>
            </w:pPr>
            <w:r>
              <w:rPr>
                <w:rFonts w:ascii="Times New Roman" w:hAnsi="Times New Roman"/>
                <w:sz w:val="15"/>
              </w:rPr>
            </w:r>
            <w:r>
              <w:rPr>
                <w:rFonts w:ascii="Times New Roman" w:hAnsi="Times New Roman"/>
                <w:sz w:val="15"/>
              </w:rPr>
              <w:t>0.3281</w:t>
            </w:r>
          </w:p>
        </w:tc>
        <w:tc>
          <w:tcPr>
            <w:tcW w:type="dxa" w:w="936"/>
          </w:tcPr>
          <w:p>
            <w:pPr>
              <w:spacing w:line="240" w:lineRule="auto" w:after="0"/>
            </w:pPr>
            <w:r>
              <w:rPr>
                <w:rFonts w:ascii="Times New Roman" w:hAnsi="Times New Roman"/>
                <w:sz w:val="15"/>
              </w:rPr>
            </w:r>
            <w:r>
              <w:rPr>
                <w:rFonts w:ascii="Times New Roman" w:hAnsi="Times New Roman"/>
                <w:sz w:val="15"/>
              </w:rPr>
              <w:t>0.3448</w:t>
            </w:r>
          </w:p>
        </w:tc>
        <w:tc>
          <w:tcPr>
            <w:tcW w:type="dxa" w:w="936"/>
          </w:tcPr>
          <w:p>
            <w:pPr>
              <w:spacing w:line="240" w:lineRule="auto" w:after="0"/>
            </w:pPr>
            <w:r>
              <w:rPr>
                <w:rFonts w:ascii="Times New Roman" w:hAnsi="Times New Roman"/>
                <w:sz w:val="15"/>
              </w:rPr>
            </w:r>
            <w:r>
              <w:rPr>
                <w:rFonts w:ascii="Times New Roman" w:hAnsi="Times New Roman"/>
                <w:sz w:val="15"/>
              </w:rPr>
              <w:t>0.0167 (0.0015)</w:t>
            </w:r>
          </w:p>
        </w:tc>
        <w:tc>
          <w:tcPr>
            <w:tcW w:type="dxa" w:w="936"/>
          </w:tcPr>
          <w:p>
            <w:pPr>
              <w:spacing w:line="240" w:lineRule="auto" w:after="0"/>
            </w:pPr>
            <w:r>
              <w:rPr>
                <w:rFonts w:ascii="Times New Roman" w:hAnsi="Times New Roman"/>
                <w:sz w:val="15"/>
              </w:rPr>
            </w:r>
            <w:r>
              <w:rPr>
                <w:rFonts w:ascii="Times New Roman" w:hAnsi="Times New Roman"/>
                <w:sz w:val="15"/>
              </w:rPr>
              <w:t>0.0340</w:t>
            </w:r>
          </w:p>
        </w:tc>
        <w:tc>
          <w:tcPr>
            <w:tcW w:type="dxa" w:w="936"/>
          </w:tcPr>
          <w:p>
            <w:pPr>
              <w:spacing w:line="240" w:lineRule="auto" w:after="0"/>
            </w:pPr>
            <w:r>
              <w:rPr>
                <w:rFonts w:ascii="Times New Roman" w:hAnsi="Times New Roman"/>
                <w:sz w:val="15"/>
              </w:rPr>
            </w:r>
            <w:r>
              <w:rPr>
                <w:rFonts w:ascii="Times New Roman" w:hAnsi="Times New Roman"/>
                <w:sz w:val="15"/>
              </w:rPr>
              <w:t>0.0315</w:t>
            </w:r>
          </w:p>
        </w:tc>
        <w:tc>
          <w:tcPr>
            <w:tcW w:type="dxa" w:w="936"/>
          </w:tcPr>
          <w:p>
            <w:pPr>
              <w:spacing w:line="240" w:lineRule="auto" w:after="0"/>
            </w:pPr>
            <w:r>
              <w:rPr>
                <w:rFonts w:ascii="Times New Roman" w:hAnsi="Times New Roman"/>
                <w:sz w:val="15"/>
              </w:rPr>
            </w:r>
            <w:r>
              <w:rPr>
                <w:rFonts w:ascii="Times New Roman" w:hAnsi="Times New Roman"/>
                <w:sz w:val="15"/>
              </w:rPr>
              <w:t>0.925</w:t>
            </w:r>
          </w:p>
        </w:tc>
        <w:tc>
          <w:tcPr>
            <w:tcW w:type="dxa" w:w="936"/>
          </w:tcPr>
          <w:p>
            <w:pPr>
              <w:spacing w:line="240" w:lineRule="auto" w:after="0"/>
            </w:pPr>
            <w:r>
              <w:rPr>
                <w:rFonts w:ascii="Times New Roman" w:hAnsi="Times New Roman"/>
                <w:sz w:val="15"/>
              </w:rPr>
            </w:r>
            <w:r>
              <w:rPr>
                <w:rFonts w:ascii="Times New Roman" w:hAnsi="Times New Roman"/>
                <w:sz w:val="15"/>
              </w:rPr>
              <w:t>90.6 (1.3)</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E</w:t>
            </w:r>
          </w:p>
        </w:tc>
        <w:tc>
          <w:tcPr>
            <w:tcW w:type="dxa" w:w="936"/>
          </w:tcPr>
          <w:p>
            <w:pPr>
              <w:spacing w:line="240" w:lineRule="auto" w:after="0"/>
            </w:pPr>
            <w:r>
              <w:rPr>
                <w:rFonts w:ascii="Times New Roman" w:hAnsi="Times New Roman"/>
                <w:sz w:val="15"/>
              </w:rPr>
            </w:r>
            <w:r>
              <w:rPr>
                <w:rFonts w:ascii="Times New Roman" w:hAnsi="Times New Roman"/>
                <w:sz w:val="15"/>
              </w:rPr>
              <w:t>Interval-censored Weibull</w:t>
            </w:r>
          </w:p>
        </w:tc>
        <w:tc>
          <w:tcPr>
            <w:tcW w:type="dxa" w:w="936"/>
          </w:tcPr>
          <w:p>
            <w:pPr>
              <w:spacing w:line="240" w:lineRule="auto" w:after="0"/>
            </w:pPr>
            <w:r>
              <w:rPr>
                <w:rFonts w:ascii="Times New Roman" w:hAnsi="Times New Roman"/>
                <w:sz w:val="15"/>
              </w:rPr>
            </w:r>
            <w:r>
              <w:rPr>
                <w:rFonts w:ascii="Times New Roman" w:hAnsi="Times New Roman"/>
                <w:sz w:val="15"/>
              </w:rPr>
              <w:t>0.3281</w:t>
            </w:r>
          </w:p>
        </w:tc>
        <w:tc>
          <w:tcPr>
            <w:tcW w:type="dxa" w:w="936"/>
          </w:tcPr>
          <w:p>
            <w:pPr>
              <w:spacing w:line="240" w:lineRule="auto" w:after="0"/>
            </w:pPr>
            <w:r>
              <w:rPr>
                <w:rFonts w:ascii="Times New Roman" w:hAnsi="Times New Roman"/>
                <w:sz w:val="15"/>
              </w:rPr>
            </w:r>
            <w:r>
              <w:rPr>
                <w:rFonts w:ascii="Times New Roman" w:hAnsi="Times New Roman"/>
                <w:sz w:val="15"/>
              </w:rPr>
              <w:t>0.3318</w:t>
            </w:r>
          </w:p>
        </w:tc>
        <w:tc>
          <w:tcPr>
            <w:tcW w:type="dxa" w:w="936"/>
          </w:tcPr>
          <w:p>
            <w:pPr>
              <w:spacing w:line="240" w:lineRule="auto" w:after="0"/>
            </w:pPr>
            <w:r>
              <w:rPr>
                <w:rFonts w:ascii="Times New Roman" w:hAnsi="Times New Roman"/>
                <w:sz w:val="15"/>
              </w:rPr>
            </w:r>
            <w:r>
              <w:rPr>
                <w:rFonts w:ascii="Times New Roman" w:hAnsi="Times New Roman"/>
                <w:sz w:val="15"/>
              </w:rPr>
              <w:t>0.0037 (0.0018)</w:t>
            </w:r>
          </w:p>
        </w:tc>
        <w:tc>
          <w:tcPr>
            <w:tcW w:type="dxa" w:w="936"/>
          </w:tcPr>
          <w:p>
            <w:pPr>
              <w:spacing w:line="240" w:lineRule="auto" w:after="0"/>
            </w:pPr>
            <w:r>
              <w:rPr>
                <w:rFonts w:ascii="Times New Roman" w:hAnsi="Times New Roman"/>
                <w:sz w:val="15"/>
              </w:rPr>
            </w:r>
            <w:r>
              <w:rPr>
                <w:rFonts w:ascii="Times New Roman" w:hAnsi="Times New Roman"/>
                <w:sz w:val="15"/>
              </w:rPr>
              <w:t>0.0410</w:t>
            </w:r>
          </w:p>
        </w:tc>
        <w:tc>
          <w:tcPr>
            <w:tcW w:type="dxa" w:w="936"/>
          </w:tcPr>
          <w:p>
            <w:pPr>
              <w:spacing w:line="240" w:lineRule="auto" w:after="0"/>
            </w:pPr>
            <w:r>
              <w:rPr>
                <w:rFonts w:ascii="Times New Roman" w:hAnsi="Times New Roman"/>
                <w:sz w:val="15"/>
              </w:rPr>
            </w:r>
            <w:r>
              <w:rPr>
                <w:rFonts w:ascii="Times New Roman" w:hAnsi="Times New Roman"/>
                <w:sz w:val="15"/>
              </w:rPr>
              <w:t>0.0432</w:t>
            </w:r>
          </w:p>
        </w:tc>
        <w:tc>
          <w:tcPr>
            <w:tcW w:type="dxa" w:w="936"/>
          </w:tcPr>
          <w:p>
            <w:pPr>
              <w:spacing w:line="240" w:lineRule="auto" w:after="0"/>
            </w:pPr>
            <w:r>
              <w:rPr>
                <w:rFonts w:ascii="Times New Roman" w:hAnsi="Times New Roman"/>
                <w:sz w:val="15"/>
              </w:rPr>
            </w:r>
            <w:r>
              <w:rPr>
                <w:rFonts w:ascii="Times New Roman" w:hAnsi="Times New Roman"/>
                <w:sz w:val="15"/>
              </w:rPr>
              <w:t>1.054</w:t>
            </w:r>
          </w:p>
        </w:tc>
        <w:tc>
          <w:tcPr>
            <w:tcW w:type="dxa" w:w="936"/>
          </w:tcPr>
          <w:p>
            <w:pPr>
              <w:spacing w:line="240" w:lineRule="auto" w:after="0"/>
            </w:pPr>
            <w:r>
              <w:rPr>
                <w:rFonts w:ascii="Times New Roman" w:hAnsi="Times New Roman"/>
                <w:sz w:val="15"/>
              </w:rPr>
            </w:r>
            <w:r>
              <w:rPr>
                <w:rFonts w:ascii="Times New Roman" w:hAnsi="Times New Roman"/>
                <w:sz w:val="15"/>
              </w:rPr>
              <w:t>95.4 (0.9)</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F</w:t>
            </w:r>
          </w:p>
        </w:tc>
        <w:tc>
          <w:tcPr>
            <w:tcW w:type="dxa" w:w="936"/>
          </w:tcPr>
          <w:p>
            <w:pPr>
              <w:spacing w:line="240" w:lineRule="auto" w:after="0"/>
            </w:pPr>
            <w:r>
              <w:rPr>
                <w:rFonts w:ascii="Times New Roman" w:hAnsi="Times New Roman"/>
                <w:sz w:val="15"/>
              </w:rPr>
            </w:r>
            <w:r>
              <w:rPr>
                <w:rFonts w:ascii="Times New Roman" w:hAnsi="Times New Roman"/>
                <w:sz w:val="15"/>
              </w:rPr>
              <w:t>Naive Cox</w:t>
            </w:r>
          </w:p>
        </w:tc>
        <w:tc>
          <w:tcPr>
            <w:tcW w:type="dxa" w:w="936"/>
          </w:tcPr>
          <w:p>
            <w:pPr>
              <w:spacing w:line="240" w:lineRule="auto" w:after="0"/>
            </w:pPr>
            <w:r>
              <w:rPr>
                <w:rFonts w:ascii="Times New Roman" w:hAnsi="Times New Roman"/>
                <w:sz w:val="15"/>
              </w:rPr>
            </w:r>
            <w:r>
              <w:rPr>
                <w:rFonts w:ascii="Times New Roman" w:hAnsi="Times New Roman"/>
                <w:sz w:val="15"/>
              </w:rPr>
              <w:t>0.3574</w:t>
            </w:r>
          </w:p>
        </w:tc>
        <w:tc>
          <w:tcPr>
            <w:tcW w:type="dxa" w:w="936"/>
          </w:tcPr>
          <w:p>
            <w:pPr>
              <w:spacing w:line="240" w:lineRule="auto" w:after="0"/>
            </w:pPr>
            <w:r>
              <w:rPr>
                <w:rFonts w:ascii="Times New Roman" w:hAnsi="Times New Roman"/>
                <w:sz w:val="15"/>
              </w:rPr>
            </w:r>
            <w:r>
              <w:rPr>
                <w:rFonts w:ascii="Times New Roman" w:hAnsi="Times New Roman"/>
                <w:sz w:val="15"/>
              </w:rPr>
              <w:t>0.3522</w:t>
            </w:r>
          </w:p>
        </w:tc>
        <w:tc>
          <w:tcPr>
            <w:tcW w:type="dxa" w:w="936"/>
          </w:tcPr>
          <w:p>
            <w:pPr>
              <w:spacing w:line="240" w:lineRule="auto" w:after="0"/>
            </w:pPr>
            <w:r>
              <w:rPr>
                <w:rFonts w:ascii="Times New Roman" w:hAnsi="Times New Roman"/>
                <w:sz w:val="15"/>
              </w:rPr>
            </w:r>
            <w:r>
              <w:rPr>
                <w:rFonts w:ascii="Times New Roman" w:hAnsi="Times New Roman"/>
                <w:sz w:val="15"/>
              </w:rPr>
              <w:t>-0.0052 (0.0012)</w:t>
            </w:r>
          </w:p>
        </w:tc>
        <w:tc>
          <w:tcPr>
            <w:tcW w:type="dxa" w:w="936"/>
          </w:tcPr>
          <w:p>
            <w:pPr>
              <w:spacing w:line="240" w:lineRule="auto" w:after="0"/>
            </w:pPr>
            <w:r>
              <w:rPr>
                <w:rFonts w:ascii="Times New Roman" w:hAnsi="Times New Roman"/>
                <w:sz w:val="15"/>
              </w:rPr>
            </w:r>
            <w:r>
              <w:rPr>
                <w:rFonts w:ascii="Times New Roman" w:hAnsi="Times New Roman"/>
                <w:sz w:val="15"/>
              </w:rPr>
              <w:t>0.0272</w:t>
            </w:r>
          </w:p>
        </w:tc>
        <w:tc>
          <w:tcPr>
            <w:tcW w:type="dxa" w:w="936"/>
          </w:tcPr>
          <w:p>
            <w:pPr>
              <w:spacing w:line="240" w:lineRule="auto" w:after="0"/>
            </w:pPr>
            <w:r>
              <w:rPr>
                <w:rFonts w:ascii="Times New Roman" w:hAnsi="Times New Roman"/>
                <w:sz w:val="15"/>
              </w:rPr>
            </w:r>
            <w:r>
              <w:rPr>
                <w:rFonts w:ascii="Times New Roman" w:hAnsi="Times New Roman"/>
                <w:sz w:val="15"/>
              </w:rPr>
              <w:t>0.0271</w:t>
            </w:r>
          </w:p>
        </w:tc>
        <w:tc>
          <w:tcPr>
            <w:tcW w:type="dxa" w:w="936"/>
          </w:tcPr>
          <w:p>
            <w:pPr>
              <w:spacing w:line="240" w:lineRule="auto" w:after="0"/>
            </w:pPr>
            <w:r>
              <w:rPr>
                <w:rFonts w:ascii="Times New Roman" w:hAnsi="Times New Roman"/>
                <w:sz w:val="15"/>
              </w:rPr>
            </w:r>
            <w:r>
              <w:rPr>
                <w:rFonts w:ascii="Times New Roman" w:hAnsi="Times New Roman"/>
                <w:sz w:val="15"/>
              </w:rPr>
              <w:t>0.998</w:t>
            </w:r>
          </w:p>
        </w:tc>
        <w:tc>
          <w:tcPr>
            <w:tcW w:type="dxa" w:w="936"/>
          </w:tcPr>
          <w:p>
            <w:pPr>
              <w:spacing w:line="240" w:lineRule="auto" w:after="0"/>
            </w:pPr>
            <w:r>
              <w:rPr>
                <w:rFonts w:ascii="Times New Roman" w:hAnsi="Times New Roman"/>
                <w:sz w:val="15"/>
              </w:rPr>
            </w:r>
            <w:r>
              <w:rPr>
                <w:rFonts w:ascii="Times New Roman" w:hAnsi="Times New Roman"/>
                <w:sz w:val="15"/>
              </w:rPr>
              <w:t>93.8 (1.1)</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F</w:t>
            </w:r>
          </w:p>
        </w:tc>
        <w:tc>
          <w:tcPr>
            <w:tcW w:type="dxa" w:w="936"/>
          </w:tcPr>
          <w:p>
            <w:pPr>
              <w:spacing w:line="240" w:lineRule="auto" w:after="0"/>
            </w:pPr>
            <w:r>
              <w:rPr>
                <w:rFonts w:ascii="Times New Roman" w:hAnsi="Times New Roman"/>
                <w:sz w:val="15"/>
              </w:rPr>
            </w:r>
            <w:r>
              <w:rPr>
                <w:rFonts w:ascii="Times New Roman" w:hAnsi="Times New Roman"/>
                <w:sz w:val="15"/>
              </w:rPr>
              <w:t>Landmark Cox</w:t>
            </w:r>
          </w:p>
        </w:tc>
        <w:tc>
          <w:tcPr>
            <w:tcW w:type="dxa" w:w="936"/>
          </w:tcPr>
          <w:p>
            <w:pPr>
              <w:spacing w:line="240" w:lineRule="auto" w:after="0"/>
            </w:pPr>
            <w:r>
              <w:rPr>
                <w:rFonts w:ascii="Times New Roman" w:hAnsi="Times New Roman"/>
                <w:sz w:val="15"/>
              </w:rPr>
            </w:r>
            <w:r>
              <w:rPr>
                <w:rFonts w:ascii="Times New Roman" w:hAnsi="Times New Roman"/>
                <w:sz w:val="15"/>
              </w:rPr>
              <w:t>0.3574</w:t>
            </w:r>
          </w:p>
        </w:tc>
        <w:tc>
          <w:tcPr>
            <w:tcW w:type="dxa" w:w="936"/>
          </w:tcPr>
          <w:p>
            <w:pPr>
              <w:spacing w:line="240" w:lineRule="auto" w:after="0"/>
            </w:pPr>
            <w:r>
              <w:rPr>
                <w:rFonts w:ascii="Times New Roman" w:hAnsi="Times New Roman"/>
                <w:sz w:val="15"/>
              </w:rPr>
            </w:r>
            <w:r>
              <w:rPr>
                <w:rFonts w:ascii="Times New Roman" w:hAnsi="Times New Roman"/>
                <w:sz w:val="15"/>
              </w:rPr>
              <w:t>0.3488</w:t>
            </w:r>
          </w:p>
        </w:tc>
        <w:tc>
          <w:tcPr>
            <w:tcW w:type="dxa" w:w="936"/>
          </w:tcPr>
          <w:p>
            <w:pPr>
              <w:spacing w:line="240" w:lineRule="auto" w:after="0"/>
            </w:pPr>
            <w:r>
              <w:rPr>
                <w:rFonts w:ascii="Times New Roman" w:hAnsi="Times New Roman"/>
                <w:sz w:val="15"/>
              </w:rPr>
            </w:r>
            <w:r>
              <w:rPr>
                <w:rFonts w:ascii="Times New Roman" w:hAnsi="Times New Roman"/>
                <w:sz w:val="15"/>
              </w:rPr>
              <w:t>-0.0086 (0.0014)</w:t>
            </w:r>
          </w:p>
        </w:tc>
        <w:tc>
          <w:tcPr>
            <w:tcW w:type="dxa" w:w="936"/>
          </w:tcPr>
          <w:p>
            <w:pPr>
              <w:spacing w:line="240" w:lineRule="auto" w:after="0"/>
            </w:pPr>
            <w:r>
              <w:rPr>
                <w:rFonts w:ascii="Times New Roman" w:hAnsi="Times New Roman"/>
                <w:sz w:val="15"/>
              </w:rPr>
            </w:r>
            <w:r>
              <w:rPr>
                <w:rFonts w:ascii="Times New Roman" w:hAnsi="Times New Roman"/>
                <w:sz w:val="15"/>
              </w:rPr>
              <w:t>0.0317</w:t>
            </w:r>
          </w:p>
        </w:tc>
        <w:tc>
          <w:tcPr>
            <w:tcW w:type="dxa" w:w="936"/>
          </w:tcPr>
          <w:p>
            <w:pPr>
              <w:spacing w:line="240" w:lineRule="auto" w:after="0"/>
            </w:pPr>
            <w:r>
              <w:rPr>
                <w:rFonts w:ascii="Times New Roman" w:hAnsi="Times New Roman"/>
                <w:sz w:val="15"/>
              </w:rPr>
            </w:r>
            <w:r>
              <w:rPr>
                <w:rFonts w:ascii="Times New Roman" w:hAnsi="Times New Roman"/>
                <w:sz w:val="15"/>
              </w:rPr>
              <w:t>0.0313</w:t>
            </w:r>
          </w:p>
        </w:tc>
        <w:tc>
          <w:tcPr>
            <w:tcW w:type="dxa" w:w="936"/>
          </w:tcPr>
          <w:p>
            <w:pPr>
              <w:spacing w:line="240" w:lineRule="auto" w:after="0"/>
            </w:pPr>
            <w:r>
              <w:rPr>
                <w:rFonts w:ascii="Times New Roman" w:hAnsi="Times New Roman"/>
                <w:sz w:val="15"/>
              </w:rPr>
            </w:r>
            <w:r>
              <w:rPr>
                <w:rFonts w:ascii="Times New Roman" w:hAnsi="Times New Roman"/>
                <w:sz w:val="15"/>
              </w:rPr>
              <w:t>0.987</w:t>
            </w:r>
          </w:p>
        </w:tc>
        <w:tc>
          <w:tcPr>
            <w:tcW w:type="dxa" w:w="936"/>
          </w:tcPr>
          <w:p>
            <w:pPr>
              <w:spacing w:line="240" w:lineRule="auto" w:after="0"/>
            </w:pPr>
            <w:r>
              <w:rPr>
                <w:rFonts w:ascii="Times New Roman" w:hAnsi="Times New Roman"/>
                <w:sz w:val="15"/>
              </w:rPr>
            </w:r>
            <w:r>
              <w:rPr>
                <w:rFonts w:ascii="Times New Roman" w:hAnsi="Times New Roman"/>
                <w:sz w:val="15"/>
              </w:rPr>
              <w:t>92.4 (1.2)</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r>
        <w:trPr>
          <w:cantSplit/>
        </w:trPr>
        <w:tc>
          <w:tcPr>
            <w:tcW w:type="dxa" w:w="936"/>
          </w:tcPr>
          <w:p>
            <w:pPr>
              <w:spacing w:line="240" w:lineRule="auto" w:after="0"/>
            </w:pPr>
            <w:r>
              <w:rPr>
                <w:rFonts w:ascii="Times New Roman" w:hAnsi="Times New Roman"/>
                <w:sz w:val="15"/>
              </w:rPr>
            </w:r>
            <w:r>
              <w:rPr>
                <w:rFonts w:ascii="Times New Roman" w:hAnsi="Times New Roman"/>
                <w:sz w:val="15"/>
              </w:rPr>
              <w:t>F</w:t>
            </w:r>
          </w:p>
        </w:tc>
        <w:tc>
          <w:tcPr>
            <w:tcW w:type="dxa" w:w="936"/>
          </w:tcPr>
          <w:p>
            <w:pPr>
              <w:spacing w:line="240" w:lineRule="auto" w:after="0"/>
            </w:pPr>
            <w:r>
              <w:rPr>
                <w:rFonts w:ascii="Times New Roman" w:hAnsi="Times New Roman"/>
                <w:sz w:val="15"/>
              </w:rPr>
            </w:r>
            <w:r>
              <w:rPr>
                <w:rFonts w:ascii="Times New Roman" w:hAnsi="Times New Roman"/>
                <w:sz w:val="15"/>
              </w:rPr>
              <w:t>Interval-censored Weibull</w:t>
            </w:r>
          </w:p>
        </w:tc>
        <w:tc>
          <w:tcPr>
            <w:tcW w:type="dxa" w:w="936"/>
          </w:tcPr>
          <w:p>
            <w:pPr>
              <w:spacing w:line="240" w:lineRule="auto" w:after="0"/>
            </w:pPr>
            <w:r>
              <w:rPr>
                <w:rFonts w:ascii="Times New Roman" w:hAnsi="Times New Roman"/>
                <w:sz w:val="15"/>
              </w:rPr>
            </w:r>
            <w:r>
              <w:rPr>
                <w:rFonts w:ascii="Times New Roman" w:hAnsi="Times New Roman"/>
                <w:sz w:val="15"/>
              </w:rPr>
              <w:t>0.3574</w:t>
            </w:r>
          </w:p>
        </w:tc>
        <w:tc>
          <w:tcPr>
            <w:tcW w:type="dxa" w:w="936"/>
          </w:tcPr>
          <w:p>
            <w:pPr>
              <w:spacing w:line="240" w:lineRule="auto" w:after="0"/>
            </w:pPr>
            <w:r>
              <w:rPr>
                <w:rFonts w:ascii="Times New Roman" w:hAnsi="Times New Roman"/>
                <w:sz w:val="15"/>
              </w:rPr>
            </w:r>
            <w:r>
              <w:rPr>
                <w:rFonts w:ascii="Times New Roman" w:hAnsi="Times New Roman"/>
                <w:sz w:val="15"/>
              </w:rPr>
              <w:t>0.2142</w:t>
            </w:r>
          </w:p>
        </w:tc>
        <w:tc>
          <w:tcPr>
            <w:tcW w:type="dxa" w:w="936"/>
          </w:tcPr>
          <w:p>
            <w:pPr>
              <w:spacing w:line="240" w:lineRule="auto" w:after="0"/>
            </w:pPr>
            <w:r>
              <w:rPr>
                <w:rFonts w:ascii="Times New Roman" w:hAnsi="Times New Roman"/>
                <w:sz w:val="15"/>
              </w:rPr>
            </w:r>
            <w:r>
              <w:rPr>
                <w:rFonts w:ascii="Times New Roman" w:hAnsi="Times New Roman"/>
                <w:sz w:val="15"/>
              </w:rPr>
              <w:t>-0.1432 (0.0013)</w:t>
            </w:r>
          </w:p>
        </w:tc>
        <w:tc>
          <w:tcPr>
            <w:tcW w:type="dxa" w:w="936"/>
          </w:tcPr>
          <w:p>
            <w:pPr>
              <w:spacing w:line="240" w:lineRule="auto" w:after="0"/>
            </w:pPr>
            <w:r>
              <w:rPr>
                <w:rFonts w:ascii="Times New Roman" w:hAnsi="Times New Roman"/>
                <w:sz w:val="15"/>
              </w:rPr>
            </w:r>
            <w:r>
              <w:rPr>
                <w:rFonts w:ascii="Times New Roman" w:hAnsi="Times New Roman"/>
                <w:sz w:val="15"/>
              </w:rPr>
              <w:t>0.0296</w:t>
            </w:r>
          </w:p>
        </w:tc>
        <w:tc>
          <w:tcPr>
            <w:tcW w:type="dxa" w:w="936"/>
          </w:tcPr>
          <w:p>
            <w:pPr>
              <w:spacing w:line="240" w:lineRule="auto" w:after="0"/>
            </w:pPr>
            <w:r>
              <w:rPr>
                <w:rFonts w:ascii="Times New Roman" w:hAnsi="Times New Roman"/>
                <w:sz w:val="15"/>
              </w:rPr>
            </w:r>
            <w:r>
              <w:rPr>
                <w:rFonts w:ascii="Times New Roman" w:hAnsi="Times New Roman"/>
                <w:sz w:val="15"/>
              </w:rPr>
              <w:t>0.0337</w:t>
            </w:r>
          </w:p>
        </w:tc>
        <w:tc>
          <w:tcPr>
            <w:tcW w:type="dxa" w:w="936"/>
          </w:tcPr>
          <w:p>
            <w:pPr>
              <w:spacing w:line="240" w:lineRule="auto" w:after="0"/>
            </w:pPr>
            <w:r>
              <w:rPr>
                <w:rFonts w:ascii="Times New Roman" w:hAnsi="Times New Roman"/>
                <w:sz w:val="15"/>
              </w:rPr>
            </w:r>
            <w:r>
              <w:rPr>
                <w:rFonts w:ascii="Times New Roman" w:hAnsi="Times New Roman"/>
                <w:sz w:val="15"/>
              </w:rPr>
              <w:t>1.137</w:t>
            </w:r>
          </w:p>
        </w:tc>
        <w:tc>
          <w:tcPr>
            <w:tcW w:type="dxa" w:w="936"/>
          </w:tcPr>
          <w:p>
            <w:pPr>
              <w:spacing w:line="240" w:lineRule="auto" w:after="0"/>
            </w:pPr>
            <w:r>
              <w:rPr>
                <w:rFonts w:ascii="Times New Roman" w:hAnsi="Times New Roman"/>
                <w:sz w:val="15"/>
              </w:rPr>
            </w:r>
            <w:r>
              <w:rPr>
                <w:rFonts w:ascii="Times New Roman" w:hAnsi="Times New Roman"/>
                <w:sz w:val="15"/>
              </w:rPr>
              <w:t>0.4 (0.3)</w:t>
            </w:r>
          </w:p>
        </w:tc>
        <w:tc>
          <w:tcPr>
            <w:tcW w:type="dxa" w:w="936"/>
          </w:tcPr>
          <w:p>
            <w:pPr>
              <w:spacing w:line="240" w:lineRule="auto" w:after="0"/>
            </w:pPr>
            <w:r>
              <w:rPr>
                <w:rFonts w:ascii="Times New Roman" w:hAnsi="Times New Roman"/>
                <w:sz w:val="15"/>
              </w:rPr>
            </w:r>
            <w:r>
              <w:rPr>
                <w:rFonts w:ascii="Times New Roman" w:hAnsi="Times New Roman"/>
                <w:sz w:val="15"/>
              </w:rPr>
              <w:t>100.0 (0.0)</w:t>
            </w:r>
          </w:p>
        </w:tc>
      </w:tr>
    </w:tbl>
    <w:p/>
    <w:p>
      <w:pPr>
        <w:jc w:val="left"/>
      </w:pPr>
      <w:r>
        <w:t>Rejection rates in scenarios B, E and F describe power against a nonzero target. In scenarios A, C and D, the oracle target is approximately zero, so rejection quantifies false rejection for the stated post-window estimand. Scenario N remains the strict global-null type I error check.</w:t>
      </w:r>
    </w:p>
    <w:p>
      <w:pPr>
        <w:pStyle w:val="Heading3"/>
        <w:keepNext/>
        <w:spacing w:line="276" w:lineRule="auto" w:before="200" w:after="80"/>
      </w:pPr>
      <w:r>
        <w:rPr>
          <w:rFonts w:ascii="Times New Roman" w:hAnsi="Times New Roman"/>
          <w:color w:val="000000"/>
        </w:rPr>
        <w:t>7.1 Observation-process summaries</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Scenario</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Median event rate, %</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Median landmark risk set</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Median concurrent fraction, %</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Earlier onset among post-landmark detections, %</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N</w:t>
            </w:r>
          </w:p>
        </w:tc>
        <w:tc>
          <w:tcPr>
            <w:tcW w:type="dxa" w:w="1872"/>
          </w:tcPr>
          <w:p>
            <w:pPr>
              <w:spacing w:line="240" w:lineRule="auto" w:after="0"/>
            </w:pPr>
            <w:r>
              <w:rPr>
                <w:rFonts w:ascii="Times New Roman" w:hAnsi="Times New Roman"/>
                <w:sz w:val="15"/>
              </w:rPr>
            </w:r>
            <w:r>
              <w:rPr>
                <w:rFonts w:ascii="Times New Roman" w:hAnsi="Times New Roman"/>
                <w:sz w:val="15"/>
              </w:rPr>
              <w:t>74.6</w:t>
            </w:r>
          </w:p>
        </w:tc>
        <w:tc>
          <w:tcPr>
            <w:tcW w:type="dxa" w:w="1872"/>
          </w:tcPr>
          <w:p>
            <w:pPr>
              <w:spacing w:line="240" w:lineRule="auto" w:after="0"/>
            </w:pPr>
            <w:r>
              <w:rPr>
                <w:rFonts w:ascii="Times New Roman" w:hAnsi="Times New Roman"/>
                <w:sz w:val="15"/>
              </w:rPr>
            </w:r>
            <w:r>
              <w:rPr>
                <w:rFonts w:ascii="Times New Roman" w:hAnsi="Times New Roman"/>
                <w:sz w:val="15"/>
              </w:rPr>
              <w:t>1,464</w:t>
            </w:r>
          </w:p>
        </w:tc>
        <w:tc>
          <w:tcPr>
            <w:tcW w:type="dxa" w:w="1872"/>
          </w:tcPr>
          <w:p>
            <w:pPr>
              <w:spacing w:line="240" w:lineRule="auto" w:after="0"/>
            </w:pPr>
            <w:r>
              <w:rPr>
                <w:rFonts w:ascii="Times New Roman" w:hAnsi="Times New Roman"/>
                <w:sz w:val="15"/>
              </w:rPr>
            </w:r>
            <w:r>
              <w:rPr>
                <w:rFonts w:ascii="Times New Roman" w:hAnsi="Times New Roman"/>
                <w:sz w:val="15"/>
              </w:rPr>
              <w:t>23.7</w:t>
            </w:r>
          </w:p>
        </w:tc>
        <w:tc>
          <w:tcPr>
            <w:tcW w:type="dxa" w:w="1872"/>
          </w:tcPr>
          <w:p>
            <w:pPr>
              <w:spacing w:line="240" w:lineRule="auto" w:after="0"/>
            </w:pPr>
            <w:r>
              <w:rPr>
                <w:rFonts w:ascii="Times New Roman" w:hAnsi="Times New Roman"/>
                <w:sz w:val="15"/>
              </w:rPr>
            </w:r>
            <w:r>
              <w:rPr>
                <w:rFonts w:ascii="Times New Roman" w:hAnsi="Times New Roman"/>
                <w:sz w:val="15"/>
              </w:rPr>
              <w:t>28.6</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A</w:t>
            </w:r>
          </w:p>
        </w:tc>
        <w:tc>
          <w:tcPr>
            <w:tcW w:type="dxa" w:w="1872"/>
          </w:tcPr>
          <w:p>
            <w:pPr>
              <w:spacing w:line="240" w:lineRule="auto" w:after="0"/>
            </w:pPr>
            <w:r>
              <w:rPr>
                <w:rFonts w:ascii="Times New Roman" w:hAnsi="Times New Roman"/>
                <w:sz w:val="15"/>
              </w:rPr>
            </w:r>
            <w:r>
              <w:rPr>
                <w:rFonts w:ascii="Times New Roman" w:hAnsi="Times New Roman"/>
                <w:sz w:val="15"/>
              </w:rPr>
              <w:t>75.5</w:t>
            </w:r>
          </w:p>
        </w:tc>
        <w:tc>
          <w:tcPr>
            <w:tcW w:type="dxa" w:w="1872"/>
          </w:tcPr>
          <w:p>
            <w:pPr>
              <w:spacing w:line="240" w:lineRule="auto" w:after="0"/>
            </w:pPr>
            <w:r>
              <w:rPr>
                <w:rFonts w:ascii="Times New Roman" w:hAnsi="Times New Roman"/>
                <w:sz w:val="15"/>
              </w:rPr>
            </w:r>
            <w:r>
              <w:rPr>
                <w:rFonts w:ascii="Times New Roman" w:hAnsi="Times New Roman"/>
                <w:sz w:val="15"/>
              </w:rPr>
              <w:t>1,406</w:t>
            </w:r>
          </w:p>
        </w:tc>
        <w:tc>
          <w:tcPr>
            <w:tcW w:type="dxa" w:w="1872"/>
          </w:tcPr>
          <w:p>
            <w:pPr>
              <w:spacing w:line="240" w:lineRule="auto" w:after="0"/>
            </w:pPr>
            <w:r>
              <w:rPr>
                <w:rFonts w:ascii="Times New Roman" w:hAnsi="Times New Roman"/>
                <w:sz w:val="15"/>
              </w:rPr>
            </w:r>
            <w:r>
              <w:rPr>
                <w:rFonts w:ascii="Times New Roman" w:hAnsi="Times New Roman"/>
                <w:sz w:val="15"/>
              </w:rPr>
              <w:t>27.3</w:t>
            </w:r>
          </w:p>
        </w:tc>
        <w:tc>
          <w:tcPr>
            <w:tcW w:type="dxa" w:w="1872"/>
          </w:tcPr>
          <w:p>
            <w:pPr>
              <w:spacing w:line="240" w:lineRule="auto" w:after="0"/>
            </w:pPr>
            <w:r>
              <w:rPr>
                <w:rFonts w:ascii="Times New Roman" w:hAnsi="Times New Roman"/>
                <w:sz w:val="15"/>
              </w:rPr>
            </w:r>
            <w:r>
              <w:rPr>
                <w:rFonts w:ascii="Times New Roman" w:hAnsi="Times New Roman"/>
                <w:sz w:val="15"/>
              </w:rPr>
              <w:t>30.9</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B</w:t>
            </w:r>
          </w:p>
        </w:tc>
        <w:tc>
          <w:tcPr>
            <w:tcW w:type="dxa" w:w="1872"/>
          </w:tcPr>
          <w:p>
            <w:pPr>
              <w:spacing w:line="240" w:lineRule="auto" w:after="0"/>
            </w:pPr>
            <w:r>
              <w:rPr>
                <w:rFonts w:ascii="Times New Roman" w:hAnsi="Times New Roman"/>
                <w:sz w:val="15"/>
              </w:rPr>
            </w:r>
            <w:r>
              <w:rPr>
                <w:rFonts w:ascii="Times New Roman" w:hAnsi="Times New Roman"/>
                <w:sz w:val="15"/>
              </w:rPr>
              <w:t>73.1</w:t>
            </w:r>
          </w:p>
        </w:tc>
        <w:tc>
          <w:tcPr>
            <w:tcW w:type="dxa" w:w="1872"/>
          </w:tcPr>
          <w:p>
            <w:pPr>
              <w:spacing w:line="240" w:lineRule="auto" w:after="0"/>
            </w:pPr>
            <w:r>
              <w:rPr>
                <w:rFonts w:ascii="Times New Roman" w:hAnsi="Times New Roman"/>
                <w:sz w:val="15"/>
              </w:rPr>
            </w:r>
            <w:r>
              <w:rPr>
                <w:rFonts w:ascii="Times New Roman" w:hAnsi="Times New Roman"/>
                <w:sz w:val="15"/>
              </w:rPr>
              <w:t>1,404</w:t>
            </w:r>
          </w:p>
        </w:tc>
        <w:tc>
          <w:tcPr>
            <w:tcW w:type="dxa" w:w="1872"/>
          </w:tcPr>
          <w:p>
            <w:pPr>
              <w:spacing w:line="240" w:lineRule="auto" w:after="0"/>
            </w:pPr>
            <w:r>
              <w:rPr>
                <w:rFonts w:ascii="Times New Roman" w:hAnsi="Times New Roman"/>
                <w:sz w:val="15"/>
              </w:rPr>
            </w:r>
            <w:r>
              <w:rPr>
                <w:rFonts w:ascii="Times New Roman" w:hAnsi="Times New Roman"/>
                <w:sz w:val="15"/>
              </w:rPr>
              <w:t>28.4</w:t>
            </w:r>
          </w:p>
        </w:tc>
        <w:tc>
          <w:tcPr>
            <w:tcW w:type="dxa" w:w="1872"/>
          </w:tcPr>
          <w:p>
            <w:pPr>
              <w:spacing w:line="240" w:lineRule="auto" w:after="0"/>
            </w:pPr>
            <w:r>
              <w:rPr>
                <w:rFonts w:ascii="Times New Roman" w:hAnsi="Times New Roman"/>
                <w:sz w:val="15"/>
              </w:rPr>
            </w:r>
            <w:r>
              <w:rPr>
                <w:rFonts w:ascii="Times New Roman" w:hAnsi="Times New Roman"/>
                <w:sz w:val="15"/>
              </w:rPr>
              <w:t>32.4</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C</w:t>
            </w:r>
          </w:p>
        </w:tc>
        <w:tc>
          <w:tcPr>
            <w:tcW w:type="dxa" w:w="1872"/>
          </w:tcPr>
          <w:p>
            <w:pPr>
              <w:spacing w:line="240" w:lineRule="auto" w:after="0"/>
            </w:pPr>
            <w:r>
              <w:rPr>
                <w:rFonts w:ascii="Times New Roman" w:hAnsi="Times New Roman"/>
                <w:sz w:val="15"/>
              </w:rPr>
            </w:r>
            <w:r>
              <w:rPr>
                <w:rFonts w:ascii="Times New Roman" w:hAnsi="Times New Roman"/>
                <w:sz w:val="15"/>
              </w:rPr>
              <w:t>74.7</w:t>
            </w:r>
          </w:p>
        </w:tc>
        <w:tc>
          <w:tcPr>
            <w:tcW w:type="dxa" w:w="1872"/>
          </w:tcPr>
          <w:p>
            <w:pPr>
              <w:spacing w:line="240" w:lineRule="auto" w:after="0"/>
            </w:pPr>
            <w:r>
              <w:rPr>
                <w:rFonts w:ascii="Times New Roman" w:hAnsi="Times New Roman"/>
                <w:sz w:val="15"/>
              </w:rPr>
            </w:r>
            <w:r>
              <w:rPr>
                <w:rFonts w:ascii="Times New Roman" w:hAnsi="Times New Roman"/>
                <w:sz w:val="15"/>
              </w:rPr>
              <w:t>1,458</w:t>
            </w:r>
          </w:p>
        </w:tc>
        <w:tc>
          <w:tcPr>
            <w:tcW w:type="dxa" w:w="1872"/>
          </w:tcPr>
          <w:p>
            <w:pPr>
              <w:spacing w:line="240" w:lineRule="auto" w:after="0"/>
            </w:pPr>
            <w:r>
              <w:rPr>
                <w:rFonts w:ascii="Times New Roman" w:hAnsi="Times New Roman"/>
                <w:sz w:val="15"/>
              </w:rPr>
            </w:r>
            <w:r>
              <w:rPr>
                <w:rFonts w:ascii="Times New Roman" w:hAnsi="Times New Roman"/>
                <w:sz w:val="15"/>
              </w:rPr>
              <w:t>24.2</w:t>
            </w:r>
          </w:p>
        </w:tc>
        <w:tc>
          <w:tcPr>
            <w:tcW w:type="dxa" w:w="1872"/>
          </w:tcPr>
          <w:p>
            <w:pPr>
              <w:spacing w:line="240" w:lineRule="auto" w:after="0"/>
            </w:pPr>
            <w:r>
              <w:rPr>
                <w:rFonts w:ascii="Times New Roman" w:hAnsi="Times New Roman"/>
                <w:sz w:val="15"/>
              </w:rPr>
            </w:r>
            <w:r>
              <w:rPr>
                <w:rFonts w:ascii="Times New Roman" w:hAnsi="Times New Roman"/>
                <w:sz w:val="15"/>
              </w:rPr>
              <w:t>29.2</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D</w:t>
            </w:r>
          </w:p>
        </w:tc>
        <w:tc>
          <w:tcPr>
            <w:tcW w:type="dxa" w:w="1872"/>
          </w:tcPr>
          <w:p>
            <w:pPr>
              <w:spacing w:line="240" w:lineRule="auto" w:after="0"/>
            </w:pPr>
            <w:r>
              <w:rPr>
                <w:rFonts w:ascii="Times New Roman" w:hAnsi="Times New Roman"/>
                <w:sz w:val="15"/>
              </w:rPr>
            </w:r>
            <w:r>
              <w:rPr>
                <w:rFonts w:ascii="Times New Roman" w:hAnsi="Times New Roman"/>
                <w:sz w:val="15"/>
              </w:rPr>
              <w:t>75.1</w:t>
            </w:r>
          </w:p>
        </w:tc>
        <w:tc>
          <w:tcPr>
            <w:tcW w:type="dxa" w:w="1872"/>
          </w:tcPr>
          <w:p>
            <w:pPr>
              <w:spacing w:line="240" w:lineRule="auto" w:after="0"/>
            </w:pPr>
            <w:r>
              <w:rPr>
                <w:rFonts w:ascii="Times New Roman" w:hAnsi="Times New Roman"/>
                <w:sz w:val="15"/>
              </w:rPr>
            </w:r>
            <w:r>
              <w:rPr>
                <w:rFonts w:ascii="Times New Roman" w:hAnsi="Times New Roman"/>
                <w:sz w:val="15"/>
              </w:rPr>
              <w:t>1,368</w:t>
            </w:r>
          </w:p>
        </w:tc>
        <w:tc>
          <w:tcPr>
            <w:tcW w:type="dxa" w:w="1872"/>
          </w:tcPr>
          <w:p>
            <w:pPr>
              <w:spacing w:line="240" w:lineRule="auto" w:after="0"/>
            </w:pPr>
            <w:r>
              <w:rPr>
                <w:rFonts w:ascii="Times New Roman" w:hAnsi="Times New Roman"/>
                <w:sz w:val="15"/>
              </w:rPr>
            </w:r>
            <w:r>
              <w:rPr>
                <w:rFonts w:ascii="Times New Roman" w:hAnsi="Times New Roman"/>
                <w:sz w:val="15"/>
              </w:rPr>
              <w:t>30.2</w:t>
            </w:r>
          </w:p>
        </w:tc>
        <w:tc>
          <w:tcPr>
            <w:tcW w:type="dxa" w:w="1872"/>
          </w:tcPr>
          <w:p>
            <w:pPr>
              <w:spacing w:line="240" w:lineRule="auto" w:after="0"/>
            </w:pPr>
            <w:r>
              <w:rPr>
                <w:rFonts w:ascii="Times New Roman" w:hAnsi="Times New Roman"/>
                <w:sz w:val="15"/>
              </w:rPr>
            </w:r>
            <w:r>
              <w:rPr>
                <w:rFonts w:ascii="Times New Roman" w:hAnsi="Times New Roman"/>
                <w:sz w:val="15"/>
              </w:rPr>
              <w:t>29.2</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E</w:t>
            </w:r>
          </w:p>
        </w:tc>
        <w:tc>
          <w:tcPr>
            <w:tcW w:type="dxa" w:w="1872"/>
          </w:tcPr>
          <w:p>
            <w:pPr>
              <w:spacing w:line="240" w:lineRule="auto" w:after="0"/>
            </w:pPr>
            <w:r>
              <w:rPr>
                <w:rFonts w:ascii="Times New Roman" w:hAnsi="Times New Roman"/>
                <w:sz w:val="15"/>
              </w:rPr>
            </w:r>
            <w:r>
              <w:rPr>
                <w:rFonts w:ascii="Times New Roman" w:hAnsi="Times New Roman"/>
                <w:sz w:val="15"/>
              </w:rPr>
              <w:t>61.6</w:t>
            </w:r>
          </w:p>
        </w:tc>
        <w:tc>
          <w:tcPr>
            <w:tcW w:type="dxa" w:w="1872"/>
          </w:tcPr>
          <w:p>
            <w:pPr>
              <w:spacing w:line="240" w:lineRule="auto" w:after="0"/>
            </w:pPr>
            <w:r>
              <w:rPr>
                <w:rFonts w:ascii="Times New Roman" w:hAnsi="Times New Roman"/>
                <w:sz w:val="15"/>
              </w:rPr>
            </w:r>
            <w:r>
              <w:rPr>
                <w:rFonts w:ascii="Times New Roman" w:hAnsi="Times New Roman"/>
                <w:sz w:val="15"/>
              </w:rPr>
              <w:t>1,616</w:t>
            </w:r>
          </w:p>
        </w:tc>
        <w:tc>
          <w:tcPr>
            <w:tcW w:type="dxa" w:w="1872"/>
          </w:tcPr>
          <w:p>
            <w:pPr>
              <w:spacing w:line="240" w:lineRule="auto" w:after="0"/>
            </w:pPr>
            <w:r>
              <w:rPr>
                <w:rFonts w:ascii="Times New Roman" w:hAnsi="Times New Roman"/>
                <w:sz w:val="15"/>
              </w:rPr>
            </w:r>
            <w:r>
              <w:rPr>
                <w:rFonts w:ascii="Times New Roman" w:hAnsi="Times New Roman"/>
                <w:sz w:val="15"/>
              </w:rPr>
              <w:t>15.8</w:t>
            </w:r>
          </w:p>
        </w:tc>
        <w:tc>
          <w:tcPr>
            <w:tcW w:type="dxa" w:w="1872"/>
          </w:tcPr>
          <w:p>
            <w:pPr>
              <w:spacing w:line="240" w:lineRule="auto" w:after="0"/>
            </w:pPr>
            <w:r>
              <w:rPr>
                <w:rFonts w:ascii="Times New Roman" w:hAnsi="Times New Roman"/>
                <w:sz w:val="15"/>
              </w:rPr>
            </w:r>
            <w:r>
              <w:rPr>
                <w:rFonts w:ascii="Times New Roman" w:hAnsi="Times New Roman"/>
                <w:sz w:val="15"/>
              </w:rPr>
              <w:t>44.6</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F</w:t>
            </w:r>
          </w:p>
        </w:tc>
        <w:tc>
          <w:tcPr>
            <w:tcW w:type="dxa" w:w="1872"/>
          </w:tcPr>
          <w:p>
            <w:pPr>
              <w:spacing w:line="240" w:lineRule="auto" w:after="0"/>
            </w:pPr>
            <w:r>
              <w:rPr>
                <w:rFonts w:ascii="Times New Roman" w:hAnsi="Times New Roman"/>
                <w:sz w:val="15"/>
              </w:rPr>
            </w:r>
            <w:r>
              <w:rPr>
                <w:rFonts w:ascii="Times New Roman" w:hAnsi="Times New Roman"/>
                <w:sz w:val="15"/>
              </w:rPr>
              <w:t>73.1</w:t>
            </w:r>
          </w:p>
        </w:tc>
        <w:tc>
          <w:tcPr>
            <w:tcW w:type="dxa" w:w="1872"/>
          </w:tcPr>
          <w:p>
            <w:pPr>
              <w:spacing w:line="240" w:lineRule="auto" w:after="0"/>
            </w:pPr>
            <w:r>
              <w:rPr>
                <w:rFonts w:ascii="Times New Roman" w:hAnsi="Times New Roman"/>
                <w:sz w:val="15"/>
              </w:rPr>
            </w:r>
            <w:r>
              <w:rPr>
                <w:rFonts w:ascii="Times New Roman" w:hAnsi="Times New Roman"/>
                <w:sz w:val="15"/>
              </w:rPr>
              <w:t>1,451</w:t>
            </w:r>
          </w:p>
        </w:tc>
        <w:tc>
          <w:tcPr>
            <w:tcW w:type="dxa" w:w="1872"/>
          </w:tcPr>
          <w:p>
            <w:pPr>
              <w:spacing w:line="240" w:lineRule="auto" w:after="0"/>
            </w:pPr>
            <w:r>
              <w:rPr>
                <w:rFonts w:ascii="Times New Roman" w:hAnsi="Times New Roman"/>
                <w:sz w:val="15"/>
              </w:rPr>
            </w:r>
            <w:r>
              <w:rPr>
                <w:rFonts w:ascii="Times New Roman" w:hAnsi="Times New Roman"/>
                <w:sz w:val="15"/>
              </w:rPr>
              <w:t>25.0</w:t>
            </w:r>
          </w:p>
        </w:tc>
        <w:tc>
          <w:tcPr>
            <w:tcW w:type="dxa" w:w="1872"/>
          </w:tcPr>
          <w:p>
            <w:pPr>
              <w:spacing w:line="240" w:lineRule="auto" w:after="0"/>
            </w:pPr>
            <w:r>
              <w:rPr>
                <w:rFonts w:ascii="Times New Roman" w:hAnsi="Times New Roman"/>
                <w:sz w:val="15"/>
              </w:rPr>
            </w:r>
            <w:r>
              <w:rPr>
                <w:rFonts w:ascii="Times New Roman" w:hAnsi="Times New Roman"/>
                <w:sz w:val="15"/>
              </w:rPr>
              <w:t>30.2</w:t>
            </w:r>
          </w:p>
        </w:tc>
      </w:tr>
    </w:tbl>
    <w:p/>
    <w:p>
      <w:pPr>
        <w:pStyle w:val="Heading2"/>
        <w:keepNext/>
        <w:spacing w:line="276" w:lineRule="auto" w:before="200" w:after="80"/>
      </w:pPr>
      <w:r>
        <w:rPr>
          <w:rFonts w:ascii="Times New Roman" w:hAnsi="Times New Roman"/>
          <w:color w:val="000000"/>
        </w:rPr>
        <w:t>8. Interpretation</w:t>
      </w:r>
    </w:p>
    <w:p>
      <w:pPr>
        <w:jc w:val="left"/>
      </w:pPr>
      <w:r>
        <w:t>The global-null scenario rules out the strongest version of the argument. Window overlap, delayed detection and latent pre-landmark onset did not automatically generate false associations.</w:t>
      </w:r>
    </w:p>
    <w:p>
      <w:pPr>
        <w:jc w:val="left"/>
      </w:pPr>
      <w:r>
        <w:t>Bias emerged when events generated under an early association entered an analysis aimed at a different post-window association. A landmark reduced this mixing but could not remove patients whose onset preceded the landmark and whose first positive measurement came later. Severity-dependent sampling added another source of mismatch.</w:t>
      </w:r>
    </w:p>
    <w:p>
      <w:pPr>
        <w:jc w:val="left"/>
      </w:pPr>
      <w:r>
        <w:t>The interval-censored model recovered the oracle target closely in scenarios B and E, but it failed in scenario F. That failure is informative. Accounting for interval censoring does not guarantee recovery of a Cox estimand when the parametric event-time model and selection mechanism differ from the target. There is no universally preferred estimator in these scenarios.</w:t>
      </w:r>
    </w:p>
    <w:p>
      <w:pPr>
        <w:jc w:val="left"/>
      </w:pPr>
      <w:r>
        <w:t>The practical conclusion is diagnostic rather than prescriptive. Investigators should define the target risk set, distinguish onset from detection, report measurement intervals, and choose a model whose assumptions match the observation process.</w:t>
      </w:r>
    </w:p>
    <w:p>
      <w:pPr>
        <w:pStyle w:val="Heading2"/>
        <w:keepNext/>
        <w:spacing w:line="276" w:lineRule="auto" w:before="200" w:after="80"/>
      </w:pPr>
      <w:r>
        <w:rPr>
          <w:rFonts w:ascii="Times New Roman" w:hAnsi="Times New Roman"/>
          <w:color w:val="000000"/>
        </w:rPr>
        <w:t>9. Reproduction</w:t>
      </w:r>
    </w:p>
    <w:p>
      <w:pPr>
        <w:jc w:val="left"/>
      </w:pPr>
      <w:r>
        <w:t xml:space="preserve">The complete script is </w:t>
      </w:r>
      <w:r>
        <w:rPr>
          <w:rFonts w:ascii="Consolas" w:hAnsi="Consolas"/>
          <w:sz w:val="18"/>
        </w:rPr>
        <w:t>analysis/gate29_simulation.py</w:t>
      </w:r>
      <w:r>
        <w:t xml:space="preserve"> in Additional file 12. The submitted aggregate output is </w:t>
      </w:r>
      <w:r>
        <w:rPr>
          <w:rFonts w:ascii="Consolas" w:hAnsi="Consolas"/>
          <w:sz w:val="18"/>
        </w:rPr>
        <w:t>analysis/results/manuscript_final/af_simulation.csv</w:t>
      </w:r>
      <w:r>
        <w:t xml:space="preserve">; the figure source is </w:t>
      </w:r>
      <w:r>
        <w:rPr>
          <w:rFonts w:ascii="Consolas" w:hAnsi="Consolas"/>
          <w:sz w:val="18"/>
        </w:rPr>
        <w:t>figure_simulation_performance.pdf</w:t>
      </w:r>
      <w:r>
        <w:t>, with matching SVG and 600-dpi PNG files.</w:t>
      </w:r>
    </w:p>
    <w:p>
      <w:pPr>
        <w:jc w:val="left"/>
      </w:pPr>
      <w:r>
        <w:t>The final run used Python 3.12.13 with NumPy 2.4.6, pandas 2.3.3, matplotlib 3.11.0, SciPy 1.17.1, statsmodels 0.14.6 and lifelines 0.30.1. Seeds, scenario parameters and all transformations are contained in the script.</w:t>
      </w:r>
    </w:p>
    <w:sectPr w:rsidR="00FC693F" w:rsidRPr="0006063C" w:rsidSect="00034616">
      <w:footerReference w:type="default" r:id="rId9"/>
      <w:pgSz w:w="12240" w:h="15840"/>
      <w:pgMar w:top="1440" w:right="1440" w:bottom="1440" w:left="1440" w:header="720" w:footer="720" w:gutter="0"/>
      <w:cols w:space="720"/>
      <w:docGrid w:linePitch="360"/>
      <w:lnNumType w:countBy="5" w:start="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r>
    <w:r>
      <w:rPr>
        <w:rFonts w:ascii="Times New Roman" w:hAnsi="Times New Roman"/>
        <w:sz w:val="18"/>
      </w:rPr>
      <w:fldChar w:fldCharType="begin"/>
      <w:instrText xml:space="preserve">PAGE</w:instrText>
      <w:fldChar w:fldCharType="separate"/>
      <w:fldChar w:fldCharType="end"/>
    </w:r>
    <w:r>
      <w:rPr>
        <w:rFonts w:ascii="Times New Roman" w:hAnsi="Times New Roman"/>
        <w:sz w:val="18"/>
      </w:rPr>
      <w:t xml:space="preserve"> of </w:t>
    </w:r>
    <w:r>
      <w:rPr>
        <w:rFonts w:ascii="Times New Roman" w:hAnsi="Times New Roman"/>
        <w:sz w:val="18"/>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7: simulation study</dc:title>
  <dc:subject>Deeply revised manuscript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