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line="276" w:lineRule="auto" w:before="200" w:after="80"/>
        <w:jc w:val="center"/>
      </w:pPr>
      <w:r>
        <w:rPr>
          <w:rFonts w:ascii="Times New Roman" w:hAnsi="Times New Roman"/>
          <w:b/>
          <w:color w:val="000000"/>
          <w:sz w:val="28"/>
        </w:rPr>
        <w:t>Additional file 2. Analysis provenance</w:t>
      </w:r>
    </w:p>
    <w:p>
      <w:pPr>
        <w:jc w:val="left"/>
      </w:pPr>
      <w:r>
        <w:t>This analysis was not preregistered. A written analysis plan was created before the corresponding effect estimates were produced, but it has no independent timestamp. It should not be treated as proof of priority or as a registered protocol.</w:t>
      </w:r>
    </w:p>
    <w:p>
      <w:pPr>
        <w:jc w:val="left"/>
      </w:pPr>
      <w:r>
        <w:t>This file separates three classes of work: analyses defined in the initial plan, analyses added during an internal methodological audit, and diagnostics performed after results were known. The categories describe provenance rather than statistical quality. Post hoc analyses are labelled so their P values are not read as prespecified confirmatory tests.</w:t>
      </w:r>
    </w:p>
    <w:p>
      <w:pPr>
        <w:pStyle w:val="Heading2"/>
        <w:keepNext/>
        <w:spacing w:line="276" w:lineRule="auto" w:before="200" w:after="80"/>
      </w:pPr>
      <w:r>
        <w:rPr>
          <w:rFonts w:ascii="Times New Roman" w:hAnsi="Times New Roman"/>
          <w:color w:val="000000"/>
        </w:rPr>
        <w:t>A. Defined in the initial analysis plan</w:t>
      </w:r>
    </w:p>
    <w:tbl>
      <w:tblPr>
        <w:tblStyle w:val="TableGrid"/>
        <w:tblW w:type="auto" w:w="0"/>
        <w:jc w:val="center"/>
        <w:tblLook w:firstColumn="1" w:firstRow="1" w:lastColumn="0" w:lastRow="0" w:noHBand="0" w:noVBand="1" w:val="04A0"/>
      </w:tblPr>
      <w:tblGrid>
        <w:gridCol w:w="3120"/>
        <w:gridCol w:w="3120"/>
        <w:gridCol w:w="3120"/>
      </w:tblGrid>
      <w:tr>
        <w:trPr>
          <w:tblHeader w:val="true"/>
          <w:cantSplit/>
        </w:trPr>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Analysis decision</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Location in manuscript</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Main implementation</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Cardiopulmonary-bypass separation as the primary time origin, with unified surgery-end and hybrid clocks as diagnostics</w:t>
            </w:r>
          </w:p>
        </w:tc>
        <w:tc>
          <w:tcPr>
            <w:tcW w:type="dxa" w:w="3120"/>
          </w:tcPr>
          <w:p>
            <w:pPr>
              <w:spacing w:line="240" w:lineRule="auto" w:after="0"/>
            </w:pPr>
            <w:r>
              <w:rPr>
                <w:rFonts w:ascii="Times New Roman" w:hAnsi="Times New Roman"/>
                <w:sz w:val="15"/>
              </w:rPr>
            </w:r>
            <w:r>
              <w:rPr>
                <w:rFonts w:ascii="Times New Roman" w:hAnsi="Times New Roman"/>
                <w:sz w:val="15"/>
              </w:rPr>
              <w:t>Methods, Time origin; Table 2</w:t>
            </w:r>
          </w:p>
        </w:tc>
        <w:tc>
          <w:tcPr>
            <w:tcW w:type="dxa" w:w="3120"/>
          </w:tcPr>
          <w:p>
            <w:pPr>
              <w:spacing w:line="240" w:lineRule="auto" w:after="0"/>
            </w:pPr>
            <w:r>
              <w:rPr>
                <w:rFonts w:ascii="Times New Roman" w:hAnsi="Times New Roman"/>
                <w:sz w:val="15"/>
              </w:rPr>
            </w:r>
            <w:r>
              <w:rPr>
                <w:rFonts w:ascii="Times New Roman" w:hAnsi="Times New Roman"/>
                <w:sz w:val="15"/>
              </w:rPr>
              <w:t>landmark_audit.py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Patient as the primary unit, represented by the first eligible operation</w:t>
            </w:r>
          </w:p>
        </w:tc>
        <w:tc>
          <w:tcPr>
            <w:tcW w:type="dxa" w:w="3120"/>
          </w:tcPr>
          <w:p>
            <w:pPr>
              <w:spacing w:line="240" w:lineRule="auto" w:after="0"/>
            </w:pPr>
            <w:r>
              <w:rPr>
                <w:rFonts w:ascii="Times New Roman" w:hAnsi="Times New Roman"/>
                <w:sz w:val="15"/>
              </w:rPr>
            </w:r>
            <w:r>
              <w:rPr>
                <w:rFonts w:ascii="Times New Roman" w:hAnsi="Times New Roman"/>
                <w:sz w:val="15"/>
              </w:rPr>
              <w:t>Methods, Participants</w:t>
            </w:r>
          </w:p>
        </w:tc>
        <w:tc>
          <w:tcPr>
            <w:tcW w:type="dxa" w:w="3120"/>
          </w:tcPr>
          <w:p>
            <w:pPr>
              <w:spacing w:line="240" w:lineRule="auto" w:after="0"/>
            </w:pPr>
            <w:r>
              <w:rPr>
                <w:rFonts w:ascii="Times New Roman" w:hAnsi="Times New Roman"/>
                <w:sz w:val="15"/>
              </w:rPr>
            </w:r>
            <w:r>
              <w:rPr>
                <w:rFonts w:ascii="Times New Roman" w:hAnsi="Times New Roman"/>
                <w:sz w:val="15"/>
              </w:rPr>
              <w:t>gate7_corrected_primary.py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Peak arterial lactate over 0 to 24 hours and four grid-compatible strata</w:t>
            </w:r>
          </w:p>
        </w:tc>
        <w:tc>
          <w:tcPr>
            <w:tcW w:type="dxa" w:w="3120"/>
          </w:tcPr>
          <w:p>
            <w:pPr>
              <w:spacing w:line="240" w:lineRule="auto" w:after="0"/>
            </w:pPr>
            <w:r>
              <w:rPr>
                <w:rFonts w:ascii="Times New Roman" w:hAnsi="Times New Roman"/>
                <w:sz w:val="15"/>
              </w:rPr>
            </w:r>
            <w:r>
              <w:rPr>
                <w:rFonts w:ascii="Times New Roman" w:hAnsi="Times New Roman"/>
                <w:sz w:val="15"/>
              </w:rPr>
              <w:t>Methods, Exposure</w:t>
            </w:r>
          </w:p>
        </w:tc>
        <w:tc>
          <w:tcPr>
            <w:tcW w:type="dxa" w:w="3120"/>
          </w:tcPr>
          <w:p>
            <w:pPr>
              <w:spacing w:line="240" w:lineRule="auto" w:after="0"/>
            </w:pPr>
            <w:r>
              <w:rPr>
                <w:rFonts w:ascii="Times New Roman" w:hAnsi="Times New Roman"/>
                <w:sz w:val="15"/>
              </w:rPr>
            </w:r>
            <w:r>
              <w:rPr>
                <w:rFonts w:ascii="Times New Roman" w:hAnsi="Times New Roman"/>
                <w:sz w:val="15"/>
              </w:rPr>
              <w:t>landmark_audit.py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Creatinine-only modified KDIGO outcome with explicit baseline and component-specific time limits</w:t>
            </w:r>
          </w:p>
        </w:tc>
        <w:tc>
          <w:tcPr>
            <w:tcW w:type="dxa" w:w="3120"/>
          </w:tcPr>
          <w:p>
            <w:pPr>
              <w:spacing w:line="240" w:lineRule="auto" w:after="0"/>
            </w:pPr>
            <w:r>
              <w:rPr>
                <w:rFonts w:ascii="Times New Roman" w:hAnsi="Times New Roman"/>
                <w:sz w:val="15"/>
              </w:rPr>
            </w:r>
            <w:r>
              <w:rPr>
                <w:rFonts w:ascii="Times New Roman" w:hAnsi="Times New Roman"/>
                <w:sz w:val="15"/>
              </w:rPr>
              <w:t>Methods, Outcomes</w:t>
            </w:r>
          </w:p>
        </w:tc>
        <w:tc>
          <w:tcPr>
            <w:tcW w:type="dxa" w:w="3120"/>
          </w:tcPr>
          <w:p>
            <w:pPr>
              <w:spacing w:line="240" w:lineRule="auto" w:after="0"/>
            </w:pPr>
            <w:r>
              <w:rPr>
                <w:rFonts w:ascii="Times New Roman" w:hAnsi="Times New Roman"/>
                <w:sz w:val="15"/>
              </w:rPr>
            </w:r>
            <w:r>
              <w:rPr>
                <w:rFonts w:ascii="Times New Roman" w:hAnsi="Times New Roman"/>
                <w:sz w:val="15"/>
              </w:rPr>
              <w:t>landmark_audit.py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Classification of events as concurrent or newly detected at the 24-hour landmark</w:t>
            </w:r>
          </w:p>
        </w:tc>
        <w:tc>
          <w:tcPr>
            <w:tcW w:type="dxa" w:w="3120"/>
          </w:tcPr>
          <w:p>
            <w:pPr>
              <w:spacing w:line="240" w:lineRule="auto" w:after="0"/>
            </w:pPr>
            <w:r>
              <w:rPr>
                <w:rFonts w:ascii="Times New Roman" w:hAnsi="Times New Roman"/>
                <w:sz w:val="15"/>
              </w:rPr>
            </w:r>
            <w:r>
              <w:rPr>
                <w:rFonts w:ascii="Times New Roman" w:hAnsi="Times New Roman"/>
                <w:sz w:val="15"/>
              </w:rPr>
              <w:t>Methods, Outcomes; Table 2</w:t>
            </w:r>
          </w:p>
        </w:tc>
        <w:tc>
          <w:tcPr>
            <w:tcW w:type="dxa" w:w="3120"/>
          </w:tcPr>
          <w:p>
            <w:pPr>
              <w:spacing w:line="240" w:lineRule="auto" w:after="0"/>
            </w:pPr>
            <w:r>
              <w:rPr>
                <w:rFonts w:ascii="Times New Roman" w:hAnsi="Times New Roman"/>
                <w:sz w:val="15"/>
              </w:rPr>
            </w:r>
            <w:r>
              <w:rPr>
                <w:rFonts w:ascii="Times New Roman" w:hAnsi="Times New Roman"/>
                <w:sz w:val="15"/>
              </w:rPr>
              <w:t>gate7_corrected_primary.py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Cause-specific Cox model with death as a competing event, plus fixed-window binary analysis</w:t>
            </w:r>
          </w:p>
        </w:tc>
        <w:tc>
          <w:tcPr>
            <w:tcW w:type="dxa" w:w="3120"/>
          </w:tcPr>
          <w:p>
            <w:pPr>
              <w:spacing w:line="240" w:lineRule="auto" w:after="0"/>
            </w:pPr>
            <w:r>
              <w:rPr>
                <w:rFonts w:ascii="Times New Roman" w:hAnsi="Times New Roman"/>
                <w:sz w:val="15"/>
              </w:rPr>
            </w:r>
            <w:r>
              <w:rPr>
                <w:rFonts w:ascii="Times New Roman" w:hAnsi="Times New Roman"/>
                <w:sz w:val="15"/>
              </w:rPr>
              <w:t>Methods, Statistical analysis; Table 3</w:t>
            </w:r>
          </w:p>
        </w:tc>
        <w:tc>
          <w:tcPr>
            <w:tcW w:type="dxa" w:w="3120"/>
          </w:tcPr>
          <w:p>
            <w:pPr>
              <w:spacing w:line="240" w:lineRule="auto" w:after="0"/>
            </w:pPr>
            <w:r>
              <w:rPr>
                <w:rFonts w:ascii="Times New Roman" w:hAnsi="Times New Roman"/>
                <w:sz w:val="15"/>
              </w:rPr>
            </w:r>
            <w:r>
              <w:rPr>
                <w:rFonts w:ascii="Times New Roman" w:hAnsi="Times New Roman"/>
                <w:sz w:val="15"/>
              </w:rPr>
              <w:t>gate7_corrected_primary.py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Parsimonious and expanded covariate sets based on variables available in INSPIRE</w:t>
            </w:r>
          </w:p>
        </w:tc>
        <w:tc>
          <w:tcPr>
            <w:tcW w:type="dxa" w:w="3120"/>
          </w:tcPr>
          <w:p>
            <w:pPr>
              <w:spacing w:line="240" w:lineRule="auto" w:after="0"/>
            </w:pPr>
            <w:r>
              <w:rPr>
                <w:rFonts w:ascii="Times New Roman" w:hAnsi="Times New Roman"/>
                <w:sz w:val="15"/>
              </w:rPr>
            </w:r>
            <w:r>
              <w:rPr>
                <w:rFonts w:ascii="Times New Roman" w:hAnsi="Times New Roman"/>
                <w:sz w:val="15"/>
              </w:rPr>
              <w:t>Methods, Statistical analysis</w:t>
            </w:r>
          </w:p>
        </w:tc>
        <w:tc>
          <w:tcPr>
            <w:tcW w:type="dxa" w:w="3120"/>
          </w:tcPr>
          <w:p>
            <w:pPr>
              <w:spacing w:line="240" w:lineRule="auto" w:after="0"/>
            </w:pPr>
            <w:r>
              <w:rPr>
                <w:rFonts w:ascii="Times New Roman" w:hAnsi="Times New Roman"/>
                <w:sz w:val="15"/>
              </w:rPr>
            </w:r>
            <w:r>
              <w:rPr>
                <w:rFonts w:ascii="Times New Roman" w:hAnsi="Times New Roman"/>
                <w:sz w:val="15"/>
              </w:rPr>
              <w:t>analysis scripts listed above</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Mortality and incremental discrimination as secondary analyses</w:t>
            </w:r>
          </w:p>
        </w:tc>
        <w:tc>
          <w:tcPr>
            <w:tcW w:type="dxa" w:w="3120"/>
          </w:tcPr>
          <w:p>
            <w:pPr>
              <w:spacing w:line="240" w:lineRule="auto" w:after="0"/>
            </w:pPr>
            <w:r>
              <w:rPr>
                <w:rFonts w:ascii="Times New Roman" w:hAnsi="Times New Roman"/>
                <w:sz w:val="15"/>
              </w:rPr>
            </w:r>
            <w:r>
              <w:rPr>
                <w:rFonts w:ascii="Times New Roman" w:hAnsi="Times New Roman"/>
                <w:sz w:val="15"/>
              </w:rPr>
              <w:t>Methods; Additional file 6</w:t>
            </w:r>
          </w:p>
        </w:tc>
        <w:tc>
          <w:tcPr>
            <w:tcW w:type="dxa" w:w="3120"/>
          </w:tcPr>
          <w:p>
            <w:pPr>
              <w:spacing w:line="240" w:lineRule="auto" w:after="0"/>
            </w:pPr>
            <w:r>
              <w:rPr>
                <w:rFonts w:ascii="Times New Roman" w:hAnsi="Times New Roman"/>
                <w:sz w:val="15"/>
              </w:rPr>
            </w:r>
            <w:r>
              <w:rPr>
                <w:rFonts w:ascii="Times New Roman" w:hAnsi="Times New Roman"/>
                <w:sz w:val="15"/>
              </w:rPr>
              <w:t>gate3_mortality.py</w:t>
            </w:r>
            <w:r>
              <w:rPr>
                <w:rFonts w:ascii="Times New Roman" w:hAnsi="Times New Roman"/>
                <w:sz w:val="15"/>
              </w:rPr>
              <w:t xml:space="preserve">, </w:t>
            </w:r>
            <w:r>
              <w:rPr>
                <w:rFonts w:ascii="Times New Roman" w:hAnsi="Times New Roman"/>
                <w:sz w:val="15"/>
              </w:rPr>
              <w:t>gate4_aki_incremental_value.py</w:t>
            </w:r>
          </w:p>
        </w:tc>
      </w:tr>
    </w:tbl>
    <w:p/>
    <w:p>
      <w:pPr>
        <w:pStyle w:val="Heading2"/>
        <w:keepNext/>
        <w:spacing w:line="276" w:lineRule="auto" w:before="200" w:after="80"/>
      </w:pPr>
      <w:r>
        <w:rPr>
          <w:rFonts w:ascii="Times New Roman" w:hAnsi="Times New Roman"/>
          <w:color w:val="000000"/>
        </w:rPr>
        <w:t>B. Added during the internal methodological audit</w:t>
      </w:r>
    </w:p>
    <w:p>
      <w:pPr>
        <w:jc w:val="left"/>
      </w:pPr>
      <w:r>
        <w:t>These analyses were introduced after the initial results were available. They address identified design or reporting risks and should be interpreted as robustness or clarification analyses.</w:t>
      </w:r>
    </w:p>
    <w:tbl>
      <w:tblPr>
        <w:tblStyle w:val="TableGrid"/>
        <w:tblW w:type="auto" w:w="0"/>
        <w:jc w:val="center"/>
        <w:tblLook w:firstColumn="1" w:firstRow="1" w:lastColumn="0" w:lastRow="0" w:noHBand="0" w:noVBand="1" w:val="04A0"/>
      </w:tblPr>
      <w:tblGrid>
        <w:gridCol w:w="3120"/>
        <w:gridCol w:w="3120"/>
        <w:gridCol w:w="3120"/>
      </w:tblGrid>
      <w:tr>
        <w:trPr>
          <w:tblHeader w:val="true"/>
          <w:cantSplit/>
        </w:trPr>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Added analysis or correction</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Reason</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Main implementation</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Repeat-operation and overlapping-episode diagnostics</w:t>
            </w:r>
          </w:p>
        </w:tc>
        <w:tc>
          <w:tcPr>
            <w:tcW w:type="dxa" w:w="3120"/>
          </w:tcPr>
          <w:p>
            <w:pPr>
              <w:spacing w:line="240" w:lineRule="auto" w:after="0"/>
            </w:pPr>
            <w:r>
              <w:rPr>
                <w:rFonts w:ascii="Times New Roman" w:hAnsi="Times New Roman"/>
                <w:sz w:val="15"/>
              </w:rPr>
            </w:r>
            <w:r>
              <w:rPr>
                <w:rFonts w:ascii="Times New Roman" w:hAnsi="Times New Roman"/>
                <w:sz w:val="15"/>
              </w:rPr>
              <w:t>Laboratory records and deaths can be attributed to more than one operation</w:t>
            </w:r>
          </w:p>
        </w:tc>
        <w:tc>
          <w:tcPr>
            <w:tcW w:type="dxa" w:w="3120"/>
          </w:tcPr>
          <w:p>
            <w:pPr>
              <w:spacing w:line="240" w:lineRule="auto" w:after="0"/>
            </w:pPr>
            <w:r>
              <w:rPr>
                <w:rFonts w:ascii="Times New Roman" w:hAnsi="Times New Roman"/>
                <w:sz w:val="15"/>
              </w:rPr>
            </w:r>
            <w:r>
              <w:rPr>
                <w:rFonts w:ascii="Times New Roman" w:hAnsi="Times New Roman"/>
                <w:sz w:val="15"/>
              </w:rPr>
              <w:t>gate7_corrected_primary.py</w:t>
            </w:r>
            <w:r>
              <w:rPr>
                <w:rFonts w:ascii="Times New Roman" w:hAnsi="Times New Roman"/>
                <w:sz w:val="15"/>
              </w:rPr>
              <w:t xml:space="preserve">, </w:t>
            </w:r>
            <w:r>
              <w:rPr>
                <w:rFonts w:ascii="Times New Roman" w:hAnsi="Times New Roman"/>
                <w:sz w:val="15"/>
              </w:rPr>
              <w:t>gate25_targeted_reviewer_sensitivities.py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Corrected fixed-window ascertainability rule</w:t>
            </w:r>
          </w:p>
        </w:tc>
        <w:tc>
          <w:tcPr>
            <w:tcW w:type="dxa" w:w="3120"/>
          </w:tcPr>
          <w:p>
            <w:pPr>
              <w:spacing w:line="240" w:lineRule="auto" w:after="0"/>
            </w:pPr>
            <w:r>
              <w:rPr>
                <w:rFonts w:ascii="Times New Roman" w:hAnsi="Times New Roman"/>
                <w:sz w:val="15"/>
              </w:rPr>
            </w:r>
            <w:r>
              <w:rPr>
                <w:rFonts w:ascii="Times New Roman" w:hAnsi="Times New Roman"/>
                <w:sz w:val="15"/>
              </w:rPr>
              <w:t>Observed events should not be excluded for lacking later measurements</w:t>
            </w:r>
          </w:p>
        </w:tc>
        <w:tc>
          <w:tcPr>
            <w:tcW w:type="dxa" w:w="3120"/>
          </w:tcPr>
          <w:p>
            <w:pPr>
              <w:spacing w:line="240" w:lineRule="auto" w:after="0"/>
            </w:pPr>
            <w:r>
              <w:rPr>
                <w:rFonts w:ascii="Times New Roman" w:hAnsi="Times New Roman"/>
                <w:sz w:val="15"/>
              </w:rPr>
            </w:r>
            <w:r>
              <w:rPr>
                <w:rFonts w:ascii="Times New Roman" w:hAnsi="Times New Roman"/>
                <w:sz w:val="15"/>
              </w:rPr>
              <w:t>gate7_corrected_primary.py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Aalen-Johansen estimates, Gray test and Fine-Gray cross-check</w:t>
            </w:r>
          </w:p>
        </w:tc>
        <w:tc>
          <w:tcPr>
            <w:tcW w:type="dxa" w:w="3120"/>
          </w:tcPr>
          <w:p>
            <w:pPr>
              <w:spacing w:line="240" w:lineRule="auto" w:after="0"/>
            </w:pPr>
            <w:r>
              <w:rPr>
                <w:rFonts w:ascii="Times New Roman" w:hAnsi="Times New Roman"/>
                <w:sz w:val="15"/>
              </w:rPr>
            </w:r>
            <w:r>
              <w:rPr>
                <w:rFonts w:ascii="Times New Roman" w:hAnsi="Times New Roman"/>
                <w:sz w:val="15"/>
              </w:rPr>
              <w:t>Explicit competing-risk treatment and software validation</w:t>
            </w:r>
          </w:p>
        </w:tc>
        <w:tc>
          <w:tcPr>
            <w:tcW w:type="dxa" w:w="3120"/>
          </w:tcPr>
          <w:p>
            <w:pPr>
              <w:spacing w:line="240" w:lineRule="auto" w:after="0"/>
            </w:pPr>
            <w:r>
              <w:rPr>
                <w:rFonts w:ascii="Times New Roman" w:hAnsi="Times New Roman"/>
                <w:sz w:val="15"/>
              </w:rPr>
            </w:r>
            <w:r>
              <w:rPr>
                <w:rFonts w:ascii="Times New Roman" w:hAnsi="Times New Roman"/>
                <w:sz w:val="15"/>
              </w:rPr>
              <w:t>gate2_competing_risk.py</w:t>
            </w:r>
            <w:r>
              <w:rPr>
                <w:rFonts w:ascii="Times New Roman" w:hAnsi="Times New Roman"/>
                <w:sz w:val="15"/>
              </w:rPr>
              <w:t xml:space="preserve">, </w:t>
            </w:r>
            <w:r>
              <w:rPr>
                <w:rFonts w:ascii="Times New Roman" w:hAnsi="Times New Roman"/>
                <w:sz w:val="15"/>
              </w:rPr>
              <w:t>gate8_finegray_crosscheck.R</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Censoring-hazard, inverse-probability weighting, tipping-point and discharge recoding analyses</w:t>
            </w:r>
          </w:p>
        </w:tc>
        <w:tc>
          <w:tcPr>
            <w:tcW w:type="dxa" w:w="3120"/>
          </w:tcPr>
          <w:p>
            <w:pPr>
              <w:spacing w:line="240" w:lineRule="auto" w:after="0"/>
            </w:pPr>
            <w:r>
              <w:rPr>
                <w:rFonts w:ascii="Times New Roman" w:hAnsi="Times New Roman"/>
                <w:sz w:val="15"/>
              </w:rPr>
            </w:r>
            <w:r>
              <w:rPr>
                <w:rFonts w:ascii="Times New Roman" w:hAnsi="Times New Roman"/>
                <w:sz w:val="15"/>
              </w:rPr>
              <w:t>Renal observation ends after discharge and may be informative</w:t>
            </w:r>
          </w:p>
        </w:tc>
        <w:tc>
          <w:tcPr>
            <w:tcW w:type="dxa" w:w="3120"/>
          </w:tcPr>
          <w:p>
            <w:pPr>
              <w:spacing w:line="240" w:lineRule="auto" w:after="0"/>
            </w:pPr>
            <w:r>
              <w:rPr>
                <w:rFonts w:ascii="Times New Roman" w:hAnsi="Times New Roman"/>
                <w:sz w:val="15"/>
              </w:rPr>
            </w:r>
            <w:r>
              <w:rPr>
                <w:rFonts w:ascii="Times New Roman" w:hAnsi="Times New Roman"/>
                <w:sz w:val="15"/>
              </w:rPr>
              <w:t>gate17_observation_sensitivity_primary.py</w:t>
            </w:r>
            <w:r>
              <w:rPr>
                <w:rFonts w:ascii="Times New Roman" w:hAnsi="Times New Roman"/>
                <w:sz w:val="15"/>
              </w:rPr>
              <w:t xml:space="preserve">, </w:t>
            </w:r>
            <w:r>
              <w:rPr>
                <w:rFonts w:ascii="Times New Roman" w:hAnsi="Times New Roman"/>
                <w:sz w:val="15"/>
              </w:rPr>
              <w:t>gate23_discharge_competing_risk.py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Missing-ASA complete-case and indicator analyses</w:t>
            </w:r>
          </w:p>
        </w:tc>
        <w:tc>
          <w:tcPr>
            <w:tcW w:type="dxa" w:w="3120"/>
          </w:tcPr>
          <w:p>
            <w:pPr>
              <w:spacing w:line="240" w:lineRule="auto" w:after="0"/>
            </w:pPr>
            <w:r>
              <w:rPr>
                <w:rFonts w:ascii="Times New Roman" w:hAnsi="Times New Roman"/>
                <w:sz w:val="15"/>
              </w:rPr>
            </w:r>
            <w:r>
              <w:rPr>
                <w:rFonts w:ascii="Times New Roman" w:hAnsi="Times New Roman"/>
                <w:sz w:val="15"/>
              </w:rPr>
              <w:t>Missing ASA had initially been assigned to the reference category</w:t>
            </w:r>
          </w:p>
        </w:tc>
        <w:tc>
          <w:tcPr>
            <w:tcW w:type="dxa" w:w="3120"/>
          </w:tcPr>
          <w:p>
            <w:pPr>
              <w:spacing w:line="240" w:lineRule="auto" w:after="0"/>
            </w:pPr>
            <w:r>
              <w:rPr>
                <w:rFonts w:ascii="Times New Roman" w:hAnsi="Times New Roman"/>
                <w:sz w:val="15"/>
              </w:rPr>
            </w:r>
            <w:r>
              <w:rPr>
                <w:rFonts w:ascii="Times New Roman" w:hAnsi="Times New Roman"/>
                <w:sz w:val="15"/>
              </w:rPr>
              <w:t>gate20_missing_covariate_sensitivity.py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Baseline-creatinine age restriction</w:t>
            </w:r>
          </w:p>
        </w:tc>
        <w:tc>
          <w:tcPr>
            <w:tcW w:type="dxa" w:w="3120"/>
          </w:tcPr>
          <w:p>
            <w:pPr>
              <w:spacing w:line="240" w:lineRule="auto" w:after="0"/>
            </w:pPr>
            <w:r>
              <w:rPr>
                <w:rFonts w:ascii="Times New Roman" w:hAnsi="Times New Roman"/>
                <w:sz w:val="15"/>
              </w:rPr>
            </w:r>
            <w:r>
              <w:rPr>
                <w:rFonts w:ascii="Times New Roman" w:hAnsi="Times New Roman"/>
                <w:sz w:val="15"/>
              </w:rPr>
              <w:t>A remote baseline may not represent preoperative renal function</w:t>
            </w:r>
          </w:p>
        </w:tc>
        <w:tc>
          <w:tcPr>
            <w:tcW w:type="dxa" w:w="3120"/>
          </w:tcPr>
          <w:p>
            <w:pPr>
              <w:spacing w:line="240" w:lineRule="auto" w:after="0"/>
            </w:pPr>
            <w:r>
              <w:rPr>
                <w:rFonts w:ascii="Times New Roman" w:hAnsi="Times New Roman"/>
                <w:sz w:val="15"/>
              </w:rPr>
            </w:r>
            <w:r>
              <w:rPr>
                <w:rFonts w:ascii="Times New Roman" w:hAnsi="Times New Roman"/>
                <w:sz w:val="15"/>
              </w:rPr>
              <w:t>gate25_targeted_reviewer_sensitivities.py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Time-weighted lactate and lactate-load summaries</w:t>
            </w:r>
          </w:p>
        </w:tc>
        <w:tc>
          <w:tcPr>
            <w:tcW w:type="dxa" w:w="3120"/>
          </w:tcPr>
          <w:p>
            <w:pPr>
              <w:spacing w:line="240" w:lineRule="auto" w:after="0"/>
            </w:pPr>
            <w:r>
              <w:rPr>
                <w:rFonts w:ascii="Times New Roman" w:hAnsi="Times New Roman"/>
                <w:sz w:val="15"/>
              </w:rPr>
            </w:r>
            <w:r>
              <w:rPr>
                <w:rFonts w:ascii="Times New Roman" w:hAnsi="Times New Roman"/>
                <w:sz w:val="15"/>
              </w:rPr>
              <w:t>Peak lactate is mechanically affected by the number of draws</w:t>
            </w:r>
          </w:p>
        </w:tc>
        <w:tc>
          <w:tcPr>
            <w:tcW w:type="dxa" w:w="3120"/>
          </w:tcPr>
          <w:p>
            <w:pPr>
              <w:spacing w:line="240" w:lineRule="auto" w:after="0"/>
            </w:pPr>
            <w:r>
              <w:rPr>
                <w:rFonts w:ascii="Times New Roman" w:hAnsi="Times New Roman"/>
                <w:sz w:val="15"/>
              </w:rPr>
            </w:r>
            <w:r>
              <w:rPr>
                <w:rFonts w:ascii="Times New Roman" w:hAnsi="Times New Roman"/>
                <w:sz w:val="15"/>
              </w:rPr>
              <w:t>gate24_time_weighted_lactate.py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Creatinine-grid and top-coding diagnostics</w:t>
            </w:r>
          </w:p>
        </w:tc>
        <w:tc>
          <w:tcPr>
            <w:tcW w:type="dxa" w:w="3120"/>
          </w:tcPr>
          <w:p>
            <w:pPr>
              <w:spacing w:line="240" w:lineRule="auto" w:after="0"/>
            </w:pPr>
            <w:r>
              <w:rPr>
                <w:rFonts w:ascii="Times New Roman" w:hAnsi="Times New Roman"/>
                <w:sz w:val="15"/>
              </w:rPr>
            </w:r>
            <w:r>
              <w:rPr>
                <w:rFonts w:ascii="Times New Roman" w:hAnsi="Times New Roman"/>
                <w:sz w:val="15"/>
              </w:rPr>
              <w:t>De-identification changes which KDIGO thresholds are attainable</w:t>
            </w:r>
          </w:p>
        </w:tc>
        <w:tc>
          <w:tcPr>
            <w:tcW w:type="dxa" w:w="3120"/>
          </w:tcPr>
          <w:p>
            <w:pPr>
              <w:spacing w:line="240" w:lineRule="auto" w:after="0"/>
            </w:pPr>
            <w:r>
              <w:rPr>
                <w:rFonts w:ascii="Times New Roman" w:hAnsi="Times New Roman"/>
                <w:sz w:val="15"/>
              </w:rPr>
            </w:r>
            <w:r>
              <w:rPr>
                <w:rFonts w:ascii="Times New Roman" w:hAnsi="Times New Roman"/>
                <w:sz w:val="15"/>
              </w:rPr>
              <w:t>gate22_creatinine_grid_distribution.py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Criterion-specific, period-specific and fixed-horizon estimands</w:t>
            </w:r>
          </w:p>
        </w:tc>
        <w:tc>
          <w:tcPr>
            <w:tcW w:type="dxa" w:w="3120"/>
          </w:tcPr>
          <w:p>
            <w:pPr>
              <w:spacing w:line="240" w:lineRule="auto" w:after="0"/>
            </w:pPr>
            <w:r>
              <w:rPr>
                <w:rFonts w:ascii="Times New Roman" w:hAnsi="Times New Roman"/>
                <w:sz w:val="15"/>
              </w:rPr>
            </w:r>
            <w:r>
              <w:rPr>
                <w:rFonts w:ascii="Times New Roman" w:hAnsi="Times New Roman"/>
                <w:sz w:val="15"/>
              </w:rPr>
              <w:t>A pooled hazard ratio averages across components with different availability windows</w:t>
            </w:r>
          </w:p>
        </w:tc>
        <w:tc>
          <w:tcPr>
            <w:tcW w:type="dxa" w:w="3120"/>
          </w:tcPr>
          <w:p>
            <w:pPr>
              <w:spacing w:line="240" w:lineRule="auto" w:after="0"/>
            </w:pPr>
            <w:r>
              <w:rPr>
                <w:rFonts w:ascii="Times New Roman" w:hAnsi="Times New Roman"/>
                <w:sz w:val="15"/>
              </w:rPr>
            </w:r>
            <w:r>
              <w:rPr>
                <w:rFonts w:ascii="Times New Roman" w:hAnsi="Times New Roman"/>
                <w:sz w:val="15"/>
              </w:rPr>
              <w:t>gate30_estimand_rework.py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Landmark risk-set table and zero-follow-up accounting</w:t>
            </w:r>
          </w:p>
        </w:tc>
        <w:tc>
          <w:tcPr>
            <w:tcW w:type="dxa" w:w="3120"/>
          </w:tcPr>
          <w:p>
            <w:pPr>
              <w:spacing w:line="240" w:lineRule="auto" w:after="0"/>
            </w:pPr>
            <w:r>
              <w:rPr>
                <w:rFonts w:ascii="Times New Roman" w:hAnsi="Times New Roman"/>
                <w:sz w:val="15"/>
              </w:rPr>
            </w:r>
            <w:r>
              <w:rPr>
                <w:rFonts w:ascii="Times New Roman" w:hAnsi="Times New Roman"/>
                <w:sz w:val="15"/>
              </w:rPr>
              <w:t>The analysed population differs from the full cohort</w:t>
            </w:r>
          </w:p>
        </w:tc>
        <w:tc>
          <w:tcPr>
            <w:tcW w:type="dxa" w:w="3120"/>
          </w:tcPr>
          <w:p>
            <w:pPr>
              <w:spacing w:line="240" w:lineRule="auto" w:after="0"/>
            </w:pPr>
            <w:r>
              <w:rPr>
                <w:rFonts w:ascii="Times New Roman" w:hAnsi="Times New Roman"/>
                <w:sz w:val="15"/>
              </w:rPr>
            </w:r>
            <w:r>
              <w:rPr>
                <w:rFonts w:ascii="Times New Roman" w:hAnsi="Times New Roman"/>
                <w:sz w:val="15"/>
              </w:rPr>
              <w:t>gate28_riskset_table_and_exclusions.py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Purposive audit of published exposure and outcome windows</w:t>
            </w:r>
          </w:p>
        </w:tc>
        <w:tc>
          <w:tcPr>
            <w:tcW w:type="dxa" w:w="3120"/>
          </w:tcPr>
          <w:p>
            <w:pPr>
              <w:spacing w:line="240" w:lineRule="auto" w:after="0"/>
            </w:pPr>
            <w:r>
              <w:rPr>
                <w:rFonts w:ascii="Times New Roman" w:hAnsi="Times New Roman"/>
                <w:sz w:val="15"/>
              </w:rPr>
            </w:r>
            <w:r>
              <w:rPr>
                <w:rFonts w:ascii="Times New Roman" w:hAnsi="Times New Roman"/>
                <w:sz w:val="15"/>
              </w:rPr>
              <w:t>To assess whether reports contain enough timing information for design appraisal</w:t>
            </w:r>
          </w:p>
        </w:tc>
        <w:tc>
          <w:tcPr>
            <w:tcW w:type="dxa" w:w="3120"/>
          </w:tcPr>
          <w:p>
            <w:pPr>
              <w:spacing w:line="240" w:lineRule="auto" w:after="0"/>
            </w:pPr>
            <w:r>
              <w:rPr>
                <w:rFonts w:ascii="Times New Roman" w:hAnsi="Times New Roman"/>
                <w:sz w:val="15"/>
              </w:rPr>
            </w:r>
            <w:r>
              <w:rPr>
                <w:rFonts w:ascii="Times New Roman" w:hAnsi="Times New Roman"/>
                <w:sz w:val="15"/>
              </w:rPr>
              <w:t>gate13_window_overlap_calculator.py</w:t>
            </w:r>
            <w:r>
              <w:rPr>
                <w:rFonts w:ascii="Times New Roman" w:hAnsi="Times New Roman"/>
                <w:sz w:val="15"/>
              </w:rPr>
              <w:t xml:space="preserve">, </w:t>
            </w:r>
            <w:r>
              <w:rPr>
                <w:rFonts w:ascii="Times New Roman" w:hAnsi="Times New Roman"/>
                <w:sz w:val="15"/>
              </w:rPr>
              <w:t>gate18_af5_summary.py</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Scale-aligned simulation with oracle onset</w:t>
            </w:r>
          </w:p>
        </w:tc>
        <w:tc>
          <w:tcPr>
            <w:tcW w:type="dxa" w:w="3120"/>
          </w:tcPr>
          <w:p>
            <w:pPr>
              <w:spacing w:line="240" w:lineRule="auto" w:after="0"/>
            </w:pPr>
            <w:r>
              <w:rPr>
                <w:rFonts w:ascii="Times New Roman" w:hAnsi="Times New Roman"/>
                <w:sz w:val="15"/>
              </w:rPr>
            </w:r>
            <w:r>
              <w:rPr>
                <w:rFonts w:ascii="Times New Roman" w:hAnsi="Times New Roman"/>
                <w:sz w:val="15"/>
              </w:rPr>
              <w:t>To evaluate window overlap when latent onset is known</w:t>
            </w:r>
          </w:p>
        </w:tc>
        <w:tc>
          <w:tcPr>
            <w:tcW w:type="dxa" w:w="3120"/>
          </w:tcPr>
          <w:p>
            <w:pPr>
              <w:spacing w:line="240" w:lineRule="auto" w:after="0"/>
            </w:pPr>
            <w:r>
              <w:rPr>
                <w:rFonts w:ascii="Times New Roman" w:hAnsi="Times New Roman"/>
                <w:sz w:val="15"/>
              </w:rPr>
            </w:r>
            <w:r>
              <w:rPr>
                <w:rFonts w:ascii="Times New Roman" w:hAnsi="Times New Roman"/>
                <w:sz w:val="15"/>
              </w:rPr>
              <w:t>gate29_simulation.py</w:t>
            </w:r>
          </w:p>
        </w:tc>
      </w:tr>
    </w:tbl>
    <w:p/>
    <w:p>
      <w:pPr>
        <w:jc w:val="left"/>
      </w:pPr>
      <w:r>
        <w:t>The final simulation replaced an earlier exploratory version that compared a logistic log odds ratio with Cox log hazard ratios. The submission version fits hazard-ratio models for all three analyses, holds the outcome definition fixed, adds a global-null scenario and a constant-association scenario, and reports Monte Carlo uncertainty and fit failures.</w:t>
      </w:r>
    </w:p>
    <w:p>
      <w:pPr>
        <w:pStyle w:val="Heading2"/>
        <w:keepNext/>
        <w:spacing w:line="276" w:lineRule="auto" w:before="200" w:after="80"/>
      </w:pPr>
      <w:r>
        <w:rPr>
          <w:rFonts w:ascii="Times New Roman" w:hAnsi="Times New Roman"/>
          <w:color w:val="000000"/>
        </w:rPr>
        <w:t>C. Diagnostics performed after observing results</w:t>
      </w:r>
    </w:p>
    <w:p>
      <w:pPr>
        <w:jc w:val="left"/>
      </w:pPr>
      <w:r>
        <w:t>The following analyses were used to understand unexpected findings and are exploratory:</w:t>
      </w:r>
    </w:p>
    <w:p>
      <w:pPr>
        <w:pStyle w:val="ListNumber"/>
        <w:spacing w:line="360" w:lineRule="auto"/>
      </w:pPr>
      <w:r>
        <w:t>Cross-tabulation of detection time by KDIGO criterion.</w:t>
      </w:r>
    </w:p>
    <w:p>
      <w:pPr>
        <w:pStyle w:val="ListNumber"/>
        <w:spacing w:line="360" w:lineRule="auto"/>
      </w:pPr>
      <w:r>
        <w:t>Separate cause-specific models for the absolute-rise and ratio-only criteria.</w:t>
      </w:r>
    </w:p>
    <w:p>
      <w:pPr>
        <w:pStyle w:val="ListNumber"/>
        <w:spacing w:line="360" w:lineRule="auto"/>
      </w:pPr>
      <w:r>
        <w:t>Piecewise models before and after closure of the absolute-rise criterion.</w:t>
      </w:r>
    </w:p>
    <w:p>
      <w:pPr>
        <w:pStyle w:val="ListNumber"/>
        <w:spacing w:line="360" w:lineRule="auto"/>
      </w:pPr>
      <w:r>
        <w:t>Interval-censored fitting in the case study after the simulation showed that detection intervals could matter under sparse sampling.</w:t>
      </w:r>
    </w:p>
    <w:p>
      <w:pPr>
        <w:pStyle w:val="ListNumber"/>
        <w:spacing w:line="360" w:lineRule="auto"/>
      </w:pPr>
      <w:r>
        <w:t>Absolute risk differences at days 1, 3 and 5.</w:t>
      </w:r>
    </w:p>
    <w:p>
      <w:pPr>
        <w:pStyle w:val="ListNumber"/>
        <w:spacing w:line="360" w:lineRule="auto"/>
      </w:pPr>
      <w:r>
        <w:t>Alternative exposure summaries and sampling-density diagnostics.</w:t>
      </w:r>
    </w:p>
    <w:p>
      <w:pPr>
        <w:jc w:val="left"/>
      </w:pPr>
      <w:r>
        <w:t>These analyses support interpretation of the observed data. They do not establish that endpoint-component closure itself caused the difference between period-specific estimates.</w:t>
      </w:r>
    </w:p>
    <w:p>
      <w:pPr>
        <w:pStyle w:val="Heading2"/>
        <w:keepNext/>
        <w:spacing w:line="276" w:lineRule="auto" w:before="200" w:after="80"/>
      </w:pPr>
      <w:r>
        <w:rPr>
          <w:rFonts w:ascii="Times New Roman" w:hAnsi="Times New Roman"/>
          <w:color w:val="000000"/>
        </w:rPr>
        <w:t>D. Claims narrowed or withdrawn</w:t>
      </w:r>
    </w:p>
    <w:p>
      <w:pPr>
        <w:jc w:val="left"/>
      </w:pPr>
      <w:r>
        <w:t>The manuscript no longer claims that:</w:t>
      </w:r>
    </w:p>
    <w:p>
      <w:pPr>
        <w:pStyle w:val="ListNumber"/>
        <w:spacing w:line="360" w:lineRule="auto"/>
      </w:pPr>
      <w:r>
        <w:t>the analysis was preregistered or independently prespecified;</w:t>
      </w:r>
    </w:p>
    <w:p>
      <w:pPr>
        <w:pStyle w:val="ListNumber"/>
        <w:spacing w:line="360" w:lineRule="auto"/>
      </w:pPr>
      <w:r>
        <w:t>mortality is a positive control;</w:t>
      </w:r>
    </w:p>
    <w:p>
      <w:pPr>
        <w:pStyle w:val="ListNumber"/>
        <w:spacing w:line="360" w:lineRule="auto"/>
      </w:pPr>
      <w:r>
        <w:t>the ratio-only component has no association, because its estimate is imprecise;</w:t>
      </w:r>
    </w:p>
    <w:p>
      <w:pPr>
        <w:pStyle w:val="ListNumber"/>
        <w:spacing w:line="360" w:lineRule="auto"/>
      </w:pPr>
      <w:r>
        <w:t>a detection-based landmark recovers the latent-onset effect;</w:t>
      </w:r>
    </w:p>
    <w:p>
      <w:pPr>
        <w:pStyle w:val="ListNumber"/>
        <w:spacing w:line="360" w:lineRule="auto"/>
      </w:pPr>
      <w:r>
        <w:t>one analysis method is uniformly best across simulation scenarios;</w:t>
      </w:r>
    </w:p>
    <w:p>
      <w:pPr>
        <w:pStyle w:val="ListNumber"/>
        <w:spacing w:line="360" w:lineRule="auto"/>
      </w:pPr>
      <w:r>
        <w:t>closure of one composite component necessarily creates time-varying hazard ratios;</w:t>
      </w:r>
    </w:p>
    <w:p>
      <w:pPr>
        <w:pStyle w:val="ListNumber"/>
        <w:spacing w:line="360" w:lineRule="auto"/>
      </w:pPr>
      <w:r>
        <w:t>the purposive literature audit is representative of the full literature;</w:t>
      </w:r>
    </w:p>
    <w:p>
      <w:pPr>
        <w:pStyle w:val="ListNumber"/>
        <w:spacing w:line="360" w:lineRule="auto"/>
      </w:pPr>
      <w:r>
        <w:t>the current public Zenodo record already contains every submission-version file.</w:t>
      </w:r>
    </w:p>
    <w:p>
      <w:pPr>
        <w:pStyle w:val="Heading2"/>
        <w:keepNext/>
        <w:spacing w:line="276" w:lineRule="auto" w:before="200" w:after="80"/>
      </w:pPr>
      <w:r>
        <w:rPr>
          <w:rFonts w:ascii="Times New Roman" w:hAnsi="Times New Roman"/>
          <w:color w:val="000000"/>
        </w:rPr>
        <w:t>E. Reproduction and verification</w:t>
      </w:r>
    </w:p>
    <w:p>
      <w:pPr>
        <w:jc w:val="left"/>
      </w:pPr>
      <w:r>
        <w:t xml:space="preserve">The submission-version code and aggregate outputs are provided in Additional file 12. </w:t>
      </w:r>
      <w:r>
        <w:rPr>
          <w:rFonts w:ascii="Consolas" w:hAnsi="Consolas"/>
          <w:sz w:val="18"/>
        </w:rPr>
        <w:t>gate14_manuscript_number_audit.py</w:t>
      </w:r>
      <w:r>
        <w:t xml:space="preserve"> checks named quantitative claims against their result files. Its output does not replace manual review because it cannot determine whether the stated model matches the intended estimand. The final package was also checked for placeholders, stale figure references, tracked changes, comments and inconsistent key counts.</w:t>
      </w:r>
    </w:p>
    <w:sectPr w:rsidR="00FC693F" w:rsidRPr="0006063C" w:rsidSect="00034616">
      <w:footerReference w:type="default" r:id="rId9"/>
      <w:pgSz w:w="12240" w:h="15840"/>
      <w:pgMar w:top="1440" w:right="1440" w:bottom="1440" w:left="1440" w:header="720" w:footer="720" w:gutter="0"/>
      <w:cols w:space="720"/>
      <w:docGrid w:linePitch="360"/>
      <w:lnNumType w:countBy="5" w:start="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 xml:space="preserve">Page </w:t>
    </w:r>
    <w:r>
      <w:rPr>
        <w:rFonts w:ascii="Times New Roman" w:hAnsi="Times New Roman"/>
        <w:sz w:val="18"/>
      </w:rPr>
      <w:fldChar w:fldCharType="begin"/>
      <w:instrText xml:space="preserve">PAGE</w:instrText>
      <w:fldChar w:fldCharType="separate"/>
      <w:fldChar w:fldCharType="end"/>
    </w:r>
    <w:r>
      <w:rPr>
        <w:rFonts w:ascii="Times New Roman" w:hAnsi="Times New Roman"/>
        <w:sz w:val="18"/>
      </w:rPr>
      <w:t xml:space="preserve"> of </w:t>
    </w:r>
    <w:r>
      <w:rPr>
        <w:rFonts w:ascii="Times New Roman" w:hAnsi="Times New Roman"/>
        <w:sz w:val="18"/>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48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2: analysis provenance</dc:title>
  <dc:subject>Deeply revised manuscript</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