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A4EF4" w14:textId="77777777" w:rsidR="00AD0CE3" w:rsidRDefault="00AD0CE3" w:rsidP="00AD0CE3">
      <w:pPr>
        <w:pStyle w:val="Heading3"/>
        <w:spacing w:line="276" w:lineRule="auto"/>
      </w:pPr>
      <w:r>
        <w:rPr>
          <w:rFonts w:ascii="Times New Roman" w:hAnsi="Times New Roman"/>
          <w:color w:val="000000"/>
        </w:rPr>
        <w:t>Box 1. Reporting checklist for studies of a windowed biomarker and a measured outcome</w:t>
      </w:r>
    </w:p>
    <w:p w14:paraId="7383AB6C" w14:textId="77777777" w:rsidR="00AD0CE3" w:rsidRDefault="00AD0CE3" w:rsidP="00AD0CE3">
      <w:r>
        <w:t>Each item costs a sentence or a number. Together they let a reader decide how much of a reported association could be prospective, which no current reporting guideline asks for.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81"/>
        <w:gridCol w:w="3016"/>
        <w:gridCol w:w="3019"/>
      </w:tblGrid>
      <w:tr w:rsidR="00AD0CE3" w14:paraId="6DEFF351" w14:textId="77777777" w:rsidTr="00CE7E43">
        <w:trPr>
          <w:cantSplit/>
          <w:tblHeader/>
          <w:jc w:val="center"/>
        </w:trPr>
        <w:tc>
          <w:tcPr>
            <w:tcW w:w="3120" w:type="dxa"/>
            <w:shd w:val="clear" w:color="auto" w:fill="E8E8E8"/>
          </w:tcPr>
          <w:p w14:paraId="1D5444B3" w14:textId="77777777" w:rsidR="00AD0CE3" w:rsidRDefault="00AD0CE3" w:rsidP="00CE7E43">
            <w:pPr>
              <w:spacing w:after="0" w:line="240" w:lineRule="auto"/>
            </w:pPr>
          </w:p>
        </w:tc>
        <w:tc>
          <w:tcPr>
            <w:tcW w:w="3120" w:type="dxa"/>
            <w:shd w:val="clear" w:color="auto" w:fill="E8E8E8"/>
          </w:tcPr>
          <w:p w14:paraId="44DC413F" w14:textId="77777777" w:rsidR="00AD0CE3" w:rsidRDefault="00AD0CE3" w:rsidP="00CE7E43">
            <w:pPr>
              <w:spacing w:after="0" w:line="240" w:lineRule="auto"/>
            </w:pPr>
            <w:r>
              <w:rPr>
                <w:b/>
                <w:sz w:val="15"/>
              </w:rPr>
              <w:t>Report</w:t>
            </w:r>
          </w:p>
        </w:tc>
        <w:tc>
          <w:tcPr>
            <w:tcW w:w="3120" w:type="dxa"/>
            <w:shd w:val="clear" w:color="auto" w:fill="E8E8E8"/>
          </w:tcPr>
          <w:p w14:paraId="50BFECE5" w14:textId="77777777" w:rsidR="00AD0CE3" w:rsidRDefault="00AD0CE3" w:rsidP="00CE7E43">
            <w:pPr>
              <w:spacing w:after="0" w:line="240" w:lineRule="auto"/>
            </w:pPr>
            <w:r>
              <w:rPr>
                <w:b/>
                <w:sz w:val="15"/>
              </w:rPr>
              <w:t>Why</w:t>
            </w:r>
          </w:p>
        </w:tc>
      </w:tr>
      <w:tr w:rsidR="00AD0CE3" w14:paraId="27BAF0AD" w14:textId="77777777" w:rsidTr="00CE7E43">
        <w:trPr>
          <w:cantSplit/>
          <w:jc w:val="center"/>
        </w:trPr>
        <w:tc>
          <w:tcPr>
            <w:tcW w:w="3120" w:type="dxa"/>
          </w:tcPr>
          <w:p w14:paraId="29565A5F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1</w:t>
            </w:r>
          </w:p>
        </w:tc>
        <w:tc>
          <w:tcPr>
            <w:tcW w:w="3120" w:type="dxa"/>
          </w:tcPr>
          <w:p w14:paraId="70D5B05F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 xml:space="preserve">The </w:t>
            </w:r>
            <w:r>
              <w:rPr>
                <w:b/>
                <w:sz w:val="15"/>
              </w:rPr>
              <w:t>concurrent fraction</w:t>
            </w:r>
            <w:r>
              <w:rPr>
                <w:sz w:val="15"/>
              </w:rPr>
              <w:t>: how many patients meeting the outcome definition did so before the exposure summary existed</w:t>
            </w:r>
          </w:p>
        </w:tc>
        <w:tc>
          <w:tcPr>
            <w:tcW w:w="3120" w:type="dxa"/>
          </w:tcPr>
          <w:p w14:paraId="50DC1FC0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Bounds how much of the association could possibly be prospective. Absent from all 20 studies audited here</w:t>
            </w:r>
          </w:p>
        </w:tc>
      </w:tr>
      <w:tr w:rsidR="00AD0CE3" w14:paraId="65903658" w14:textId="77777777" w:rsidTr="00CE7E43">
        <w:trPr>
          <w:cantSplit/>
          <w:jc w:val="center"/>
        </w:trPr>
        <w:tc>
          <w:tcPr>
            <w:tcW w:w="3120" w:type="dxa"/>
          </w:tcPr>
          <w:p w14:paraId="49AFF437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2</w:t>
            </w:r>
          </w:p>
        </w:tc>
        <w:tc>
          <w:tcPr>
            <w:tcW w:w="3120" w:type="dxa"/>
          </w:tcPr>
          <w:p w14:paraId="7E38B3E0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One-time</w:t>
            </w:r>
            <w:r>
              <w:rPr>
                <w:b/>
                <w:sz w:val="15"/>
              </w:rPr>
              <w:t xml:space="preserve"> origin</w:t>
            </w:r>
            <w:r>
              <w:rPr>
                <w:sz w:val="15"/>
              </w:rPr>
              <w:t>, with exposure and outcome windows drawn on the same axis</w:t>
            </w:r>
          </w:p>
        </w:tc>
        <w:tc>
          <w:tcPr>
            <w:tcW w:w="3120" w:type="dxa"/>
          </w:tcPr>
          <w:p w14:paraId="605986AB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Makes overlap either visible or provably absent. Different anchors for exposure and outcome were the commonest source of ambiguity in the audit</w:t>
            </w:r>
          </w:p>
        </w:tc>
      </w:tr>
      <w:tr w:rsidR="00AD0CE3" w14:paraId="0D7A6F62" w14:textId="77777777" w:rsidTr="00CE7E43">
        <w:trPr>
          <w:cantSplit/>
          <w:jc w:val="center"/>
        </w:trPr>
        <w:tc>
          <w:tcPr>
            <w:tcW w:w="3120" w:type="dxa"/>
          </w:tcPr>
          <w:p w14:paraId="6881C135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3</w:t>
            </w:r>
          </w:p>
        </w:tc>
        <w:tc>
          <w:tcPr>
            <w:tcW w:w="3120" w:type="dxa"/>
          </w:tcPr>
          <w:p w14:paraId="54DDF607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 xml:space="preserve">The </w:t>
            </w:r>
            <w:r>
              <w:rPr>
                <w:b/>
                <w:sz w:val="15"/>
              </w:rPr>
              <w:t>landmark</w:t>
            </w:r>
            <w:r>
              <w:rPr>
                <w:sz w:val="15"/>
              </w:rPr>
              <w:t xml:space="preserve">, described as conditioning on being event-free at </w:t>
            </w:r>
            <w:r>
              <w:rPr>
                <w:i/>
                <w:sz w:val="15"/>
              </w:rPr>
              <w:t>W</w:t>
            </w:r>
          </w:p>
        </w:tc>
        <w:tc>
          <w:tcPr>
            <w:tcW w:w="3120" w:type="dxa"/>
          </w:tcPr>
          <w:p w14:paraId="62345A56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 xml:space="preserve">It is the correct response, not a correction. Patients whose onset preceded </w:t>
            </w:r>
            <w:r>
              <w:rPr>
                <w:i/>
                <w:sz w:val="15"/>
              </w:rPr>
              <w:t>W</w:t>
            </w:r>
            <w:r>
              <w:rPr>
                <w:sz w:val="15"/>
              </w:rPr>
              <w:t xml:space="preserve"> stay in the risk set whenever detection depends on measurement</w:t>
            </w:r>
          </w:p>
        </w:tc>
      </w:tr>
      <w:tr w:rsidR="00AD0CE3" w14:paraId="639DCF51" w14:textId="77777777" w:rsidTr="00CE7E43">
        <w:trPr>
          <w:cantSplit/>
          <w:jc w:val="center"/>
        </w:trPr>
        <w:tc>
          <w:tcPr>
            <w:tcW w:w="3120" w:type="dxa"/>
          </w:tcPr>
          <w:p w14:paraId="2D0FC9C9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4</w:t>
            </w:r>
          </w:p>
        </w:tc>
        <w:tc>
          <w:tcPr>
            <w:tcW w:w="3120" w:type="dxa"/>
          </w:tcPr>
          <w:p w14:paraId="51BCECED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 xml:space="preserve">For a composite outcome, </w:t>
            </w:r>
            <w:r>
              <w:rPr>
                <w:b/>
                <w:sz w:val="15"/>
              </w:rPr>
              <w:t>which component can still generate a case</w:t>
            </w:r>
            <w:r>
              <w:rPr>
                <w:sz w:val="15"/>
              </w:rPr>
              <w:t xml:space="preserve"> at each point in follow-up, with component-specific estimates where they close at different times</w:t>
            </w:r>
          </w:p>
        </w:tc>
        <w:tc>
          <w:tcPr>
            <w:tcW w:w="3120" w:type="dxa"/>
          </w:tcPr>
          <w:p w14:paraId="57DA0FD2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Separates endpoint construction from biological interpretation. Here, point estimates differed across the boundary, but the later estimate was imprecise</w:t>
            </w:r>
          </w:p>
        </w:tc>
      </w:tr>
      <w:tr w:rsidR="00AD0CE3" w14:paraId="4084EFD3" w14:textId="77777777" w:rsidTr="00CE7E43">
        <w:trPr>
          <w:cantSplit/>
          <w:jc w:val="center"/>
        </w:trPr>
        <w:tc>
          <w:tcPr>
            <w:tcW w:w="3120" w:type="dxa"/>
          </w:tcPr>
          <w:p w14:paraId="38274313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5</w:t>
            </w:r>
          </w:p>
        </w:tc>
        <w:tc>
          <w:tcPr>
            <w:tcW w:w="3120" w:type="dxa"/>
          </w:tcPr>
          <w:p w14:paraId="5544F1EA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 xml:space="preserve">The </w:t>
            </w:r>
            <w:r>
              <w:rPr>
                <w:b/>
                <w:sz w:val="15"/>
              </w:rPr>
              <w:t>width of the interval</w:t>
            </w:r>
            <w:r>
              <w:rPr>
                <w:sz w:val="15"/>
              </w:rPr>
              <w:t xml:space="preserve"> between the last negative and the first qualifying measurement</w:t>
            </w:r>
          </w:p>
        </w:tc>
        <w:tc>
          <w:tcPr>
            <w:tcW w:w="3120" w:type="dxa"/>
          </w:tcPr>
          <w:p w14:paraId="510178D2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Shows how far detection may lag onset and helps justify the event-time model. The median was 0.48 days here; no estimator was uniformly best in simulation</w:t>
            </w:r>
          </w:p>
        </w:tc>
      </w:tr>
      <w:tr w:rsidR="00AD0CE3" w14:paraId="2B6AAAAF" w14:textId="77777777" w:rsidTr="00CE7E43">
        <w:trPr>
          <w:cantSplit/>
          <w:jc w:val="center"/>
        </w:trPr>
        <w:tc>
          <w:tcPr>
            <w:tcW w:w="3120" w:type="dxa"/>
          </w:tcPr>
          <w:p w14:paraId="46F13BD5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6</w:t>
            </w:r>
          </w:p>
        </w:tc>
        <w:tc>
          <w:tcPr>
            <w:tcW w:w="3120" w:type="dxa"/>
          </w:tcPr>
          <w:p w14:paraId="2F912D7A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 xml:space="preserve">How </w:t>
            </w:r>
            <w:r>
              <w:rPr>
                <w:b/>
                <w:sz w:val="15"/>
              </w:rPr>
              <w:t>observation ended</w:t>
            </w:r>
            <w:r>
              <w:rPr>
                <w:sz w:val="15"/>
              </w:rPr>
              <w:t>, and whether it ended for reasons related to the patient</w:t>
            </w:r>
          </w:p>
        </w:tc>
        <w:tc>
          <w:tcPr>
            <w:tcW w:w="3120" w:type="dxa"/>
          </w:tcPr>
          <w:p w14:paraId="6F8A65A7" w14:textId="77777777" w:rsidR="00AD0CE3" w:rsidRDefault="00AD0CE3" w:rsidP="00CE7E43">
            <w:pPr>
              <w:spacing w:after="0" w:line="240" w:lineRule="auto"/>
            </w:pPr>
            <w:r>
              <w:rPr>
                <w:sz w:val="15"/>
              </w:rPr>
              <w:t>Censoring that depends on severity is not removed by conditioning on covariates. Most censoring here was cessation of testing in patients still admitted</w:t>
            </w:r>
          </w:p>
        </w:tc>
      </w:tr>
    </w:tbl>
    <w:p w14:paraId="3622CE85" w14:textId="77777777" w:rsidR="00AD0CE3" w:rsidRDefault="00AD0CE3" w:rsidP="00AD0CE3"/>
    <w:p w14:paraId="7059A113" w14:textId="77777777" w:rsidR="00AD0CE3" w:rsidRDefault="00AD0CE3" w:rsidP="00AD0CE3">
      <w:r>
        <w:t>Items 1, 2, 4 and 6 are pure reporting and require no additional analysis. Item 3 is a design choice. Item 5 requires one calculation on data the study already holds.</w:t>
      </w:r>
    </w:p>
    <w:p w14:paraId="1E3B55C1" w14:textId="77777777" w:rsidR="005B16F5" w:rsidRDefault="005B16F5"/>
    <w:sectPr w:rsidR="005B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CE3"/>
    <w:rsid w:val="000A4D5A"/>
    <w:rsid w:val="00251082"/>
    <w:rsid w:val="00390408"/>
    <w:rsid w:val="005B16F5"/>
    <w:rsid w:val="00777074"/>
    <w:rsid w:val="00976316"/>
    <w:rsid w:val="00A444D6"/>
    <w:rsid w:val="00AD0CE3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164EA"/>
  <w15:chartTrackingRefBased/>
  <w15:docId w15:val="{484EF86F-B135-4BED-91F7-33FA60E96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CE3"/>
    <w:pPr>
      <w:spacing w:after="120" w:line="480" w:lineRule="auto"/>
    </w:pPr>
    <w:rPr>
      <w:rFonts w:ascii="Times New Roman" w:eastAsiaTheme="minorEastAsia" w:hAnsi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0CE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0CE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D0CE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0CE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0CE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0CE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0CE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0CE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0CE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0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0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D0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0C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0C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0C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0C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0C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0C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0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0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0CE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0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0CE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0C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0CE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0C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0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0C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0CE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D0CE3"/>
    <w:pPr>
      <w:spacing w:after="0" w:line="240" w:lineRule="auto"/>
    </w:pPr>
    <w:rPr>
      <w:rFonts w:eastAsiaTheme="minorEastAsia"/>
      <w:kern w:val="0"/>
      <w:sz w:val="20"/>
      <w:szCs w:val="20"/>
      <w:lang w:val="en-IN"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2026-09-25T13:50:00Z</dcterms:created>
  <dcterms:modified xsi:type="dcterms:W3CDTF">2026-09-25T13:51:00Z</dcterms:modified>
</cp:coreProperties>
</file>