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line="276" w:lineRule="auto" w:before="200" w:after="80"/>
        <w:jc w:val="center"/>
      </w:pPr>
      <w:r>
        <w:rPr>
          <w:rFonts w:ascii="Times New Roman" w:hAnsi="Times New Roman"/>
          <w:b/>
          <w:color w:val="000000"/>
          <w:sz w:val="28"/>
        </w:rPr>
        <w:t>Additional file 6. Mortality modelling, internal validation, decision curves and sensitivity analyses</w:t>
      </w:r>
    </w:p>
    <w:p>
      <w:pPr>
        <w:jc w:val="left"/>
      </w:pPr>
      <w:r>
        <w:t xml:space="preserve">Manuscript: </w:t>
      </w:r>
      <w:r>
        <w:rPr>
          <w:i/>
        </w:rPr>
        <w:t>Exposure–outcome window overlap in biomarker studies: a simulation study and reporting checklist</w:t>
      </w:r>
      <w:r>
        <w:t>.</w:t>
      </w:r>
    </w:p>
    <w:p>
      <w:pPr>
        <w:jc w:val="left"/>
      </w:pPr>
      <w:r>
        <w:t xml:space="preserve">Code: </w:t>
      </w:r>
      <w:r>
        <w:rPr>
          <w:rFonts w:ascii="Consolas" w:hAnsi="Consolas"/>
          <w:sz w:val="18"/>
        </w:rPr>
        <w:t>gate16_mortality_on_primary_cohort.py</w:t>
      </w:r>
      <w:r>
        <w:t xml:space="preserve">, </w:t>
      </w:r>
      <w:r>
        <w:rPr>
          <w:rFonts w:ascii="Consolas" w:hAnsi="Consolas"/>
          <w:sz w:val="18"/>
        </w:rPr>
        <w:t>gate17_observation_sensitivity_primary.py</w:t>
      </w:r>
      <w:r>
        <w:t xml:space="preserve">, </w:t>
      </w:r>
      <w:r>
        <w:rPr>
          <w:rFonts w:ascii="Consolas" w:hAnsi="Consolas"/>
          <w:sz w:val="18"/>
        </w:rPr>
        <w:t>gate11_incremental_corrected.py</w:t>
      </w:r>
      <w:r>
        <w:t xml:space="preserve">, </w:t>
      </w:r>
      <w:r>
        <w:rPr>
          <w:rFonts w:ascii="Consolas" w:hAnsi="Consolas"/>
          <w:sz w:val="18"/>
        </w:rPr>
        <w:t>gate7_corrected_primary.py</w:t>
      </w:r>
      <w:r>
        <w:t>.</w:t>
      </w:r>
    </w:p>
    <w:p>
      <w:pPr>
        <w:jc w:val="left"/>
      </w:pPr>
      <w:r>
        <w:t xml:space="preserve">Outputs: </w:t>
      </w:r>
      <w:r>
        <w:rPr>
          <w:rFonts w:ascii="Consolas" w:hAnsi="Consolas"/>
          <w:sz w:val="18"/>
        </w:rPr>
        <w:t>analysis/results/manuscript_v3/</w:t>
      </w:r>
      <w:r>
        <w:t xml:space="preserve"> (files prefixed </w:t>
      </w:r>
      <w:r>
        <w:rPr>
          <w:rFonts w:ascii="Consolas" w:hAnsi="Consolas"/>
          <w:sz w:val="18"/>
        </w:rPr>
        <w:t>af6_</w:t>
      </w:r>
      <w:r>
        <w:t>).</w:t>
      </w:r>
    </w:p>
    <w:p>
      <w:pPr>
        <w:jc w:val="left"/>
      </w:pPr>
      <w:r>
        <w:t xml:space="preserve">Unless stated otherwise, every table here refers to the </w:t>
      </w:r>
      <w:r>
        <w:rPr>
          <w:b/>
        </w:rPr>
        <w:t>primary cohort of 2,365 patients</w:t>
      </w:r>
      <w:r>
        <w:t xml:space="preserve"> (first eligible operation each). Where the all-operations cohort is shown it is labelled as such. Analyses reported in earlier versions of this work on the all-operations cohort have been recomputed on the primary cohort so that the supplementary tables and the manuscript describe the same population.</w:t>
      </w:r>
    </w:p>
    <w:p>
      <w:pPr>
        <w:pStyle w:val="Heading2"/>
        <w:keepNext/>
        <w:spacing w:line="276" w:lineRule="auto" w:before="200" w:after="80"/>
      </w:pPr>
      <w:r>
        <w:rPr>
          <w:rFonts w:ascii="Times New Roman" w:hAnsi="Times New Roman"/>
          <w:color w:val="000000"/>
        </w:rPr>
        <w:t>Part I. 90-day mortality</w:t>
      </w:r>
    </w:p>
    <w:p>
      <w:pPr>
        <w:pStyle w:val="Heading3"/>
        <w:keepNext/>
        <w:spacing w:line="276" w:lineRule="auto" w:before="200" w:after="80"/>
      </w:pPr>
      <w:r>
        <w:rPr>
          <w:rFonts w:ascii="Times New Roman" w:hAnsi="Times New Roman"/>
          <w:color w:val="000000"/>
        </w:rPr>
        <w:t>1. Endpoint and ascertainment</w:t>
      </w:r>
    </w:p>
    <w:p>
      <w:pPr>
        <w:jc w:val="left"/>
      </w:pPr>
      <w:r>
        <w:t xml:space="preserve">Death occurring after the 24-hour landmark and by day 90 from bypass separation, using registry-linked all-cause death time. Primary cohort: </w:t>
      </w:r>
      <w:r>
        <w:rPr>
          <w:b/>
        </w:rPr>
        <w:t>90 deaths among 2,365 patients</w:t>
      </w:r>
      <w:r>
        <w:t>. In the all-operations cohort there are 105 death rows from 100 patients, because five deaths are attributable to two operations each.</w:t>
      </w:r>
    </w:p>
    <w:p>
      <w:pPr>
        <w:jc w:val="left"/>
      </w:pPr>
      <w:r>
        <w:t>INSPIRE provides no explicit end-of-follow-up date, so complete 90-day ascertainment cannot be verified. A total of 561 patients in the primary cohort have a linked death record, and recorded deaths extend beyond 4,000 days. These observations make a 90-day horizon plausible but do not prove complete vital-status linkage for every patient. Unlike the renal endpoint, recorded mortality does not depend on a creatinine test being ordered.</w:t>
      </w:r>
    </w:p>
    <w:p>
      <w:pPr>
        <w:pStyle w:val="Heading3"/>
        <w:keepNext/>
        <w:spacing w:line="276" w:lineRule="auto" w:before="200" w:after="80"/>
      </w:pPr>
      <w:r>
        <w:rPr>
          <w:rFonts w:ascii="Times New Roman" w:hAnsi="Times New Roman"/>
          <w:color w:val="000000"/>
        </w:rPr>
        <w:t>2. Absolute risk by lactate stratum</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rPr>
          <w:tblHeader w:val="true"/>
          <w:cantSplit/>
        </w:trPr>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Lactate stratum</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n</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Deaths</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Risk, %</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Exact 95% CI</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Crude OR (95% CI)</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≤1.9</w:t>
            </w:r>
          </w:p>
        </w:tc>
        <w:tc>
          <w:tcPr>
            <w:tcW w:type="dxa" w:w="1560"/>
          </w:tcPr>
          <w:p>
            <w:pPr>
              <w:spacing w:line="240" w:lineRule="auto" w:after="0"/>
            </w:pPr>
            <w:r>
              <w:rPr>
                <w:rFonts w:ascii="Times New Roman" w:hAnsi="Times New Roman"/>
                <w:sz w:val="15"/>
              </w:rPr>
            </w:r>
            <w:r>
              <w:rPr>
                <w:rFonts w:ascii="Times New Roman" w:hAnsi="Times New Roman"/>
                <w:sz w:val="15"/>
              </w:rPr>
              <w:t>815</w:t>
            </w:r>
          </w:p>
        </w:tc>
        <w:tc>
          <w:tcPr>
            <w:tcW w:type="dxa" w:w="1560"/>
          </w:tcPr>
          <w:p>
            <w:pPr>
              <w:spacing w:line="240" w:lineRule="auto" w:after="0"/>
            </w:pPr>
            <w:r>
              <w:rPr>
                <w:rFonts w:ascii="Times New Roman" w:hAnsi="Times New Roman"/>
                <w:sz w:val="15"/>
              </w:rPr>
            </w:r>
            <w:r>
              <w:rPr>
                <w:rFonts w:ascii="Times New Roman" w:hAnsi="Times New Roman"/>
                <w:sz w:val="15"/>
              </w:rPr>
              <w:t>11</w:t>
            </w:r>
          </w:p>
        </w:tc>
        <w:tc>
          <w:tcPr>
            <w:tcW w:type="dxa" w:w="1560"/>
          </w:tcPr>
          <w:p>
            <w:pPr>
              <w:spacing w:line="240" w:lineRule="auto" w:after="0"/>
            </w:pPr>
            <w:r>
              <w:rPr>
                <w:rFonts w:ascii="Times New Roman" w:hAnsi="Times New Roman"/>
                <w:sz w:val="15"/>
              </w:rPr>
            </w:r>
            <w:r>
              <w:rPr>
                <w:rFonts w:ascii="Times New Roman" w:hAnsi="Times New Roman"/>
                <w:sz w:val="15"/>
              </w:rPr>
              <w:t>1.35</w:t>
            </w:r>
          </w:p>
        </w:tc>
        <w:tc>
          <w:tcPr>
            <w:tcW w:type="dxa" w:w="1560"/>
          </w:tcPr>
          <w:p>
            <w:pPr>
              <w:spacing w:line="240" w:lineRule="auto" w:after="0"/>
            </w:pPr>
            <w:r>
              <w:rPr>
                <w:rFonts w:ascii="Times New Roman" w:hAnsi="Times New Roman"/>
                <w:sz w:val="15"/>
              </w:rPr>
            </w:r>
            <w:r>
              <w:rPr>
                <w:rFonts w:ascii="Times New Roman" w:hAnsi="Times New Roman"/>
                <w:sz w:val="15"/>
              </w:rPr>
              <w:t>0.68–2.40</w:t>
            </w:r>
          </w:p>
        </w:tc>
        <w:tc>
          <w:tcPr>
            <w:tcW w:type="dxa" w:w="1560"/>
          </w:tcPr>
          <w:p>
            <w:pPr>
              <w:spacing w:line="240" w:lineRule="auto" w:after="0"/>
            </w:pPr>
            <w:r>
              <w:rPr>
                <w:rFonts w:ascii="Times New Roman" w:hAnsi="Times New Roman"/>
                <w:sz w:val="15"/>
              </w:rPr>
            </w:r>
            <w:r>
              <w:rPr>
                <w:rFonts w:ascii="Times New Roman" w:hAnsi="Times New Roman"/>
                <w:sz w:val="15"/>
              </w:rPr>
              <w:t>reference</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2.1–3.0</w:t>
            </w:r>
          </w:p>
        </w:tc>
        <w:tc>
          <w:tcPr>
            <w:tcW w:type="dxa" w:w="1560"/>
          </w:tcPr>
          <w:p>
            <w:pPr>
              <w:spacing w:line="240" w:lineRule="auto" w:after="0"/>
            </w:pPr>
            <w:r>
              <w:rPr>
                <w:rFonts w:ascii="Times New Roman" w:hAnsi="Times New Roman"/>
                <w:sz w:val="15"/>
              </w:rPr>
            </w:r>
            <w:r>
              <w:rPr>
                <w:rFonts w:ascii="Times New Roman" w:hAnsi="Times New Roman"/>
                <w:sz w:val="15"/>
              </w:rPr>
              <w:t>570</w:t>
            </w:r>
          </w:p>
        </w:tc>
        <w:tc>
          <w:tcPr>
            <w:tcW w:type="dxa" w:w="1560"/>
          </w:tcPr>
          <w:p>
            <w:pPr>
              <w:spacing w:line="240" w:lineRule="auto" w:after="0"/>
            </w:pPr>
            <w:r>
              <w:rPr>
                <w:rFonts w:ascii="Times New Roman" w:hAnsi="Times New Roman"/>
                <w:sz w:val="15"/>
              </w:rPr>
            </w:r>
            <w:r>
              <w:rPr>
                <w:rFonts w:ascii="Times New Roman" w:hAnsi="Times New Roman"/>
                <w:sz w:val="15"/>
              </w:rPr>
              <w:t>17</w:t>
            </w:r>
          </w:p>
        </w:tc>
        <w:tc>
          <w:tcPr>
            <w:tcW w:type="dxa" w:w="1560"/>
          </w:tcPr>
          <w:p>
            <w:pPr>
              <w:spacing w:line="240" w:lineRule="auto" w:after="0"/>
            </w:pPr>
            <w:r>
              <w:rPr>
                <w:rFonts w:ascii="Times New Roman" w:hAnsi="Times New Roman"/>
                <w:sz w:val="15"/>
              </w:rPr>
            </w:r>
            <w:r>
              <w:rPr>
                <w:rFonts w:ascii="Times New Roman" w:hAnsi="Times New Roman"/>
                <w:sz w:val="15"/>
              </w:rPr>
              <w:t>2.98</w:t>
            </w:r>
          </w:p>
        </w:tc>
        <w:tc>
          <w:tcPr>
            <w:tcW w:type="dxa" w:w="1560"/>
          </w:tcPr>
          <w:p>
            <w:pPr>
              <w:spacing w:line="240" w:lineRule="auto" w:after="0"/>
            </w:pPr>
            <w:r>
              <w:rPr>
                <w:rFonts w:ascii="Times New Roman" w:hAnsi="Times New Roman"/>
                <w:sz w:val="15"/>
              </w:rPr>
            </w:r>
            <w:r>
              <w:rPr>
                <w:rFonts w:ascii="Times New Roman" w:hAnsi="Times New Roman"/>
                <w:sz w:val="15"/>
              </w:rPr>
              <w:t>1.75–4.73</w:t>
            </w:r>
          </w:p>
        </w:tc>
        <w:tc>
          <w:tcPr>
            <w:tcW w:type="dxa" w:w="1560"/>
          </w:tcPr>
          <w:p>
            <w:pPr>
              <w:spacing w:line="240" w:lineRule="auto" w:after="0"/>
            </w:pPr>
            <w:r>
              <w:rPr>
                <w:rFonts w:ascii="Times New Roman" w:hAnsi="Times New Roman"/>
                <w:sz w:val="15"/>
              </w:rPr>
            </w:r>
            <w:r>
              <w:rPr>
                <w:rFonts w:ascii="Times New Roman" w:hAnsi="Times New Roman"/>
                <w:sz w:val="15"/>
              </w:rPr>
              <w:t>2.25 (1.04–4.83)</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3.8–5.9</w:t>
            </w:r>
          </w:p>
        </w:tc>
        <w:tc>
          <w:tcPr>
            <w:tcW w:type="dxa" w:w="1560"/>
          </w:tcPr>
          <w:p>
            <w:pPr>
              <w:spacing w:line="240" w:lineRule="auto" w:after="0"/>
            </w:pPr>
            <w:r>
              <w:rPr>
                <w:rFonts w:ascii="Times New Roman" w:hAnsi="Times New Roman"/>
                <w:sz w:val="15"/>
              </w:rPr>
            </w:r>
            <w:r>
              <w:rPr>
                <w:rFonts w:ascii="Times New Roman" w:hAnsi="Times New Roman"/>
                <w:sz w:val="15"/>
              </w:rPr>
              <w:t>765</w:t>
            </w:r>
          </w:p>
        </w:tc>
        <w:tc>
          <w:tcPr>
            <w:tcW w:type="dxa" w:w="1560"/>
          </w:tcPr>
          <w:p>
            <w:pPr>
              <w:spacing w:line="240" w:lineRule="auto" w:after="0"/>
            </w:pPr>
            <w:r>
              <w:rPr>
                <w:rFonts w:ascii="Times New Roman" w:hAnsi="Times New Roman"/>
                <w:sz w:val="15"/>
              </w:rPr>
            </w:r>
            <w:r>
              <w:rPr>
                <w:rFonts w:ascii="Times New Roman" w:hAnsi="Times New Roman"/>
                <w:sz w:val="15"/>
              </w:rPr>
              <w:t>40</w:t>
            </w:r>
          </w:p>
        </w:tc>
        <w:tc>
          <w:tcPr>
            <w:tcW w:type="dxa" w:w="1560"/>
          </w:tcPr>
          <w:p>
            <w:pPr>
              <w:spacing w:line="240" w:lineRule="auto" w:after="0"/>
            </w:pPr>
            <w:r>
              <w:rPr>
                <w:rFonts w:ascii="Times New Roman" w:hAnsi="Times New Roman"/>
                <w:sz w:val="15"/>
              </w:rPr>
            </w:r>
            <w:r>
              <w:rPr>
                <w:rFonts w:ascii="Times New Roman" w:hAnsi="Times New Roman"/>
                <w:sz w:val="15"/>
              </w:rPr>
              <w:t>5.23</w:t>
            </w:r>
          </w:p>
        </w:tc>
        <w:tc>
          <w:tcPr>
            <w:tcW w:type="dxa" w:w="1560"/>
          </w:tcPr>
          <w:p>
            <w:pPr>
              <w:spacing w:line="240" w:lineRule="auto" w:after="0"/>
            </w:pPr>
            <w:r>
              <w:rPr>
                <w:rFonts w:ascii="Times New Roman" w:hAnsi="Times New Roman"/>
                <w:sz w:val="15"/>
              </w:rPr>
            </w:r>
            <w:r>
              <w:rPr>
                <w:rFonts w:ascii="Times New Roman" w:hAnsi="Times New Roman"/>
                <w:sz w:val="15"/>
              </w:rPr>
              <w:t>3.76–7.05</w:t>
            </w:r>
          </w:p>
        </w:tc>
        <w:tc>
          <w:tcPr>
            <w:tcW w:type="dxa" w:w="1560"/>
          </w:tcPr>
          <w:p>
            <w:pPr>
              <w:spacing w:line="240" w:lineRule="auto" w:after="0"/>
            </w:pPr>
            <w:r>
              <w:rPr>
                <w:rFonts w:ascii="Times New Roman" w:hAnsi="Times New Roman"/>
                <w:sz w:val="15"/>
              </w:rPr>
            </w:r>
            <w:r>
              <w:rPr>
                <w:rFonts w:ascii="Times New Roman" w:hAnsi="Times New Roman"/>
                <w:sz w:val="15"/>
              </w:rPr>
              <w:t>4.03 (2.05–7.92)</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8.6 (capped)</w:t>
            </w:r>
          </w:p>
        </w:tc>
        <w:tc>
          <w:tcPr>
            <w:tcW w:type="dxa" w:w="1560"/>
          </w:tcPr>
          <w:p>
            <w:pPr>
              <w:spacing w:line="240" w:lineRule="auto" w:after="0"/>
            </w:pPr>
            <w:r>
              <w:rPr>
                <w:rFonts w:ascii="Times New Roman" w:hAnsi="Times New Roman"/>
                <w:sz w:val="15"/>
              </w:rPr>
            </w:r>
            <w:r>
              <w:rPr>
                <w:rFonts w:ascii="Times New Roman" w:hAnsi="Times New Roman"/>
                <w:sz w:val="15"/>
              </w:rPr>
              <w:t>215</w:t>
            </w:r>
          </w:p>
        </w:tc>
        <w:tc>
          <w:tcPr>
            <w:tcW w:type="dxa" w:w="1560"/>
          </w:tcPr>
          <w:p>
            <w:pPr>
              <w:spacing w:line="240" w:lineRule="auto" w:after="0"/>
            </w:pPr>
            <w:r>
              <w:rPr>
                <w:rFonts w:ascii="Times New Roman" w:hAnsi="Times New Roman"/>
                <w:sz w:val="15"/>
              </w:rPr>
            </w:r>
            <w:r>
              <w:rPr>
                <w:rFonts w:ascii="Times New Roman" w:hAnsi="Times New Roman"/>
                <w:sz w:val="15"/>
              </w:rPr>
              <w:t>22</w:t>
            </w:r>
          </w:p>
        </w:tc>
        <w:tc>
          <w:tcPr>
            <w:tcW w:type="dxa" w:w="1560"/>
          </w:tcPr>
          <w:p>
            <w:pPr>
              <w:spacing w:line="240" w:lineRule="auto" w:after="0"/>
            </w:pPr>
            <w:r>
              <w:rPr>
                <w:rFonts w:ascii="Times New Roman" w:hAnsi="Times New Roman"/>
                <w:sz w:val="15"/>
              </w:rPr>
            </w:r>
            <w:r>
              <w:rPr>
                <w:rFonts w:ascii="Times New Roman" w:hAnsi="Times New Roman"/>
                <w:sz w:val="15"/>
              </w:rPr>
              <w:t>10.23</w:t>
            </w:r>
          </w:p>
        </w:tc>
        <w:tc>
          <w:tcPr>
            <w:tcW w:type="dxa" w:w="1560"/>
          </w:tcPr>
          <w:p>
            <w:pPr>
              <w:spacing w:line="240" w:lineRule="auto" w:after="0"/>
            </w:pPr>
            <w:r>
              <w:rPr>
                <w:rFonts w:ascii="Times New Roman" w:hAnsi="Times New Roman"/>
                <w:sz w:val="15"/>
              </w:rPr>
            </w:r>
            <w:r>
              <w:rPr>
                <w:rFonts w:ascii="Times New Roman" w:hAnsi="Times New Roman"/>
                <w:sz w:val="15"/>
              </w:rPr>
              <w:t>6.52–15.08</w:t>
            </w:r>
          </w:p>
        </w:tc>
        <w:tc>
          <w:tcPr>
            <w:tcW w:type="dxa" w:w="1560"/>
          </w:tcPr>
          <w:p>
            <w:pPr>
              <w:spacing w:line="240" w:lineRule="auto" w:after="0"/>
            </w:pPr>
            <w:r>
              <w:rPr>
                <w:rFonts w:ascii="Times New Roman" w:hAnsi="Times New Roman"/>
                <w:sz w:val="15"/>
              </w:rPr>
            </w:r>
            <w:r>
              <w:rPr>
                <w:rFonts w:ascii="Times New Roman" w:hAnsi="Times New Roman"/>
                <w:sz w:val="15"/>
              </w:rPr>
              <w:t>8.33 (3.97–17.47)</w:t>
            </w:r>
          </w:p>
        </w:tc>
      </w:tr>
    </w:tbl>
    <w:p/>
    <w:p>
      <w:pPr>
        <w:pStyle w:val="Heading3"/>
        <w:keepNext/>
        <w:spacing w:line="276" w:lineRule="auto" w:before="200" w:after="80"/>
      </w:pPr>
      <w:r>
        <w:rPr>
          <w:rFonts w:ascii="Times New Roman" w:hAnsi="Times New Roman"/>
          <w:color w:val="000000"/>
        </w:rPr>
        <w:t>3. Sparsity and separation</w:t>
      </w:r>
    </w:p>
    <w:p>
      <w:pPr>
        <w:jc w:val="left"/>
      </w:pPr>
      <w:r>
        <w:t>No covariate pattern was separated: every level of every binary covariate contained both deaths and survivors.</w:t>
      </w:r>
    </w:p>
    <w:tbl>
      <w:tblPr>
        <w:tblStyle w:val="TableGrid"/>
        <w:tblW w:type="auto" w:w="0"/>
        <w:jc w:val="center"/>
        <w:tblLook w:firstColumn="1" w:firstRow="1" w:lastColumn="0" w:lastRow="0" w:noHBand="0" w:noVBand="1" w:val="04A0"/>
      </w:tblPr>
      <w:tblGrid>
        <w:gridCol w:w="2340"/>
        <w:gridCol w:w="2340"/>
        <w:gridCol w:w="2340"/>
        <w:gridCol w:w="2340"/>
      </w:tblGrid>
      <w:tr>
        <w:trPr>
          <w:tblHeader w:val="true"/>
          <w:cantSplit/>
        </w:trPr>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Model</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Degrees of freedom</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Events</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Events per variable</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Parsimonious (lactate stratum, age, preoperative creatinine, ASA ≥3)</w:t>
            </w:r>
          </w:p>
        </w:tc>
        <w:tc>
          <w:tcPr>
            <w:tcW w:type="dxa" w:w="2340"/>
          </w:tcPr>
          <w:p>
            <w:pPr>
              <w:spacing w:line="240" w:lineRule="auto" w:after="0"/>
            </w:pPr>
            <w:r>
              <w:rPr>
                <w:rFonts w:ascii="Times New Roman" w:hAnsi="Times New Roman"/>
                <w:sz w:val="15"/>
              </w:rPr>
            </w:r>
            <w:r>
              <w:rPr>
                <w:rFonts w:ascii="Times New Roman" w:hAnsi="Times New Roman"/>
                <w:sz w:val="15"/>
              </w:rPr>
              <w:t>6</w:t>
            </w:r>
          </w:p>
        </w:tc>
        <w:tc>
          <w:tcPr>
            <w:tcW w:type="dxa" w:w="2340"/>
          </w:tcPr>
          <w:p>
            <w:pPr>
              <w:spacing w:line="240" w:lineRule="auto" w:after="0"/>
            </w:pPr>
            <w:r>
              <w:rPr>
                <w:rFonts w:ascii="Times New Roman" w:hAnsi="Times New Roman"/>
                <w:sz w:val="15"/>
              </w:rPr>
            </w:r>
            <w:r>
              <w:rPr>
                <w:rFonts w:ascii="Times New Roman" w:hAnsi="Times New Roman"/>
                <w:sz w:val="15"/>
              </w:rPr>
              <w:t>90</w:t>
            </w:r>
          </w:p>
        </w:tc>
        <w:tc>
          <w:tcPr>
            <w:tcW w:type="dxa" w:w="2340"/>
          </w:tcPr>
          <w:p>
            <w:pPr>
              <w:spacing w:line="240" w:lineRule="auto" w:after="0"/>
            </w:pPr>
            <w:r>
              <w:rPr>
                <w:rFonts w:ascii="Times New Roman" w:hAnsi="Times New Roman"/>
                <w:sz w:val="15"/>
              </w:rPr>
            </w:r>
            <w:r>
              <w:rPr>
                <w:rFonts w:ascii="Times New Roman" w:hAnsi="Times New Roman"/>
                <w:b/>
                <w:sz w:val="15"/>
              </w:rPr>
              <w:t>15.0</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Expanded (adds sex, emergency, CPB duration, concurrent AKI)</w:t>
            </w:r>
          </w:p>
        </w:tc>
        <w:tc>
          <w:tcPr>
            <w:tcW w:type="dxa" w:w="2340"/>
          </w:tcPr>
          <w:p>
            <w:pPr>
              <w:spacing w:line="240" w:lineRule="auto" w:after="0"/>
            </w:pPr>
            <w:r>
              <w:rPr>
                <w:rFonts w:ascii="Times New Roman" w:hAnsi="Times New Roman"/>
                <w:sz w:val="15"/>
              </w:rPr>
            </w:r>
            <w:r>
              <w:rPr>
                <w:rFonts w:ascii="Times New Roman" w:hAnsi="Times New Roman"/>
                <w:sz w:val="15"/>
              </w:rPr>
              <w:t>10</w:t>
            </w:r>
          </w:p>
        </w:tc>
        <w:tc>
          <w:tcPr>
            <w:tcW w:type="dxa" w:w="2340"/>
          </w:tcPr>
          <w:p>
            <w:pPr>
              <w:spacing w:line="240" w:lineRule="auto" w:after="0"/>
            </w:pPr>
            <w:r>
              <w:rPr>
                <w:rFonts w:ascii="Times New Roman" w:hAnsi="Times New Roman"/>
                <w:sz w:val="15"/>
              </w:rPr>
            </w:r>
            <w:r>
              <w:rPr>
                <w:rFonts w:ascii="Times New Roman" w:hAnsi="Times New Roman"/>
                <w:sz w:val="15"/>
              </w:rPr>
              <w:t>90</w:t>
            </w:r>
          </w:p>
        </w:tc>
        <w:tc>
          <w:tcPr>
            <w:tcW w:type="dxa" w:w="2340"/>
          </w:tcPr>
          <w:p>
            <w:pPr>
              <w:spacing w:line="240" w:lineRule="auto" w:after="0"/>
            </w:pPr>
            <w:r>
              <w:rPr>
                <w:rFonts w:ascii="Times New Roman" w:hAnsi="Times New Roman"/>
                <w:sz w:val="15"/>
              </w:rPr>
            </w:r>
            <w:r>
              <w:rPr>
                <w:rFonts w:ascii="Times New Roman" w:hAnsi="Times New Roman"/>
                <w:b/>
                <w:sz w:val="15"/>
              </w:rPr>
              <w:t>9.0</w:t>
            </w:r>
          </w:p>
        </w:tc>
      </w:tr>
    </w:tbl>
    <w:p/>
    <w:p>
      <w:pPr>
        <w:jc w:val="left"/>
      </w:pPr>
      <w:r>
        <w:t>Cell counts (non-deaths / deaths) for the binary terms: lactate 2.1–3.0, 1722/73 versus 553/17; lactate 3.8–5.9, 1550/50 versus 725/40; lactate 8.6, 2082/68 versus 193/22; ASA ≥3, 751/20 versus 1524/70.</w:t>
      </w:r>
    </w:p>
    <w:p>
      <w:pPr>
        <w:jc w:val="left"/>
      </w:pPr>
      <w:r>
        <w:t>The final model degrees of freedom were checked against the 90 observed deaths. A six-degree-of-freedom model gives 15.0 events per degree of freedom, whereas a ten-degree-of-freedom model gives 9.0.</w:t>
      </w:r>
    </w:p>
    <w:p>
      <w:pPr>
        <w:pStyle w:val="Heading3"/>
        <w:keepNext/>
        <w:spacing w:line="276" w:lineRule="auto" w:before="200" w:after="80"/>
      </w:pPr>
      <w:r>
        <w:rPr>
          <w:rFonts w:ascii="Times New Roman" w:hAnsi="Times New Roman"/>
          <w:color w:val="000000"/>
        </w:rPr>
        <w:t>4. Maximum likelihood, Firth penalisation and ridge</w:t>
      </w:r>
    </w:p>
    <w:p>
      <w:pPr>
        <w:jc w:val="left"/>
      </w:pPr>
      <w:r>
        <w:t>Odds ratios for 90-day mortality, primary cohort. Firth intervals are profile-penalised-likelihood intervals.</w:t>
      </w:r>
    </w:p>
    <w:p>
      <w:pPr>
        <w:jc w:val="left"/>
      </w:pPr>
      <w:r>
        <w:rPr>
          <w:b/>
        </w:rPr>
        <w:t>Parsimonious covariate set</w:t>
      </w:r>
    </w:p>
    <w:tbl>
      <w:tblPr>
        <w:tblStyle w:val="TableGrid"/>
        <w:tblW w:type="auto" w:w="0"/>
        <w:jc w:val="center"/>
        <w:tblLook w:firstColumn="1" w:firstRow="1" w:lastColumn="0" w:lastRow="0" w:noHBand="0" w:noVBand="1" w:val="04A0"/>
      </w:tblPr>
      <w:tblGrid>
        <w:gridCol w:w="2340"/>
        <w:gridCol w:w="2340"/>
        <w:gridCol w:w="2340"/>
        <w:gridCol w:w="2340"/>
      </w:tblGrid>
      <w:tr>
        <w:trPr>
          <w:tblHeader w:val="true"/>
          <w:cantSplit/>
        </w:trPr>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Term</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Maximum likelihood</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Firth</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Ridge (α=0.5)</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Lactate 2.1–3.0</w:t>
            </w:r>
          </w:p>
        </w:tc>
        <w:tc>
          <w:tcPr>
            <w:tcW w:type="dxa" w:w="2340"/>
          </w:tcPr>
          <w:p>
            <w:pPr>
              <w:spacing w:line="240" w:lineRule="auto" w:after="0"/>
            </w:pPr>
            <w:r>
              <w:rPr>
                <w:rFonts w:ascii="Times New Roman" w:hAnsi="Times New Roman"/>
                <w:sz w:val="15"/>
              </w:rPr>
            </w:r>
            <w:r>
              <w:rPr>
                <w:rFonts w:ascii="Times New Roman" w:hAnsi="Times New Roman"/>
                <w:sz w:val="15"/>
              </w:rPr>
              <w:t>2.46 (1.12–5.39)</w:t>
            </w:r>
          </w:p>
        </w:tc>
        <w:tc>
          <w:tcPr>
            <w:tcW w:type="dxa" w:w="2340"/>
          </w:tcPr>
          <w:p>
            <w:pPr>
              <w:spacing w:line="240" w:lineRule="auto" w:after="0"/>
            </w:pPr>
            <w:r>
              <w:rPr>
                <w:rFonts w:ascii="Times New Roman" w:hAnsi="Times New Roman"/>
                <w:sz w:val="15"/>
              </w:rPr>
            </w:r>
            <w:r>
              <w:rPr>
                <w:rFonts w:ascii="Times New Roman" w:hAnsi="Times New Roman"/>
                <w:sz w:val="15"/>
              </w:rPr>
              <w:t>2.41 (1.13–5.34)</w:t>
            </w:r>
          </w:p>
        </w:tc>
        <w:tc>
          <w:tcPr>
            <w:tcW w:type="dxa" w:w="2340"/>
          </w:tcPr>
          <w:p>
            <w:pPr>
              <w:spacing w:line="240" w:lineRule="auto" w:after="0"/>
            </w:pPr>
            <w:r>
              <w:rPr>
                <w:rFonts w:ascii="Times New Roman" w:hAnsi="Times New Roman"/>
                <w:sz w:val="15"/>
              </w:rPr>
            </w:r>
            <w:r>
              <w:rPr>
                <w:rFonts w:ascii="Times New Roman" w:hAnsi="Times New Roman"/>
                <w:sz w:val="15"/>
              </w:rPr>
              <w:t>2.07</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Lactate 3.8–5.9</w:t>
            </w:r>
          </w:p>
        </w:tc>
        <w:tc>
          <w:tcPr>
            <w:tcW w:type="dxa" w:w="2340"/>
          </w:tcPr>
          <w:p>
            <w:pPr>
              <w:spacing w:line="240" w:lineRule="auto" w:after="0"/>
            </w:pPr>
            <w:r>
              <w:rPr>
                <w:rFonts w:ascii="Times New Roman" w:hAnsi="Times New Roman"/>
                <w:sz w:val="15"/>
              </w:rPr>
            </w:r>
            <w:r>
              <w:rPr>
                <w:rFonts w:ascii="Times New Roman" w:hAnsi="Times New Roman"/>
                <w:sz w:val="15"/>
              </w:rPr>
              <w:t>4.49 (2.24–9.00)</w:t>
            </w:r>
          </w:p>
        </w:tc>
        <w:tc>
          <w:tcPr>
            <w:tcW w:type="dxa" w:w="2340"/>
          </w:tcPr>
          <w:p>
            <w:pPr>
              <w:spacing w:line="240" w:lineRule="auto" w:after="0"/>
            </w:pPr>
            <w:r>
              <w:rPr>
                <w:rFonts w:ascii="Times New Roman" w:hAnsi="Times New Roman"/>
                <w:sz w:val="15"/>
              </w:rPr>
            </w:r>
            <w:r>
              <w:rPr>
                <w:rFonts w:ascii="Times New Roman" w:hAnsi="Times New Roman"/>
                <w:sz w:val="15"/>
              </w:rPr>
              <w:t>4.32 (2.26–8.93)</w:t>
            </w:r>
          </w:p>
        </w:tc>
        <w:tc>
          <w:tcPr>
            <w:tcW w:type="dxa" w:w="2340"/>
          </w:tcPr>
          <w:p>
            <w:pPr>
              <w:spacing w:line="240" w:lineRule="auto" w:after="0"/>
            </w:pPr>
            <w:r>
              <w:rPr>
                <w:rFonts w:ascii="Times New Roman" w:hAnsi="Times New Roman"/>
                <w:sz w:val="15"/>
              </w:rPr>
            </w:r>
            <w:r>
              <w:rPr>
                <w:rFonts w:ascii="Times New Roman" w:hAnsi="Times New Roman"/>
                <w:sz w:val="15"/>
              </w:rPr>
              <w:t>3.85</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Lactate 8.6 (capped)</w:t>
            </w:r>
          </w:p>
        </w:tc>
        <w:tc>
          <w:tcPr>
            <w:tcW w:type="dxa" w:w="2340"/>
          </w:tcPr>
          <w:p>
            <w:pPr>
              <w:spacing w:line="240" w:lineRule="auto" w:after="0"/>
            </w:pPr>
            <w:r>
              <w:rPr>
                <w:rFonts w:ascii="Times New Roman" w:hAnsi="Times New Roman"/>
                <w:sz w:val="15"/>
              </w:rPr>
            </w:r>
            <w:r>
              <w:rPr>
                <w:rFonts w:ascii="Times New Roman" w:hAnsi="Times New Roman"/>
                <w:sz w:val="15"/>
              </w:rPr>
              <w:t>12.69 (5.84–27.55)</w:t>
            </w:r>
          </w:p>
        </w:tc>
        <w:tc>
          <w:tcPr>
            <w:tcW w:type="dxa" w:w="2340"/>
          </w:tcPr>
          <w:p>
            <w:pPr>
              <w:spacing w:line="240" w:lineRule="auto" w:after="0"/>
            </w:pPr>
            <w:r>
              <w:rPr>
                <w:rFonts w:ascii="Times New Roman" w:hAnsi="Times New Roman"/>
                <w:sz w:val="15"/>
              </w:rPr>
            </w:r>
            <w:r>
              <w:rPr>
                <w:rFonts w:ascii="Times New Roman" w:hAnsi="Times New Roman"/>
                <w:b/>
                <w:sz w:val="15"/>
              </w:rPr>
              <w:t>12.25 (5.84–27.10)</w:t>
            </w:r>
          </w:p>
        </w:tc>
        <w:tc>
          <w:tcPr>
            <w:tcW w:type="dxa" w:w="2340"/>
          </w:tcPr>
          <w:p>
            <w:pPr>
              <w:spacing w:line="240" w:lineRule="auto" w:after="0"/>
            </w:pPr>
            <w:r>
              <w:rPr>
                <w:rFonts w:ascii="Times New Roman" w:hAnsi="Times New Roman"/>
                <w:sz w:val="15"/>
              </w:rPr>
            </w:r>
            <w:r>
              <w:rPr>
                <w:rFonts w:ascii="Times New Roman" w:hAnsi="Times New Roman"/>
                <w:sz w:val="15"/>
              </w:rPr>
              <w:t>10.70</w:t>
            </w:r>
          </w:p>
        </w:tc>
      </w:tr>
    </w:tbl>
    <w:p/>
    <w:p>
      <w:pPr>
        <w:jc w:val="left"/>
      </w:pPr>
      <w:r>
        <w:rPr>
          <w:b/>
        </w:rPr>
        <w:t>Expanded covariate set</w:t>
      </w:r>
      <w:r>
        <w:t xml:space="preserve"> (includes concurrent AKI at the landmark)</w:t>
      </w:r>
    </w:p>
    <w:tbl>
      <w:tblPr>
        <w:tblStyle w:val="TableGrid"/>
        <w:tblW w:type="auto" w:w="0"/>
        <w:jc w:val="center"/>
        <w:tblLook w:firstColumn="1" w:firstRow="1" w:lastColumn="0" w:lastRow="0" w:noHBand="0" w:noVBand="1" w:val="04A0"/>
      </w:tblPr>
      <w:tblGrid>
        <w:gridCol w:w="2340"/>
        <w:gridCol w:w="2340"/>
        <w:gridCol w:w="2340"/>
        <w:gridCol w:w="2340"/>
      </w:tblGrid>
      <w:tr>
        <w:trPr>
          <w:tblHeader w:val="true"/>
          <w:cantSplit/>
        </w:trPr>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Term</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Maximum likelihood</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Firth</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Ridge (α=0.5)</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Lactate 2.1–3.0</w:t>
            </w:r>
          </w:p>
        </w:tc>
        <w:tc>
          <w:tcPr>
            <w:tcW w:type="dxa" w:w="2340"/>
          </w:tcPr>
          <w:p>
            <w:pPr>
              <w:spacing w:line="240" w:lineRule="auto" w:after="0"/>
            </w:pPr>
            <w:r>
              <w:rPr>
                <w:rFonts w:ascii="Times New Roman" w:hAnsi="Times New Roman"/>
                <w:sz w:val="15"/>
              </w:rPr>
            </w:r>
            <w:r>
              <w:rPr>
                <w:rFonts w:ascii="Times New Roman" w:hAnsi="Times New Roman"/>
                <w:sz w:val="15"/>
              </w:rPr>
              <w:t>2.30 (1.04–5.06)</w:t>
            </w:r>
          </w:p>
        </w:tc>
        <w:tc>
          <w:tcPr>
            <w:tcW w:type="dxa" w:w="2340"/>
          </w:tcPr>
          <w:p>
            <w:pPr>
              <w:spacing w:line="240" w:lineRule="auto" w:after="0"/>
            </w:pPr>
            <w:r>
              <w:rPr>
                <w:rFonts w:ascii="Times New Roman" w:hAnsi="Times New Roman"/>
                <w:sz w:val="15"/>
              </w:rPr>
            </w:r>
            <w:r>
              <w:rPr>
                <w:rFonts w:ascii="Times New Roman" w:hAnsi="Times New Roman"/>
                <w:sz w:val="15"/>
              </w:rPr>
              <w:t>2.25 (1.05–5.01)</w:t>
            </w:r>
          </w:p>
        </w:tc>
        <w:tc>
          <w:tcPr>
            <w:tcW w:type="dxa" w:w="2340"/>
          </w:tcPr>
          <w:p>
            <w:pPr>
              <w:spacing w:line="240" w:lineRule="auto" w:after="0"/>
            </w:pPr>
            <w:r>
              <w:rPr>
                <w:rFonts w:ascii="Times New Roman" w:hAnsi="Times New Roman"/>
                <w:sz w:val="15"/>
              </w:rPr>
            </w:r>
            <w:r>
              <w:rPr>
                <w:rFonts w:ascii="Times New Roman" w:hAnsi="Times New Roman"/>
                <w:sz w:val="15"/>
              </w:rPr>
              <w:t>1.93</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Lactate 3.8–5.9</w:t>
            </w:r>
          </w:p>
        </w:tc>
        <w:tc>
          <w:tcPr>
            <w:tcW w:type="dxa" w:w="2340"/>
          </w:tcPr>
          <w:p>
            <w:pPr>
              <w:spacing w:line="240" w:lineRule="auto" w:after="0"/>
            </w:pPr>
            <w:r>
              <w:rPr>
                <w:rFonts w:ascii="Times New Roman" w:hAnsi="Times New Roman"/>
                <w:sz w:val="15"/>
              </w:rPr>
            </w:r>
            <w:r>
              <w:rPr>
                <w:rFonts w:ascii="Times New Roman" w:hAnsi="Times New Roman"/>
                <w:sz w:val="15"/>
              </w:rPr>
              <w:t>3.45 (1.69–7.02)</w:t>
            </w:r>
          </w:p>
        </w:tc>
        <w:tc>
          <w:tcPr>
            <w:tcW w:type="dxa" w:w="2340"/>
          </w:tcPr>
          <w:p>
            <w:pPr>
              <w:spacing w:line="240" w:lineRule="auto" w:after="0"/>
            </w:pPr>
            <w:r>
              <w:rPr>
                <w:rFonts w:ascii="Times New Roman" w:hAnsi="Times New Roman"/>
                <w:sz w:val="15"/>
              </w:rPr>
            </w:r>
            <w:r>
              <w:rPr>
                <w:rFonts w:ascii="Times New Roman" w:hAnsi="Times New Roman"/>
                <w:sz w:val="15"/>
              </w:rPr>
              <w:t>3.32 (1.71–6.95)</w:t>
            </w:r>
          </w:p>
        </w:tc>
        <w:tc>
          <w:tcPr>
            <w:tcW w:type="dxa" w:w="2340"/>
          </w:tcPr>
          <w:p>
            <w:pPr>
              <w:spacing w:line="240" w:lineRule="auto" w:after="0"/>
            </w:pPr>
            <w:r>
              <w:rPr>
                <w:rFonts w:ascii="Times New Roman" w:hAnsi="Times New Roman"/>
                <w:sz w:val="15"/>
              </w:rPr>
            </w:r>
            <w:r>
              <w:rPr>
                <w:rFonts w:ascii="Times New Roman" w:hAnsi="Times New Roman"/>
                <w:sz w:val="15"/>
              </w:rPr>
              <w:t>2.97</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Lactate 8.6 (capped)</w:t>
            </w:r>
          </w:p>
        </w:tc>
        <w:tc>
          <w:tcPr>
            <w:tcW w:type="dxa" w:w="2340"/>
          </w:tcPr>
          <w:p>
            <w:pPr>
              <w:spacing w:line="240" w:lineRule="auto" w:after="0"/>
            </w:pPr>
            <w:r>
              <w:rPr>
                <w:rFonts w:ascii="Times New Roman" w:hAnsi="Times New Roman"/>
                <w:sz w:val="15"/>
              </w:rPr>
            </w:r>
            <w:r>
              <w:rPr>
                <w:rFonts w:ascii="Times New Roman" w:hAnsi="Times New Roman"/>
                <w:sz w:val="15"/>
              </w:rPr>
              <w:t>7.64 (3.38–17.29)</w:t>
            </w:r>
          </w:p>
        </w:tc>
        <w:tc>
          <w:tcPr>
            <w:tcW w:type="dxa" w:w="2340"/>
          </w:tcPr>
          <w:p>
            <w:pPr>
              <w:spacing w:line="240" w:lineRule="auto" w:after="0"/>
            </w:pPr>
            <w:r>
              <w:rPr>
                <w:rFonts w:ascii="Times New Roman" w:hAnsi="Times New Roman"/>
                <w:sz w:val="15"/>
              </w:rPr>
            </w:r>
            <w:r>
              <w:rPr>
                <w:rFonts w:ascii="Times New Roman" w:hAnsi="Times New Roman"/>
                <w:b/>
                <w:sz w:val="15"/>
              </w:rPr>
              <w:t>7.34 (3.35–16.84)</w:t>
            </w:r>
          </w:p>
        </w:tc>
        <w:tc>
          <w:tcPr>
            <w:tcW w:type="dxa" w:w="2340"/>
          </w:tcPr>
          <w:p>
            <w:pPr>
              <w:spacing w:line="240" w:lineRule="auto" w:after="0"/>
            </w:pPr>
            <w:r>
              <w:rPr>
                <w:rFonts w:ascii="Times New Roman" w:hAnsi="Times New Roman"/>
                <w:sz w:val="15"/>
              </w:rPr>
            </w:r>
            <w:r>
              <w:rPr>
                <w:rFonts w:ascii="Times New Roman" w:hAnsi="Times New Roman"/>
                <w:sz w:val="15"/>
              </w:rPr>
              <w:t>6.46</w:t>
            </w:r>
          </w:p>
        </w:tc>
      </w:tr>
    </w:tbl>
    <w:p/>
    <w:p>
      <w:pPr>
        <w:jc w:val="left"/>
      </w:pPr>
      <w:r>
        <w:rPr>
          <w:b/>
        </w:rPr>
        <w:t>All-operations cohort</w:t>
      </w:r>
      <w:r>
        <w:t xml:space="preserve"> (105 deaths), Firth, for comparison: 2.36 (1.11–5.21), 3.60 (1.88–7.43) and </w:t>
      </w:r>
      <w:r>
        <w:rPr>
          <w:b/>
        </w:rPr>
        <w:t>8.62 (4.12–19.10)</w:t>
      </w:r>
      <w:r>
        <w:t>.</w:t>
      </w:r>
    </w:p>
    <w:p>
      <w:pPr>
        <w:jc w:val="left"/>
      </w:pPr>
      <w:r>
        <w:t>Two readings follow. Firth penalisation changes the top-stratum estimate by about 4% (7.64 to 7.34 in the expanded model), so the large odds ratio is not an artefact of sparse data. But the estimate is strongly sensitive to specification, ranging from 12.25 to 6.46 across the parsimonious, expanded and ridge fits of the same data. That range, and not any single value, is the honest expression of the uncertainty.</w:t>
      </w:r>
    </w:p>
    <w:p>
      <w:pPr>
        <w:pStyle w:val="Heading3"/>
        <w:keepNext/>
        <w:spacing w:line="276" w:lineRule="auto" w:before="200" w:after="80"/>
      </w:pPr>
      <w:r>
        <w:rPr>
          <w:rFonts w:ascii="Times New Roman" w:hAnsi="Times New Roman"/>
          <w:color w:val="000000"/>
        </w:rPr>
        <w:t>5. Bootstrap internal validation</w:t>
      </w:r>
    </w:p>
    <w:p>
      <w:pPr>
        <w:jc w:val="left"/>
      </w:pPr>
      <w:r>
        <w:t>500 replicates resampling patients. Harrell optimism correction.</w:t>
      </w:r>
    </w:p>
    <w:tbl>
      <w:tblPr>
        <w:tblStyle w:val="TableGrid"/>
        <w:tblW w:type="auto" w:w="0"/>
        <w:jc w:val="center"/>
        <w:tblLook w:firstColumn="1" w:firstRow="1" w:lastColumn="0" w:lastRow="0" w:noHBand="0" w:noVBand="1" w:val="04A0"/>
      </w:tblPr>
      <w:tblGrid>
        <w:gridCol w:w="1872"/>
        <w:gridCol w:w="1872"/>
        <w:gridCol w:w="1872"/>
        <w:gridCol w:w="1872"/>
        <w:gridCol w:w="1872"/>
      </w:tblGrid>
      <w:tr>
        <w:trPr>
          <w:tblHeader w:val="true"/>
          <w:cantSplit/>
        </w:trPr>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Model</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Metric</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Apparent</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Optimism</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Optimism-corrected</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Parsimonious</w:t>
            </w:r>
          </w:p>
        </w:tc>
        <w:tc>
          <w:tcPr>
            <w:tcW w:type="dxa" w:w="1872"/>
          </w:tcPr>
          <w:p>
            <w:pPr>
              <w:spacing w:line="240" w:lineRule="auto" w:after="0"/>
            </w:pPr>
            <w:r>
              <w:rPr>
                <w:rFonts w:ascii="Times New Roman" w:hAnsi="Times New Roman"/>
                <w:sz w:val="15"/>
              </w:rPr>
            </w:r>
            <w:r>
              <w:rPr>
                <w:rFonts w:ascii="Times New Roman" w:hAnsi="Times New Roman"/>
                <w:sz w:val="15"/>
              </w:rPr>
              <w:t>C-index with lactate</w:t>
            </w:r>
          </w:p>
        </w:tc>
        <w:tc>
          <w:tcPr>
            <w:tcW w:type="dxa" w:w="1872"/>
          </w:tcPr>
          <w:p>
            <w:pPr>
              <w:spacing w:line="240" w:lineRule="auto" w:after="0"/>
            </w:pPr>
            <w:r>
              <w:rPr>
                <w:rFonts w:ascii="Times New Roman" w:hAnsi="Times New Roman"/>
                <w:sz w:val="15"/>
              </w:rPr>
            </w:r>
            <w:r>
              <w:rPr>
                <w:rFonts w:ascii="Times New Roman" w:hAnsi="Times New Roman"/>
                <w:sz w:val="15"/>
              </w:rPr>
              <w:t>0.7984</w:t>
            </w:r>
          </w:p>
        </w:tc>
        <w:tc>
          <w:tcPr>
            <w:tcW w:type="dxa" w:w="1872"/>
          </w:tcPr>
          <w:p>
            <w:pPr>
              <w:spacing w:line="240" w:lineRule="auto" w:after="0"/>
            </w:pPr>
            <w:r>
              <w:rPr>
                <w:rFonts w:ascii="Times New Roman" w:hAnsi="Times New Roman"/>
                <w:sz w:val="15"/>
              </w:rPr>
            </w:r>
            <w:r>
              <w:rPr>
                <w:rFonts w:ascii="Times New Roman" w:hAnsi="Times New Roman"/>
                <w:sz w:val="15"/>
              </w:rPr>
              <w:t>0.0109</w:t>
            </w:r>
          </w:p>
        </w:tc>
        <w:tc>
          <w:tcPr>
            <w:tcW w:type="dxa" w:w="1872"/>
          </w:tcPr>
          <w:p>
            <w:pPr>
              <w:spacing w:line="240" w:lineRule="auto" w:after="0"/>
            </w:pPr>
            <w:r>
              <w:rPr>
                <w:rFonts w:ascii="Times New Roman" w:hAnsi="Times New Roman"/>
                <w:sz w:val="15"/>
              </w:rPr>
            </w:r>
            <w:r>
              <w:rPr>
                <w:rFonts w:ascii="Times New Roman" w:hAnsi="Times New Roman"/>
                <w:b/>
                <w:sz w:val="15"/>
              </w:rPr>
              <w:t>0.7875</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Parsimonious</w:t>
            </w:r>
          </w:p>
        </w:tc>
        <w:tc>
          <w:tcPr>
            <w:tcW w:type="dxa" w:w="1872"/>
          </w:tcPr>
          <w:p>
            <w:pPr>
              <w:spacing w:line="240" w:lineRule="auto" w:after="0"/>
            </w:pPr>
            <w:r>
              <w:rPr>
                <w:rFonts w:ascii="Times New Roman" w:hAnsi="Times New Roman"/>
                <w:sz w:val="15"/>
              </w:rPr>
            </w:r>
            <w:r>
              <w:rPr>
                <w:rFonts w:ascii="Times New Roman" w:hAnsi="Times New Roman"/>
                <w:sz w:val="15"/>
              </w:rPr>
              <w:t>C-index without lactate</w:t>
            </w:r>
          </w:p>
        </w:tc>
        <w:tc>
          <w:tcPr>
            <w:tcW w:type="dxa" w:w="1872"/>
          </w:tcPr>
          <w:p>
            <w:pPr>
              <w:spacing w:line="240" w:lineRule="auto" w:after="0"/>
            </w:pPr>
            <w:r>
              <w:rPr>
                <w:rFonts w:ascii="Times New Roman" w:hAnsi="Times New Roman"/>
                <w:sz w:val="15"/>
              </w:rPr>
            </w:r>
            <w:r>
              <w:rPr>
                <w:rFonts w:ascii="Times New Roman" w:hAnsi="Times New Roman"/>
                <w:sz w:val="15"/>
              </w:rPr>
              <w:t>0.7272</w:t>
            </w:r>
          </w:p>
        </w:tc>
        <w:tc>
          <w:tcPr>
            <w:tcW w:type="dxa" w:w="1872"/>
          </w:tcPr>
          <w:p>
            <w:pPr>
              <w:spacing w:line="240" w:lineRule="auto" w:after="0"/>
            </w:pPr>
            <w:r>
              <w:rPr>
                <w:rFonts w:ascii="Times New Roman" w:hAnsi="Times New Roman"/>
                <w:sz w:val="15"/>
              </w:rPr>
            </w:r>
            <w:r>
              <w:rPr>
                <w:rFonts w:ascii="Times New Roman" w:hAnsi="Times New Roman"/>
                <w:sz w:val="15"/>
              </w:rPr>
              <w:t>0.0048</w:t>
            </w:r>
          </w:p>
        </w:tc>
        <w:tc>
          <w:tcPr>
            <w:tcW w:type="dxa" w:w="1872"/>
          </w:tcPr>
          <w:p>
            <w:pPr>
              <w:spacing w:line="240" w:lineRule="auto" w:after="0"/>
            </w:pPr>
            <w:r>
              <w:rPr>
                <w:rFonts w:ascii="Times New Roman" w:hAnsi="Times New Roman"/>
                <w:sz w:val="15"/>
              </w:rPr>
            </w:r>
            <w:r>
              <w:rPr>
                <w:rFonts w:ascii="Times New Roman" w:hAnsi="Times New Roman"/>
                <w:sz w:val="15"/>
              </w:rPr>
              <w:t>0.7224</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Parsimonious</w:t>
            </w:r>
          </w:p>
        </w:tc>
        <w:tc>
          <w:tcPr>
            <w:tcW w:type="dxa" w:w="1872"/>
          </w:tcPr>
          <w:p>
            <w:pPr>
              <w:spacing w:line="240" w:lineRule="auto" w:after="0"/>
            </w:pPr>
            <w:r>
              <w:rPr>
                <w:rFonts w:ascii="Times New Roman" w:hAnsi="Times New Roman"/>
                <w:sz w:val="15"/>
              </w:rPr>
            </w:r>
            <w:r>
              <w:rPr>
                <w:rFonts w:ascii="Times New Roman" w:hAnsi="Times New Roman"/>
                <w:sz w:val="15"/>
              </w:rPr>
              <w:t>Calibration slope</w:t>
            </w:r>
          </w:p>
        </w:tc>
        <w:tc>
          <w:tcPr>
            <w:tcW w:type="dxa" w:w="1872"/>
          </w:tcPr>
          <w:p>
            <w:pPr>
              <w:spacing w:line="240" w:lineRule="auto" w:after="0"/>
            </w:pPr>
            <w:r>
              <w:rPr>
                <w:rFonts w:ascii="Times New Roman" w:hAnsi="Times New Roman"/>
                <w:sz w:val="15"/>
              </w:rPr>
            </w:r>
            <w:r>
              <w:rPr>
                <w:rFonts w:ascii="Times New Roman" w:hAnsi="Times New Roman"/>
                <w:sz w:val="15"/>
              </w:rPr>
              <w:t>1.0117</w:t>
            </w:r>
          </w:p>
        </w:tc>
        <w:tc>
          <w:tcPr>
            <w:tcW w:type="dxa" w:w="1872"/>
          </w:tcPr>
          <w:p>
            <w:pPr>
              <w:spacing w:line="240" w:lineRule="auto" w:after="0"/>
            </w:pPr>
            <w:r>
              <w:rPr>
                <w:rFonts w:ascii="Times New Roman" w:hAnsi="Times New Roman"/>
                <w:sz w:val="15"/>
              </w:rPr>
            </w:r>
            <w:r>
              <w:rPr>
                <w:rFonts w:ascii="Times New Roman" w:hAnsi="Times New Roman"/>
                <w:sz w:val="15"/>
              </w:rPr>
              <w:t>0.0415</w:t>
            </w:r>
          </w:p>
        </w:tc>
        <w:tc>
          <w:tcPr>
            <w:tcW w:type="dxa" w:w="1872"/>
          </w:tcPr>
          <w:p>
            <w:pPr>
              <w:spacing w:line="240" w:lineRule="auto" w:after="0"/>
            </w:pPr>
            <w:r>
              <w:rPr>
                <w:rFonts w:ascii="Times New Roman" w:hAnsi="Times New Roman"/>
                <w:sz w:val="15"/>
              </w:rPr>
            </w:r>
            <w:r>
              <w:rPr>
                <w:rFonts w:ascii="Times New Roman" w:hAnsi="Times New Roman"/>
                <w:b/>
                <w:sz w:val="15"/>
              </w:rPr>
              <w:t>0.9701</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Parsimonious</w:t>
            </w:r>
          </w:p>
        </w:tc>
        <w:tc>
          <w:tcPr>
            <w:tcW w:type="dxa" w:w="1872"/>
          </w:tcPr>
          <w:p>
            <w:pPr>
              <w:spacing w:line="240" w:lineRule="auto" w:after="0"/>
            </w:pPr>
            <w:r>
              <w:rPr>
                <w:rFonts w:ascii="Times New Roman" w:hAnsi="Times New Roman"/>
                <w:sz w:val="15"/>
              </w:rPr>
            </w:r>
            <w:r>
              <w:rPr>
                <w:rFonts w:ascii="Times New Roman" w:hAnsi="Times New Roman"/>
                <w:sz w:val="15"/>
              </w:rPr>
              <w:t>Calibration intercept</w:t>
            </w:r>
          </w:p>
        </w:tc>
        <w:tc>
          <w:tcPr>
            <w:tcW w:type="dxa" w:w="1872"/>
          </w:tcPr>
          <w:p>
            <w:pPr>
              <w:spacing w:line="240" w:lineRule="auto" w:after="0"/>
            </w:pPr>
            <w:r>
              <w:rPr>
                <w:rFonts w:ascii="Times New Roman" w:hAnsi="Times New Roman"/>
                <w:sz w:val="15"/>
              </w:rPr>
            </w:r>
            <w:r>
              <w:rPr>
                <w:rFonts w:ascii="Times New Roman" w:hAnsi="Times New Roman"/>
                <w:sz w:val="15"/>
              </w:rPr>
              <w:t>−0.0026</w:t>
            </w:r>
          </w:p>
        </w:tc>
        <w:tc>
          <w:tcPr>
            <w:tcW w:type="dxa" w:w="1872"/>
          </w:tcPr>
          <w:p>
            <w:pPr>
              <w:spacing w:line="240" w:lineRule="auto" w:after="0"/>
            </w:pPr>
            <w:r>
              <w:rPr>
                <w:rFonts w:ascii="Times New Roman" w:hAnsi="Times New Roman"/>
                <w:sz w:val="15"/>
              </w:rPr>
            </w:r>
            <w:r>
              <w:rPr>
                <w:rFonts w:ascii="Times New Roman" w:hAnsi="Times New Roman"/>
                <w:sz w:val="15"/>
              </w:rPr>
              <w:t>0.0980</w:t>
            </w:r>
          </w:p>
        </w:tc>
        <w:tc>
          <w:tcPr>
            <w:tcW w:type="dxa" w:w="1872"/>
          </w:tcPr>
          <w:p>
            <w:pPr>
              <w:spacing w:line="240" w:lineRule="auto" w:after="0"/>
            </w:pPr>
            <w:r>
              <w:rPr>
                <w:rFonts w:ascii="Times New Roman" w:hAnsi="Times New Roman"/>
                <w:sz w:val="15"/>
              </w:rPr>
            </w:r>
            <w:r>
              <w:rPr>
                <w:rFonts w:ascii="Times New Roman" w:hAnsi="Times New Roman"/>
                <w:sz w:val="15"/>
              </w:rPr>
              <w:t>−0.1006</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Expanded</w:t>
            </w:r>
          </w:p>
        </w:tc>
        <w:tc>
          <w:tcPr>
            <w:tcW w:type="dxa" w:w="1872"/>
          </w:tcPr>
          <w:p>
            <w:pPr>
              <w:spacing w:line="240" w:lineRule="auto" w:after="0"/>
            </w:pPr>
            <w:r>
              <w:rPr>
                <w:rFonts w:ascii="Times New Roman" w:hAnsi="Times New Roman"/>
                <w:sz w:val="15"/>
              </w:rPr>
            </w:r>
            <w:r>
              <w:rPr>
                <w:rFonts w:ascii="Times New Roman" w:hAnsi="Times New Roman"/>
                <w:sz w:val="15"/>
              </w:rPr>
              <w:t>C-index with lactate</w:t>
            </w:r>
          </w:p>
        </w:tc>
        <w:tc>
          <w:tcPr>
            <w:tcW w:type="dxa" w:w="1872"/>
          </w:tcPr>
          <w:p>
            <w:pPr>
              <w:spacing w:line="240" w:lineRule="auto" w:after="0"/>
            </w:pPr>
            <w:r>
              <w:rPr>
                <w:rFonts w:ascii="Times New Roman" w:hAnsi="Times New Roman"/>
                <w:sz w:val="15"/>
              </w:rPr>
            </w:r>
            <w:r>
              <w:rPr>
                <w:rFonts w:ascii="Times New Roman" w:hAnsi="Times New Roman"/>
                <w:sz w:val="15"/>
              </w:rPr>
              <w:t>0.8298</w:t>
            </w:r>
          </w:p>
        </w:tc>
        <w:tc>
          <w:tcPr>
            <w:tcW w:type="dxa" w:w="1872"/>
          </w:tcPr>
          <w:p>
            <w:pPr>
              <w:spacing w:line="240" w:lineRule="auto" w:after="0"/>
            </w:pPr>
            <w:r>
              <w:rPr>
                <w:rFonts w:ascii="Times New Roman" w:hAnsi="Times New Roman"/>
                <w:sz w:val="15"/>
              </w:rPr>
            </w:r>
            <w:r>
              <w:rPr>
                <w:rFonts w:ascii="Times New Roman" w:hAnsi="Times New Roman"/>
                <w:sz w:val="15"/>
              </w:rPr>
              <w:t>0.0178</w:t>
            </w:r>
          </w:p>
        </w:tc>
        <w:tc>
          <w:tcPr>
            <w:tcW w:type="dxa" w:w="1872"/>
          </w:tcPr>
          <w:p>
            <w:pPr>
              <w:spacing w:line="240" w:lineRule="auto" w:after="0"/>
            </w:pPr>
            <w:r>
              <w:rPr>
                <w:rFonts w:ascii="Times New Roman" w:hAnsi="Times New Roman"/>
                <w:sz w:val="15"/>
              </w:rPr>
            </w:r>
            <w:r>
              <w:rPr>
                <w:rFonts w:ascii="Times New Roman" w:hAnsi="Times New Roman"/>
                <w:b/>
                <w:sz w:val="15"/>
              </w:rPr>
              <w:t>0.8120</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Expanded</w:t>
            </w:r>
          </w:p>
        </w:tc>
        <w:tc>
          <w:tcPr>
            <w:tcW w:type="dxa" w:w="1872"/>
          </w:tcPr>
          <w:p>
            <w:pPr>
              <w:spacing w:line="240" w:lineRule="auto" w:after="0"/>
            </w:pPr>
            <w:r>
              <w:rPr>
                <w:rFonts w:ascii="Times New Roman" w:hAnsi="Times New Roman"/>
                <w:sz w:val="15"/>
              </w:rPr>
            </w:r>
            <w:r>
              <w:rPr>
                <w:rFonts w:ascii="Times New Roman" w:hAnsi="Times New Roman"/>
                <w:sz w:val="15"/>
              </w:rPr>
              <w:t>C-index without lactate</w:t>
            </w:r>
          </w:p>
        </w:tc>
        <w:tc>
          <w:tcPr>
            <w:tcW w:type="dxa" w:w="1872"/>
          </w:tcPr>
          <w:p>
            <w:pPr>
              <w:spacing w:line="240" w:lineRule="auto" w:after="0"/>
            </w:pPr>
            <w:r>
              <w:rPr>
                <w:rFonts w:ascii="Times New Roman" w:hAnsi="Times New Roman"/>
                <w:sz w:val="15"/>
              </w:rPr>
            </w:r>
            <w:r>
              <w:rPr>
                <w:rFonts w:ascii="Times New Roman" w:hAnsi="Times New Roman"/>
                <w:sz w:val="15"/>
              </w:rPr>
              <w:t>0.8019</w:t>
            </w:r>
          </w:p>
        </w:tc>
        <w:tc>
          <w:tcPr>
            <w:tcW w:type="dxa" w:w="1872"/>
          </w:tcPr>
          <w:p>
            <w:pPr>
              <w:spacing w:line="240" w:lineRule="auto" w:after="0"/>
            </w:pPr>
            <w:r>
              <w:rPr>
                <w:rFonts w:ascii="Times New Roman" w:hAnsi="Times New Roman"/>
                <w:sz w:val="15"/>
              </w:rPr>
            </w:r>
            <w:r>
              <w:rPr>
                <w:rFonts w:ascii="Times New Roman" w:hAnsi="Times New Roman"/>
                <w:sz w:val="15"/>
              </w:rPr>
              <w:t>0.0148</w:t>
            </w:r>
          </w:p>
        </w:tc>
        <w:tc>
          <w:tcPr>
            <w:tcW w:type="dxa" w:w="1872"/>
          </w:tcPr>
          <w:p>
            <w:pPr>
              <w:spacing w:line="240" w:lineRule="auto" w:after="0"/>
            </w:pPr>
            <w:r>
              <w:rPr>
                <w:rFonts w:ascii="Times New Roman" w:hAnsi="Times New Roman"/>
                <w:sz w:val="15"/>
              </w:rPr>
            </w:r>
            <w:r>
              <w:rPr>
                <w:rFonts w:ascii="Times New Roman" w:hAnsi="Times New Roman"/>
                <w:sz w:val="15"/>
              </w:rPr>
              <w:t>0.7871</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Expanded</w:t>
            </w:r>
          </w:p>
        </w:tc>
        <w:tc>
          <w:tcPr>
            <w:tcW w:type="dxa" w:w="1872"/>
          </w:tcPr>
          <w:p>
            <w:pPr>
              <w:spacing w:line="240" w:lineRule="auto" w:after="0"/>
            </w:pPr>
            <w:r>
              <w:rPr>
                <w:rFonts w:ascii="Times New Roman" w:hAnsi="Times New Roman"/>
                <w:sz w:val="15"/>
              </w:rPr>
            </w:r>
            <w:r>
              <w:rPr>
                <w:rFonts w:ascii="Times New Roman" w:hAnsi="Times New Roman"/>
                <w:sz w:val="15"/>
              </w:rPr>
              <w:t>Calibration slope</w:t>
            </w:r>
          </w:p>
        </w:tc>
        <w:tc>
          <w:tcPr>
            <w:tcW w:type="dxa" w:w="1872"/>
          </w:tcPr>
          <w:p>
            <w:pPr>
              <w:spacing w:line="240" w:lineRule="auto" w:after="0"/>
            </w:pPr>
            <w:r>
              <w:rPr>
                <w:rFonts w:ascii="Times New Roman" w:hAnsi="Times New Roman"/>
                <w:sz w:val="15"/>
              </w:rPr>
            </w:r>
            <w:r>
              <w:rPr>
                <w:rFonts w:ascii="Times New Roman" w:hAnsi="Times New Roman"/>
                <w:sz w:val="15"/>
              </w:rPr>
              <w:t>1.0158</w:t>
            </w:r>
          </w:p>
        </w:tc>
        <w:tc>
          <w:tcPr>
            <w:tcW w:type="dxa" w:w="1872"/>
          </w:tcPr>
          <w:p>
            <w:pPr>
              <w:spacing w:line="240" w:lineRule="auto" w:after="0"/>
            </w:pPr>
            <w:r>
              <w:rPr>
                <w:rFonts w:ascii="Times New Roman" w:hAnsi="Times New Roman"/>
                <w:sz w:val="15"/>
              </w:rPr>
            </w:r>
            <w:r>
              <w:rPr>
                <w:rFonts w:ascii="Times New Roman" w:hAnsi="Times New Roman"/>
                <w:sz w:val="15"/>
              </w:rPr>
              <w:t>0.0742</w:t>
            </w:r>
          </w:p>
        </w:tc>
        <w:tc>
          <w:tcPr>
            <w:tcW w:type="dxa" w:w="1872"/>
          </w:tcPr>
          <w:p>
            <w:pPr>
              <w:spacing w:line="240" w:lineRule="auto" w:after="0"/>
            </w:pPr>
            <w:r>
              <w:rPr>
                <w:rFonts w:ascii="Times New Roman" w:hAnsi="Times New Roman"/>
                <w:sz w:val="15"/>
              </w:rPr>
            </w:r>
            <w:r>
              <w:rPr>
                <w:rFonts w:ascii="Times New Roman" w:hAnsi="Times New Roman"/>
                <w:b/>
                <w:sz w:val="15"/>
              </w:rPr>
              <w:t>0.9416</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Expanded</w:t>
            </w:r>
          </w:p>
        </w:tc>
        <w:tc>
          <w:tcPr>
            <w:tcW w:type="dxa" w:w="1872"/>
          </w:tcPr>
          <w:p>
            <w:pPr>
              <w:spacing w:line="240" w:lineRule="auto" w:after="0"/>
            </w:pPr>
            <w:r>
              <w:rPr>
                <w:rFonts w:ascii="Times New Roman" w:hAnsi="Times New Roman"/>
                <w:sz w:val="15"/>
              </w:rPr>
            </w:r>
            <w:r>
              <w:rPr>
                <w:rFonts w:ascii="Times New Roman" w:hAnsi="Times New Roman"/>
                <w:sz w:val="15"/>
              </w:rPr>
              <w:t>Calibration intercept</w:t>
            </w:r>
          </w:p>
        </w:tc>
        <w:tc>
          <w:tcPr>
            <w:tcW w:type="dxa" w:w="1872"/>
          </w:tcPr>
          <w:p>
            <w:pPr>
              <w:spacing w:line="240" w:lineRule="auto" w:after="0"/>
            </w:pPr>
            <w:r>
              <w:rPr>
                <w:rFonts w:ascii="Times New Roman" w:hAnsi="Times New Roman"/>
                <w:sz w:val="15"/>
              </w:rPr>
            </w:r>
            <w:r>
              <w:rPr>
                <w:rFonts w:ascii="Times New Roman" w:hAnsi="Times New Roman"/>
                <w:sz w:val="15"/>
              </w:rPr>
              <w:t>−0.0124</w:t>
            </w:r>
          </w:p>
        </w:tc>
        <w:tc>
          <w:tcPr>
            <w:tcW w:type="dxa" w:w="1872"/>
          </w:tcPr>
          <w:p>
            <w:pPr>
              <w:spacing w:line="240" w:lineRule="auto" w:after="0"/>
            </w:pPr>
            <w:r>
              <w:rPr>
                <w:rFonts w:ascii="Times New Roman" w:hAnsi="Times New Roman"/>
                <w:sz w:val="15"/>
              </w:rPr>
            </w:r>
            <w:r>
              <w:rPr>
                <w:rFonts w:ascii="Times New Roman" w:hAnsi="Times New Roman"/>
                <w:sz w:val="15"/>
              </w:rPr>
              <w:t>0.1760</w:t>
            </w:r>
          </w:p>
        </w:tc>
        <w:tc>
          <w:tcPr>
            <w:tcW w:type="dxa" w:w="1872"/>
          </w:tcPr>
          <w:p>
            <w:pPr>
              <w:spacing w:line="240" w:lineRule="auto" w:after="0"/>
            </w:pPr>
            <w:r>
              <w:rPr>
                <w:rFonts w:ascii="Times New Roman" w:hAnsi="Times New Roman"/>
                <w:sz w:val="15"/>
              </w:rPr>
            </w:r>
            <w:r>
              <w:rPr>
                <w:rFonts w:ascii="Times New Roman" w:hAnsi="Times New Roman"/>
                <w:sz w:val="15"/>
              </w:rPr>
              <w:t>−0.1884</w:t>
            </w:r>
          </w:p>
        </w:tc>
      </w:tr>
    </w:tbl>
    <w:p/>
    <w:p>
      <w:pPr>
        <w:jc w:val="left"/>
      </w:pPr>
      <w:r>
        <w:t>Optimism is 0.011 to 0.018 and corrected calibration slopes are 0.94 to 0.97. There is no evidence of material overfitting.</w:t>
      </w:r>
    </w:p>
    <w:p>
      <w:pPr>
        <w:pStyle w:val="Heading3"/>
        <w:keepNext/>
        <w:spacing w:line="276" w:lineRule="auto" w:before="200" w:after="80"/>
      </w:pPr>
      <w:r>
        <w:rPr>
          <w:rFonts w:ascii="Times New Roman" w:hAnsi="Times New Roman"/>
          <w:color w:val="000000"/>
        </w:rPr>
        <w:t>6. Incremental discrimination, out of bag</w:t>
      </w:r>
    </w:p>
    <w:p>
      <w:pPr>
        <w:jc w:val="left"/>
      </w:pPr>
      <w:r>
        <w:t>Models fitted in each resample and scored on the patients left out, so the interval carries both coefficient and evaluation-sample uncertainty. In-sample evaluation of resampled models gives intervals roughly half as wide and is not reported, because it is anticonservative.</w:t>
      </w:r>
    </w:p>
    <w:tbl>
      <w:tblPr>
        <w:tblStyle w:val="TableGrid"/>
        <w:tblW w:type="auto" w:w="0"/>
        <w:jc w:val="center"/>
        <w:tblLook w:firstColumn="1" w:firstRow="1" w:lastColumn="0" w:lastRow="0" w:noHBand="0" w:noVBand="1" w:val="04A0"/>
      </w:tblPr>
      <w:tblGrid>
        <w:gridCol w:w="3120"/>
        <w:gridCol w:w="3120"/>
        <w:gridCol w:w="3120"/>
      </w:tblGrid>
      <w:tr>
        <w:trPr>
          <w:tblHeader w:val="true"/>
          <w:cantSplit/>
        </w:trPr>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Model</w:t>
            </w:r>
          </w:p>
        </w:tc>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Out-of-bag C-index with lactate</w:t>
            </w:r>
          </w:p>
        </w:tc>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ΔC-index (95% CI)</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Parsimonious</w:t>
            </w:r>
          </w:p>
        </w:tc>
        <w:tc>
          <w:tcPr>
            <w:tcW w:type="dxa" w:w="3120"/>
          </w:tcPr>
          <w:p>
            <w:pPr>
              <w:spacing w:line="240" w:lineRule="auto" w:after="0"/>
            </w:pPr>
            <w:r>
              <w:rPr>
                <w:rFonts w:ascii="Times New Roman" w:hAnsi="Times New Roman"/>
                <w:sz w:val="15"/>
              </w:rPr>
            </w:r>
            <w:r>
              <w:rPr>
                <w:rFonts w:ascii="Times New Roman" w:hAnsi="Times New Roman"/>
                <w:sz w:val="15"/>
              </w:rPr>
              <w:t>0.783 (0.716–0.851)</w:t>
            </w:r>
          </w:p>
        </w:tc>
        <w:tc>
          <w:tcPr>
            <w:tcW w:type="dxa" w:w="3120"/>
          </w:tcPr>
          <w:p>
            <w:pPr>
              <w:spacing w:line="240" w:lineRule="auto" w:after="0"/>
            </w:pPr>
            <w:r>
              <w:rPr>
                <w:rFonts w:ascii="Times New Roman" w:hAnsi="Times New Roman"/>
                <w:sz w:val="15"/>
              </w:rPr>
            </w:r>
            <w:r>
              <w:rPr>
                <w:rFonts w:ascii="Times New Roman" w:hAnsi="Times New Roman"/>
                <w:sz w:val="15"/>
              </w:rPr>
              <w:t>0.065 (−0.008 to 0.119)</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Expanded</w:t>
            </w:r>
          </w:p>
        </w:tc>
        <w:tc>
          <w:tcPr>
            <w:tcW w:type="dxa" w:w="3120"/>
          </w:tcPr>
          <w:p>
            <w:pPr>
              <w:spacing w:line="240" w:lineRule="auto" w:after="0"/>
            </w:pPr>
            <w:r>
              <w:rPr>
                <w:rFonts w:ascii="Times New Roman" w:hAnsi="Times New Roman"/>
                <w:sz w:val="15"/>
              </w:rPr>
            </w:r>
            <w:r>
              <w:rPr>
                <w:rFonts w:ascii="Times New Roman" w:hAnsi="Times New Roman"/>
                <w:sz w:val="15"/>
              </w:rPr>
              <w:t>0.802 (0.741–0.866)</w:t>
            </w:r>
          </w:p>
        </w:tc>
        <w:tc>
          <w:tcPr>
            <w:tcW w:type="dxa" w:w="3120"/>
          </w:tcPr>
          <w:p>
            <w:pPr>
              <w:spacing w:line="240" w:lineRule="auto" w:after="0"/>
            </w:pPr>
            <w:r>
              <w:rPr>
                <w:rFonts w:ascii="Times New Roman" w:hAnsi="Times New Roman"/>
                <w:sz w:val="15"/>
              </w:rPr>
            </w:r>
            <w:r>
              <w:rPr>
                <w:rFonts w:ascii="Times New Roman" w:hAnsi="Times New Roman"/>
                <w:sz w:val="15"/>
              </w:rPr>
              <w:t>0.024 (−0.019 to 0.057)</w:t>
            </w:r>
          </w:p>
        </w:tc>
      </w:tr>
    </w:tbl>
    <w:p/>
    <w:p>
      <w:pPr>
        <w:jc w:val="left"/>
      </w:pPr>
      <w:r>
        <w:t xml:space="preserve">Both intervals include zero. </w:t>
      </w:r>
      <w:r>
        <w:rPr>
          <w:b/>
        </w:rPr>
        <w:t>No equivalence margin was defined</w:t>
      </w:r>
      <w:r>
        <w:t>, so this means an increment was not demonstrated, not that none exists. The upper bound of 0.12 against the parsimonious comparator is not a negligible quantity.</w:t>
      </w:r>
    </w:p>
    <w:p>
      <w:pPr>
        <w:pStyle w:val="Heading3"/>
        <w:keepNext/>
        <w:spacing w:line="276" w:lineRule="auto" w:before="200" w:after="80"/>
      </w:pPr>
      <w:r>
        <w:rPr>
          <w:rFonts w:ascii="Times New Roman" w:hAnsi="Times New Roman"/>
          <w:color w:val="000000"/>
        </w:rPr>
        <w:t>7. Decision curve analysis, out of bag</w:t>
      </w:r>
    </w:p>
    <w:tbl>
      <w:tblPr>
        <w:tblStyle w:val="TableGrid"/>
        <w:tblW w:type="auto" w:w="0"/>
        <w:jc w:val="center"/>
        <w:tblLook w:firstColumn="1" w:firstRow="1" w:lastColumn="0" w:lastRow="0" w:noHBand="0" w:noVBand="1" w:val="04A0"/>
      </w:tblPr>
      <w:tblGrid>
        <w:gridCol w:w="1337"/>
        <w:gridCol w:w="1337"/>
        <w:gridCol w:w="1337"/>
        <w:gridCol w:w="1337"/>
        <w:gridCol w:w="1337"/>
        <w:gridCol w:w="1337"/>
        <w:gridCol w:w="1337"/>
      </w:tblGrid>
      <w:tr>
        <w:trPr>
          <w:tblHeader w:val="true"/>
          <w:cantSplit/>
        </w:trPr>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Threshold probability</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Net benefit with lactate</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Without lactate</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Treat all</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Δ net benefit</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95% CI</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Net true positives per 1,000</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0.010</w:t>
            </w:r>
          </w:p>
        </w:tc>
        <w:tc>
          <w:tcPr>
            <w:tcW w:type="dxa" w:w="1337"/>
          </w:tcPr>
          <w:p>
            <w:pPr>
              <w:spacing w:line="240" w:lineRule="auto" w:after="0"/>
            </w:pPr>
            <w:r>
              <w:rPr>
                <w:rFonts w:ascii="Times New Roman" w:hAnsi="Times New Roman"/>
                <w:sz w:val="15"/>
              </w:rPr>
            </w:r>
            <w:r>
              <w:rPr>
                <w:rFonts w:ascii="Times New Roman" w:hAnsi="Times New Roman"/>
                <w:sz w:val="15"/>
              </w:rPr>
              <w:t>0.0305</w:t>
            </w:r>
          </w:p>
        </w:tc>
        <w:tc>
          <w:tcPr>
            <w:tcW w:type="dxa" w:w="1337"/>
          </w:tcPr>
          <w:p>
            <w:pPr>
              <w:spacing w:line="240" w:lineRule="auto" w:after="0"/>
            </w:pPr>
            <w:r>
              <w:rPr>
                <w:rFonts w:ascii="Times New Roman" w:hAnsi="Times New Roman"/>
                <w:sz w:val="15"/>
              </w:rPr>
            </w:r>
            <w:r>
              <w:rPr>
                <w:rFonts w:ascii="Times New Roman" w:hAnsi="Times New Roman"/>
                <w:sz w:val="15"/>
              </w:rPr>
              <w:t>0.0298</w:t>
            </w:r>
          </w:p>
        </w:tc>
        <w:tc>
          <w:tcPr>
            <w:tcW w:type="dxa" w:w="1337"/>
          </w:tcPr>
          <w:p>
            <w:pPr>
              <w:spacing w:line="240" w:lineRule="auto" w:after="0"/>
            </w:pPr>
            <w:r>
              <w:rPr>
                <w:rFonts w:ascii="Times New Roman" w:hAnsi="Times New Roman"/>
                <w:sz w:val="15"/>
              </w:rPr>
            </w:r>
            <w:r>
              <w:rPr>
                <w:rFonts w:ascii="Times New Roman" w:hAnsi="Times New Roman"/>
                <w:sz w:val="15"/>
              </w:rPr>
              <w:t>0.0283</w:t>
            </w:r>
          </w:p>
        </w:tc>
        <w:tc>
          <w:tcPr>
            <w:tcW w:type="dxa" w:w="1337"/>
          </w:tcPr>
          <w:p>
            <w:pPr>
              <w:spacing w:line="240" w:lineRule="auto" w:after="0"/>
            </w:pPr>
            <w:r>
              <w:rPr>
                <w:rFonts w:ascii="Times New Roman" w:hAnsi="Times New Roman"/>
                <w:sz w:val="15"/>
              </w:rPr>
            </w:r>
            <w:r>
              <w:rPr>
                <w:rFonts w:ascii="Times New Roman" w:hAnsi="Times New Roman"/>
                <w:sz w:val="15"/>
              </w:rPr>
              <w:t>+0.0007</w:t>
            </w:r>
          </w:p>
        </w:tc>
        <w:tc>
          <w:tcPr>
            <w:tcW w:type="dxa" w:w="1337"/>
          </w:tcPr>
          <w:p>
            <w:pPr>
              <w:spacing w:line="240" w:lineRule="auto" w:after="0"/>
            </w:pPr>
            <w:r>
              <w:rPr>
                <w:rFonts w:ascii="Times New Roman" w:hAnsi="Times New Roman"/>
                <w:sz w:val="15"/>
              </w:rPr>
            </w:r>
            <w:r>
              <w:rPr>
                <w:rFonts w:ascii="Times New Roman" w:hAnsi="Times New Roman"/>
                <w:sz w:val="15"/>
              </w:rPr>
              <w:t>−0.0029 to 0.0024</w:t>
            </w:r>
          </w:p>
        </w:tc>
        <w:tc>
          <w:tcPr>
            <w:tcW w:type="dxa" w:w="1337"/>
          </w:tcPr>
          <w:p>
            <w:pPr>
              <w:spacing w:line="240" w:lineRule="auto" w:after="0"/>
            </w:pPr>
            <w:r>
              <w:rPr>
                <w:rFonts w:ascii="Times New Roman" w:hAnsi="Times New Roman"/>
                <w:sz w:val="15"/>
              </w:rPr>
            </w:r>
            <w:r>
              <w:rPr>
                <w:rFonts w:ascii="Times New Roman" w:hAnsi="Times New Roman"/>
                <w:sz w:val="15"/>
              </w:rPr>
              <w:t>0.7</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0.020</w:t>
            </w:r>
          </w:p>
        </w:tc>
        <w:tc>
          <w:tcPr>
            <w:tcW w:type="dxa" w:w="1337"/>
          </w:tcPr>
          <w:p>
            <w:pPr>
              <w:spacing w:line="240" w:lineRule="auto" w:after="0"/>
            </w:pPr>
            <w:r>
              <w:rPr>
                <w:rFonts w:ascii="Times New Roman" w:hAnsi="Times New Roman"/>
                <w:sz w:val="15"/>
              </w:rPr>
            </w:r>
            <w:r>
              <w:rPr>
                <w:rFonts w:ascii="Times New Roman" w:hAnsi="Times New Roman"/>
                <w:sz w:val="15"/>
              </w:rPr>
              <w:t>0.0242</w:t>
            </w:r>
          </w:p>
        </w:tc>
        <w:tc>
          <w:tcPr>
            <w:tcW w:type="dxa" w:w="1337"/>
          </w:tcPr>
          <w:p>
            <w:pPr>
              <w:spacing w:line="240" w:lineRule="auto" w:after="0"/>
            </w:pPr>
            <w:r>
              <w:rPr>
                <w:rFonts w:ascii="Times New Roman" w:hAnsi="Times New Roman"/>
                <w:sz w:val="15"/>
              </w:rPr>
            </w:r>
            <w:r>
              <w:rPr>
                <w:rFonts w:ascii="Times New Roman" w:hAnsi="Times New Roman"/>
                <w:sz w:val="15"/>
              </w:rPr>
              <w:t>0.0238</w:t>
            </w:r>
          </w:p>
        </w:tc>
        <w:tc>
          <w:tcPr>
            <w:tcW w:type="dxa" w:w="1337"/>
          </w:tcPr>
          <w:p>
            <w:pPr>
              <w:spacing w:line="240" w:lineRule="auto" w:after="0"/>
            </w:pPr>
            <w:r>
              <w:rPr>
                <w:rFonts w:ascii="Times New Roman" w:hAnsi="Times New Roman"/>
                <w:sz w:val="15"/>
              </w:rPr>
            </w:r>
            <w:r>
              <w:rPr>
                <w:rFonts w:ascii="Times New Roman" w:hAnsi="Times New Roman"/>
                <w:sz w:val="15"/>
              </w:rPr>
              <w:t>0.0184</w:t>
            </w:r>
          </w:p>
        </w:tc>
        <w:tc>
          <w:tcPr>
            <w:tcW w:type="dxa" w:w="1337"/>
          </w:tcPr>
          <w:p>
            <w:pPr>
              <w:spacing w:line="240" w:lineRule="auto" w:after="0"/>
            </w:pPr>
            <w:r>
              <w:rPr>
                <w:rFonts w:ascii="Times New Roman" w:hAnsi="Times New Roman"/>
                <w:sz w:val="15"/>
              </w:rPr>
            </w:r>
            <w:r>
              <w:rPr>
                <w:rFonts w:ascii="Times New Roman" w:hAnsi="Times New Roman"/>
                <w:sz w:val="15"/>
              </w:rPr>
              <w:t>+0.0004</w:t>
            </w:r>
          </w:p>
        </w:tc>
        <w:tc>
          <w:tcPr>
            <w:tcW w:type="dxa" w:w="1337"/>
          </w:tcPr>
          <w:p>
            <w:pPr>
              <w:spacing w:line="240" w:lineRule="auto" w:after="0"/>
            </w:pPr>
            <w:r>
              <w:rPr>
                <w:rFonts w:ascii="Times New Roman" w:hAnsi="Times New Roman"/>
                <w:sz w:val="15"/>
              </w:rPr>
            </w:r>
            <w:r>
              <w:rPr>
                <w:rFonts w:ascii="Times New Roman" w:hAnsi="Times New Roman"/>
                <w:sz w:val="15"/>
              </w:rPr>
              <w:t>−0.0030 to 0.0037</w:t>
            </w:r>
          </w:p>
        </w:tc>
        <w:tc>
          <w:tcPr>
            <w:tcW w:type="dxa" w:w="1337"/>
          </w:tcPr>
          <w:p>
            <w:pPr>
              <w:spacing w:line="240" w:lineRule="auto" w:after="0"/>
            </w:pPr>
            <w:r>
              <w:rPr>
                <w:rFonts w:ascii="Times New Roman" w:hAnsi="Times New Roman"/>
                <w:sz w:val="15"/>
              </w:rPr>
            </w:r>
            <w:r>
              <w:rPr>
                <w:rFonts w:ascii="Times New Roman" w:hAnsi="Times New Roman"/>
                <w:sz w:val="15"/>
              </w:rPr>
              <w:t>0.4</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0.030</w:t>
            </w:r>
          </w:p>
        </w:tc>
        <w:tc>
          <w:tcPr>
            <w:tcW w:type="dxa" w:w="1337"/>
          </w:tcPr>
          <w:p>
            <w:pPr>
              <w:spacing w:line="240" w:lineRule="auto" w:after="0"/>
            </w:pPr>
            <w:r>
              <w:rPr>
                <w:rFonts w:ascii="Times New Roman" w:hAnsi="Times New Roman"/>
                <w:sz w:val="15"/>
              </w:rPr>
            </w:r>
            <w:r>
              <w:rPr>
                <w:rFonts w:ascii="Times New Roman" w:hAnsi="Times New Roman"/>
                <w:sz w:val="15"/>
              </w:rPr>
              <w:t>0.0211</w:t>
            </w:r>
          </w:p>
        </w:tc>
        <w:tc>
          <w:tcPr>
            <w:tcW w:type="dxa" w:w="1337"/>
          </w:tcPr>
          <w:p>
            <w:pPr>
              <w:spacing w:line="240" w:lineRule="auto" w:after="0"/>
            </w:pPr>
            <w:r>
              <w:rPr>
                <w:rFonts w:ascii="Times New Roman" w:hAnsi="Times New Roman"/>
                <w:sz w:val="15"/>
              </w:rPr>
            </w:r>
            <w:r>
              <w:rPr>
                <w:rFonts w:ascii="Times New Roman" w:hAnsi="Times New Roman"/>
                <w:sz w:val="15"/>
              </w:rPr>
              <w:t>0.0219</w:t>
            </w:r>
          </w:p>
        </w:tc>
        <w:tc>
          <w:tcPr>
            <w:tcW w:type="dxa" w:w="1337"/>
          </w:tcPr>
          <w:p>
            <w:pPr>
              <w:spacing w:line="240" w:lineRule="auto" w:after="0"/>
            </w:pPr>
            <w:r>
              <w:rPr>
                <w:rFonts w:ascii="Times New Roman" w:hAnsi="Times New Roman"/>
                <w:sz w:val="15"/>
              </w:rPr>
            </w:r>
            <w:r>
              <w:rPr>
                <w:rFonts w:ascii="Times New Roman" w:hAnsi="Times New Roman"/>
                <w:sz w:val="15"/>
              </w:rPr>
              <w:t>0.0083</w:t>
            </w:r>
          </w:p>
        </w:tc>
        <w:tc>
          <w:tcPr>
            <w:tcW w:type="dxa" w:w="1337"/>
          </w:tcPr>
          <w:p>
            <w:pPr>
              <w:spacing w:line="240" w:lineRule="auto" w:after="0"/>
            </w:pPr>
            <w:r>
              <w:rPr>
                <w:rFonts w:ascii="Times New Roman" w:hAnsi="Times New Roman"/>
                <w:sz w:val="15"/>
              </w:rPr>
            </w:r>
            <w:r>
              <w:rPr>
                <w:rFonts w:ascii="Times New Roman" w:hAnsi="Times New Roman"/>
                <w:sz w:val="15"/>
              </w:rPr>
              <w:t>−0.0009</w:t>
            </w:r>
          </w:p>
        </w:tc>
        <w:tc>
          <w:tcPr>
            <w:tcW w:type="dxa" w:w="1337"/>
          </w:tcPr>
          <w:p>
            <w:pPr>
              <w:spacing w:line="240" w:lineRule="auto" w:after="0"/>
            </w:pPr>
            <w:r>
              <w:rPr>
                <w:rFonts w:ascii="Times New Roman" w:hAnsi="Times New Roman"/>
                <w:sz w:val="15"/>
              </w:rPr>
            </w:r>
            <w:r>
              <w:rPr>
                <w:rFonts w:ascii="Times New Roman" w:hAnsi="Times New Roman"/>
                <w:sz w:val="15"/>
              </w:rPr>
              <w:t>−0.0032 to 0.0058</w:t>
            </w:r>
          </w:p>
        </w:tc>
        <w:tc>
          <w:tcPr>
            <w:tcW w:type="dxa" w:w="1337"/>
          </w:tcPr>
          <w:p>
            <w:pPr>
              <w:spacing w:line="240" w:lineRule="auto" w:after="0"/>
            </w:pPr>
            <w:r>
              <w:rPr>
                <w:rFonts w:ascii="Times New Roman" w:hAnsi="Times New Roman"/>
                <w:sz w:val="15"/>
              </w:rPr>
            </w:r>
            <w:r>
              <w:rPr>
                <w:rFonts w:ascii="Times New Roman" w:hAnsi="Times New Roman"/>
                <w:sz w:val="15"/>
              </w:rPr>
              <w:t>−0.9</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0.050</w:t>
            </w:r>
          </w:p>
        </w:tc>
        <w:tc>
          <w:tcPr>
            <w:tcW w:type="dxa" w:w="1337"/>
          </w:tcPr>
          <w:p>
            <w:pPr>
              <w:spacing w:line="240" w:lineRule="auto" w:after="0"/>
            </w:pPr>
            <w:r>
              <w:rPr>
                <w:rFonts w:ascii="Times New Roman" w:hAnsi="Times New Roman"/>
                <w:sz w:val="15"/>
              </w:rPr>
            </w:r>
            <w:r>
              <w:rPr>
                <w:rFonts w:ascii="Times New Roman" w:hAnsi="Times New Roman"/>
                <w:sz w:val="15"/>
              </w:rPr>
              <w:t>0.0175</w:t>
            </w:r>
          </w:p>
        </w:tc>
        <w:tc>
          <w:tcPr>
            <w:tcW w:type="dxa" w:w="1337"/>
          </w:tcPr>
          <w:p>
            <w:pPr>
              <w:spacing w:line="240" w:lineRule="auto" w:after="0"/>
            </w:pPr>
            <w:r>
              <w:rPr>
                <w:rFonts w:ascii="Times New Roman" w:hAnsi="Times New Roman"/>
                <w:sz w:val="15"/>
              </w:rPr>
            </w:r>
            <w:r>
              <w:rPr>
                <w:rFonts w:ascii="Times New Roman" w:hAnsi="Times New Roman"/>
                <w:sz w:val="15"/>
              </w:rPr>
              <w:t>0.0118</w:t>
            </w:r>
          </w:p>
        </w:tc>
        <w:tc>
          <w:tcPr>
            <w:tcW w:type="dxa" w:w="1337"/>
          </w:tcPr>
          <w:p>
            <w:pPr>
              <w:spacing w:line="240" w:lineRule="auto" w:after="0"/>
            </w:pPr>
            <w:r>
              <w:rPr>
                <w:rFonts w:ascii="Times New Roman" w:hAnsi="Times New Roman"/>
                <w:sz w:val="15"/>
              </w:rPr>
            </w:r>
            <w:r>
              <w:rPr>
                <w:rFonts w:ascii="Times New Roman" w:hAnsi="Times New Roman"/>
                <w:sz w:val="15"/>
              </w:rPr>
              <w:t>−0.0126</w:t>
            </w:r>
          </w:p>
        </w:tc>
        <w:tc>
          <w:tcPr>
            <w:tcW w:type="dxa" w:w="1337"/>
          </w:tcPr>
          <w:p>
            <w:pPr>
              <w:spacing w:line="240" w:lineRule="auto" w:after="0"/>
            </w:pPr>
            <w:r>
              <w:rPr>
                <w:rFonts w:ascii="Times New Roman" w:hAnsi="Times New Roman"/>
                <w:sz w:val="15"/>
              </w:rPr>
            </w:r>
            <w:r>
              <w:rPr>
                <w:rFonts w:ascii="Times New Roman" w:hAnsi="Times New Roman"/>
                <w:sz w:val="15"/>
              </w:rPr>
              <w:t>+0.0056</w:t>
            </w:r>
          </w:p>
        </w:tc>
        <w:tc>
          <w:tcPr>
            <w:tcW w:type="dxa" w:w="1337"/>
          </w:tcPr>
          <w:p>
            <w:pPr>
              <w:spacing w:line="240" w:lineRule="auto" w:after="0"/>
            </w:pPr>
            <w:r>
              <w:rPr>
                <w:rFonts w:ascii="Times New Roman" w:hAnsi="Times New Roman"/>
                <w:sz w:val="15"/>
              </w:rPr>
            </w:r>
            <w:r>
              <w:rPr>
                <w:rFonts w:ascii="Times New Roman" w:hAnsi="Times New Roman"/>
                <w:sz w:val="15"/>
              </w:rPr>
              <w:t>−0.0026 to 0.0081</w:t>
            </w:r>
          </w:p>
        </w:tc>
        <w:tc>
          <w:tcPr>
            <w:tcW w:type="dxa" w:w="1337"/>
          </w:tcPr>
          <w:p>
            <w:pPr>
              <w:spacing w:line="240" w:lineRule="auto" w:after="0"/>
            </w:pPr>
            <w:r>
              <w:rPr>
                <w:rFonts w:ascii="Times New Roman" w:hAnsi="Times New Roman"/>
                <w:sz w:val="15"/>
              </w:rPr>
            </w:r>
            <w:r>
              <w:rPr>
                <w:rFonts w:ascii="Times New Roman" w:hAnsi="Times New Roman"/>
                <w:sz w:val="15"/>
              </w:rPr>
              <w:t>5.6</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0.075</w:t>
            </w:r>
          </w:p>
        </w:tc>
        <w:tc>
          <w:tcPr>
            <w:tcW w:type="dxa" w:w="1337"/>
          </w:tcPr>
          <w:p>
            <w:pPr>
              <w:spacing w:line="240" w:lineRule="auto" w:after="0"/>
            </w:pPr>
            <w:r>
              <w:rPr>
                <w:rFonts w:ascii="Times New Roman" w:hAnsi="Times New Roman"/>
                <w:sz w:val="15"/>
              </w:rPr>
            </w:r>
            <w:r>
              <w:rPr>
                <w:rFonts w:ascii="Times New Roman" w:hAnsi="Times New Roman"/>
                <w:sz w:val="15"/>
              </w:rPr>
              <w:t>0.0105</w:t>
            </w:r>
          </w:p>
        </w:tc>
        <w:tc>
          <w:tcPr>
            <w:tcW w:type="dxa" w:w="1337"/>
          </w:tcPr>
          <w:p>
            <w:pPr>
              <w:spacing w:line="240" w:lineRule="auto" w:after="0"/>
            </w:pPr>
            <w:r>
              <w:rPr>
                <w:rFonts w:ascii="Times New Roman" w:hAnsi="Times New Roman"/>
                <w:sz w:val="15"/>
              </w:rPr>
            </w:r>
            <w:r>
              <w:rPr>
                <w:rFonts w:ascii="Times New Roman" w:hAnsi="Times New Roman"/>
                <w:sz w:val="15"/>
              </w:rPr>
              <w:t>0.0087</w:t>
            </w:r>
          </w:p>
        </w:tc>
        <w:tc>
          <w:tcPr>
            <w:tcW w:type="dxa" w:w="1337"/>
          </w:tcPr>
          <w:p>
            <w:pPr>
              <w:spacing w:line="240" w:lineRule="auto" w:after="0"/>
            </w:pPr>
            <w:r>
              <w:rPr>
                <w:rFonts w:ascii="Times New Roman" w:hAnsi="Times New Roman"/>
                <w:sz w:val="15"/>
              </w:rPr>
            </w:r>
            <w:r>
              <w:rPr>
                <w:rFonts w:ascii="Times New Roman" w:hAnsi="Times New Roman"/>
                <w:sz w:val="15"/>
              </w:rPr>
              <w:t>−0.0399</w:t>
            </w:r>
          </w:p>
        </w:tc>
        <w:tc>
          <w:tcPr>
            <w:tcW w:type="dxa" w:w="1337"/>
          </w:tcPr>
          <w:p>
            <w:pPr>
              <w:spacing w:line="240" w:lineRule="auto" w:after="0"/>
            </w:pPr>
            <w:r>
              <w:rPr>
                <w:rFonts w:ascii="Times New Roman" w:hAnsi="Times New Roman"/>
                <w:sz w:val="15"/>
              </w:rPr>
            </w:r>
            <w:r>
              <w:rPr>
                <w:rFonts w:ascii="Times New Roman" w:hAnsi="Times New Roman"/>
                <w:sz w:val="15"/>
              </w:rPr>
              <w:t>+0.0018</w:t>
            </w:r>
          </w:p>
        </w:tc>
        <w:tc>
          <w:tcPr>
            <w:tcW w:type="dxa" w:w="1337"/>
          </w:tcPr>
          <w:p>
            <w:pPr>
              <w:spacing w:line="240" w:lineRule="auto" w:after="0"/>
            </w:pPr>
            <w:r>
              <w:rPr>
                <w:rFonts w:ascii="Times New Roman" w:hAnsi="Times New Roman"/>
                <w:sz w:val="15"/>
              </w:rPr>
            </w:r>
            <w:r>
              <w:rPr>
                <w:rFonts w:ascii="Times New Roman" w:hAnsi="Times New Roman"/>
                <w:sz w:val="15"/>
              </w:rPr>
              <w:t>−0.0028 to 0.0071</w:t>
            </w:r>
          </w:p>
        </w:tc>
        <w:tc>
          <w:tcPr>
            <w:tcW w:type="dxa" w:w="1337"/>
          </w:tcPr>
          <w:p>
            <w:pPr>
              <w:spacing w:line="240" w:lineRule="auto" w:after="0"/>
            </w:pPr>
            <w:r>
              <w:rPr>
                <w:rFonts w:ascii="Times New Roman" w:hAnsi="Times New Roman"/>
                <w:sz w:val="15"/>
              </w:rPr>
            </w:r>
            <w:r>
              <w:rPr>
                <w:rFonts w:ascii="Times New Roman" w:hAnsi="Times New Roman"/>
                <w:sz w:val="15"/>
              </w:rPr>
              <w:t>1.8</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0.100</w:t>
            </w:r>
          </w:p>
        </w:tc>
        <w:tc>
          <w:tcPr>
            <w:tcW w:type="dxa" w:w="1337"/>
          </w:tcPr>
          <w:p>
            <w:pPr>
              <w:spacing w:line="240" w:lineRule="auto" w:after="0"/>
            </w:pPr>
            <w:r>
              <w:rPr>
                <w:rFonts w:ascii="Times New Roman" w:hAnsi="Times New Roman"/>
                <w:sz w:val="15"/>
              </w:rPr>
            </w:r>
            <w:r>
              <w:rPr>
                <w:rFonts w:ascii="Times New Roman" w:hAnsi="Times New Roman"/>
                <w:sz w:val="15"/>
              </w:rPr>
              <w:t>0.0102</w:t>
            </w:r>
          </w:p>
        </w:tc>
        <w:tc>
          <w:tcPr>
            <w:tcW w:type="dxa" w:w="1337"/>
          </w:tcPr>
          <w:p>
            <w:pPr>
              <w:spacing w:line="240" w:lineRule="auto" w:after="0"/>
            </w:pPr>
            <w:r>
              <w:rPr>
                <w:rFonts w:ascii="Times New Roman" w:hAnsi="Times New Roman"/>
                <w:sz w:val="15"/>
              </w:rPr>
            </w:r>
            <w:r>
              <w:rPr>
                <w:rFonts w:ascii="Times New Roman" w:hAnsi="Times New Roman"/>
                <w:sz w:val="15"/>
              </w:rPr>
              <w:t>0.0071</w:t>
            </w:r>
          </w:p>
        </w:tc>
        <w:tc>
          <w:tcPr>
            <w:tcW w:type="dxa" w:w="1337"/>
          </w:tcPr>
          <w:p>
            <w:pPr>
              <w:spacing w:line="240" w:lineRule="auto" w:after="0"/>
            </w:pPr>
            <w:r>
              <w:rPr>
                <w:rFonts w:ascii="Times New Roman" w:hAnsi="Times New Roman"/>
                <w:sz w:val="15"/>
              </w:rPr>
            </w:r>
            <w:r>
              <w:rPr>
                <w:rFonts w:ascii="Times New Roman" w:hAnsi="Times New Roman"/>
                <w:sz w:val="15"/>
              </w:rPr>
              <w:t>−0.0688</w:t>
            </w:r>
          </w:p>
        </w:tc>
        <w:tc>
          <w:tcPr>
            <w:tcW w:type="dxa" w:w="1337"/>
          </w:tcPr>
          <w:p>
            <w:pPr>
              <w:spacing w:line="240" w:lineRule="auto" w:after="0"/>
            </w:pPr>
            <w:r>
              <w:rPr>
                <w:rFonts w:ascii="Times New Roman" w:hAnsi="Times New Roman"/>
                <w:sz w:val="15"/>
              </w:rPr>
            </w:r>
            <w:r>
              <w:rPr>
                <w:rFonts w:ascii="Times New Roman" w:hAnsi="Times New Roman"/>
                <w:sz w:val="15"/>
              </w:rPr>
              <w:t>+0.0031</w:t>
            </w:r>
          </w:p>
        </w:tc>
        <w:tc>
          <w:tcPr>
            <w:tcW w:type="dxa" w:w="1337"/>
          </w:tcPr>
          <w:p>
            <w:pPr>
              <w:spacing w:line="240" w:lineRule="auto" w:after="0"/>
            </w:pPr>
            <w:r>
              <w:rPr>
                <w:rFonts w:ascii="Times New Roman" w:hAnsi="Times New Roman"/>
                <w:sz w:val="15"/>
              </w:rPr>
            </w:r>
            <w:r>
              <w:rPr>
                <w:rFonts w:ascii="Times New Roman" w:hAnsi="Times New Roman"/>
                <w:sz w:val="15"/>
              </w:rPr>
              <w:t>−0.0028 to 0.0063</w:t>
            </w:r>
          </w:p>
        </w:tc>
        <w:tc>
          <w:tcPr>
            <w:tcW w:type="dxa" w:w="1337"/>
          </w:tcPr>
          <w:p>
            <w:pPr>
              <w:spacing w:line="240" w:lineRule="auto" w:after="0"/>
            </w:pPr>
            <w:r>
              <w:rPr>
                <w:rFonts w:ascii="Times New Roman" w:hAnsi="Times New Roman"/>
                <w:sz w:val="15"/>
              </w:rPr>
            </w:r>
            <w:r>
              <w:rPr>
                <w:rFonts w:ascii="Times New Roman" w:hAnsi="Times New Roman"/>
                <w:sz w:val="15"/>
              </w:rPr>
              <w:t>3.2</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0.150</w:t>
            </w:r>
          </w:p>
        </w:tc>
        <w:tc>
          <w:tcPr>
            <w:tcW w:type="dxa" w:w="1337"/>
          </w:tcPr>
          <w:p>
            <w:pPr>
              <w:spacing w:line="240" w:lineRule="auto" w:after="0"/>
            </w:pPr>
            <w:r>
              <w:rPr>
                <w:rFonts w:ascii="Times New Roman" w:hAnsi="Times New Roman"/>
                <w:sz w:val="15"/>
              </w:rPr>
            </w:r>
            <w:r>
              <w:rPr>
                <w:rFonts w:ascii="Times New Roman" w:hAnsi="Times New Roman"/>
                <w:sz w:val="15"/>
              </w:rPr>
              <w:t>0.0052</w:t>
            </w:r>
          </w:p>
        </w:tc>
        <w:tc>
          <w:tcPr>
            <w:tcW w:type="dxa" w:w="1337"/>
          </w:tcPr>
          <w:p>
            <w:pPr>
              <w:spacing w:line="240" w:lineRule="auto" w:after="0"/>
            </w:pPr>
            <w:r>
              <w:rPr>
                <w:rFonts w:ascii="Times New Roman" w:hAnsi="Times New Roman"/>
                <w:sz w:val="15"/>
              </w:rPr>
            </w:r>
            <w:r>
              <w:rPr>
                <w:rFonts w:ascii="Times New Roman" w:hAnsi="Times New Roman"/>
                <w:sz w:val="15"/>
              </w:rPr>
              <w:t>0.0037</w:t>
            </w:r>
          </w:p>
        </w:tc>
        <w:tc>
          <w:tcPr>
            <w:tcW w:type="dxa" w:w="1337"/>
          </w:tcPr>
          <w:p>
            <w:pPr>
              <w:spacing w:line="240" w:lineRule="auto" w:after="0"/>
            </w:pPr>
            <w:r>
              <w:rPr>
                <w:rFonts w:ascii="Times New Roman" w:hAnsi="Times New Roman"/>
                <w:sz w:val="15"/>
              </w:rPr>
            </w:r>
            <w:r>
              <w:rPr>
                <w:rFonts w:ascii="Times New Roman" w:hAnsi="Times New Roman"/>
                <w:sz w:val="15"/>
              </w:rPr>
              <w:t>−0.1317</w:t>
            </w:r>
          </w:p>
        </w:tc>
        <w:tc>
          <w:tcPr>
            <w:tcW w:type="dxa" w:w="1337"/>
          </w:tcPr>
          <w:p>
            <w:pPr>
              <w:spacing w:line="240" w:lineRule="auto" w:after="0"/>
            </w:pPr>
            <w:r>
              <w:rPr>
                <w:rFonts w:ascii="Times New Roman" w:hAnsi="Times New Roman"/>
                <w:sz w:val="15"/>
              </w:rPr>
            </w:r>
            <w:r>
              <w:rPr>
                <w:rFonts w:ascii="Times New Roman" w:hAnsi="Times New Roman"/>
                <w:sz w:val="15"/>
              </w:rPr>
              <w:t>+0.0015</w:t>
            </w:r>
          </w:p>
        </w:tc>
        <w:tc>
          <w:tcPr>
            <w:tcW w:type="dxa" w:w="1337"/>
          </w:tcPr>
          <w:p>
            <w:pPr>
              <w:spacing w:line="240" w:lineRule="auto" w:after="0"/>
            </w:pPr>
            <w:r>
              <w:rPr>
                <w:rFonts w:ascii="Times New Roman" w:hAnsi="Times New Roman"/>
                <w:sz w:val="15"/>
              </w:rPr>
            </w:r>
            <w:r>
              <w:rPr>
                <w:rFonts w:ascii="Times New Roman" w:hAnsi="Times New Roman"/>
                <w:sz w:val="15"/>
              </w:rPr>
              <w:t>−0.0035 to 0.0054</w:t>
            </w:r>
          </w:p>
        </w:tc>
        <w:tc>
          <w:tcPr>
            <w:tcW w:type="dxa" w:w="1337"/>
          </w:tcPr>
          <w:p>
            <w:pPr>
              <w:spacing w:line="240" w:lineRule="auto" w:after="0"/>
            </w:pPr>
            <w:r>
              <w:rPr>
                <w:rFonts w:ascii="Times New Roman" w:hAnsi="Times New Roman"/>
                <w:sz w:val="15"/>
              </w:rPr>
            </w:r>
            <w:r>
              <w:rPr>
                <w:rFonts w:ascii="Times New Roman" w:hAnsi="Times New Roman"/>
                <w:sz w:val="15"/>
              </w:rPr>
              <w:t>1.5</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0.200</w:t>
            </w:r>
          </w:p>
        </w:tc>
        <w:tc>
          <w:tcPr>
            <w:tcW w:type="dxa" w:w="1337"/>
          </w:tcPr>
          <w:p>
            <w:pPr>
              <w:spacing w:line="240" w:lineRule="auto" w:after="0"/>
            </w:pPr>
            <w:r>
              <w:rPr>
                <w:rFonts w:ascii="Times New Roman" w:hAnsi="Times New Roman"/>
                <w:sz w:val="15"/>
              </w:rPr>
            </w:r>
            <w:r>
              <w:rPr>
                <w:rFonts w:ascii="Times New Roman" w:hAnsi="Times New Roman"/>
                <w:sz w:val="15"/>
              </w:rPr>
              <w:t>0.0032</w:t>
            </w:r>
          </w:p>
        </w:tc>
        <w:tc>
          <w:tcPr>
            <w:tcW w:type="dxa" w:w="1337"/>
          </w:tcPr>
          <w:p>
            <w:pPr>
              <w:spacing w:line="240" w:lineRule="auto" w:after="0"/>
            </w:pPr>
            <w:r>
              <w:rPr>
                <w:rFonts w:ascii="Times New Roman" w:hAnsi="Times New Roman"/>
                <w:sz w:val="15"/>
              </w:rPr>
            </w:r>
            <w:r>
              <w:rPr>
                <w:rFonts w:ascii="Times New Roman" w:hAnsi="Times New Roman"/>
                <w:sz w:val="15"/>
              </w:rPr>
              <w:t>0.0021</w:t>
            </w:r>
          </w:p>
        </w:tc>
        <w:tc>
          <w:tcPr>
            <w:tcW w:type="dxa" w:w="1337"/>
          </w:tcPr>
          <w:p>
            <w:pPr>
              <w:spacing w:line="240" w:lineRule="auto" w:after="0"/>
            </w:pPr>
            <w:r>
              <w:rPr>
                <w:rFonts w:ascii="Times New Roman" w:hAnsi="Times New Roman"/>
                <w:sz w:val="15"/>
              </w:rPr>
            </w:r>
            <w:r>
              <w:rPr>
                <w:rFonts w:ascii="Times New Roman" w:hAnsi="Times New Roman"/>
                <w:sz w:val="15"/>
              </w:rPr>
              <w:t>−0.2024</w:t>
            </w:r>
          </w:p>
        </w:tc>
        <w:tc>
          <w:tcPr>
            <w:tcW w:type="dxa" w:w="1337"/>
          </w:tcPr>
          <w:p>
            <w:pPr>
              <w:spacing w:line="240" w:lineRule="auto" w:after="0"/>
            </w:pPr>
            <w:r>
              <w:rPr>
                <w:rFonts w:ascii="Times New Roman" w:hAnsi="Times New Roman"/>
                <w:sz w:val="15"/>
              </w:rPr>
            </w:r>
            <w:r>
              <w:rPr>
                <w:rFonts w:ascii="Times New Roman" w:hAnsi="Times New Roman"/>
                <w:sz w:val="15"/>
              </w:rPr>
              <w:t>+0.0011</w:t>
            </w:r>
          </w:p>
        </w:tc>
        <w:tc>
          <w:tcPr>
            <w:tcW w:type="dxa" w:w="1337"/>
          </w:tcPr>
          <w:p>
            <w:pPr>
              <w:spacing w:line="240" w:lineRule="auto" w:after="0"/>
            </w:pPr>
            <w:r>
              <w:rPr>
                <w:rFonts w:ascii="Times New Roman" w:hAnsi="Times New Roman"/>
                <w:sz w:val="15"/>
              </w:rPr>
            </w:r>
            <w:r>
              <w:rPr>
                <w:rFonts w:ascii="Times New Roman" w:hAnsi="Times New Roman"/>
                <w:sz w:val="15"/>
              </w:rPr>
              <w:t>−0.0041 to 0.0045</w:t>
            </w:r>
          </w:p>
        </w:tc>
        <w:tc>
          <w:tcPr>
            <w:tcW w:type="dxa" w:w="1337"/>
          </w:tcPr>
          <w:p>
            <w:pPr>
              <w:spacing w:line="240" w:lineRule="auto" w:after="0"/>
            </w:pPr>
            <w:r>
              <w:rPr>
                <w:rFonts w:ascii="Times New Roman" w:hAnsi="Times New Roman"/>
                <w:sz w:val="15"/>
              </w:rPr>
            </w:r>
            <w:r>
              <w:rPr>
                <w:rFonts w:ascii="Times New Roman" w:hAnsi="Times New Roman"/>
                <w:sz w:val="15"/>
              </w:rPr>
              <w:t>1.1</w:t>
            </w:r>
          </w:p>
        </w:tc>
      </w:tr>
    </w:tbl>
    <w:p/>
    <w:p>
      <w:pPr>
        <w:jc w:val="left"/>
      </w:pPr>
      <w:r>
        <w:t>Every threshold's interval includes zero, and the point estimates alternate in sign across neighbouring thresholds, which is the pattern expected of noise around zero rather than a stable benefit.</w:t>
      </w:r>
    </w:p>
    <w:p>
      <w:pPr>
        <w:pStyle w:val="Heading2"/>
        <w:keepNext/>
        <w:spacing w:line="276" w:lineRule="auto" w:before="200" w:after="80"/>
      </w:pPr>
      <w:r>
        <w:rPr>
          <w:rFonts w:ascii="Times New Roman" w:hAnsi="Times New Roman"/>
          <w:color w:val="000000"/>
        </w:rPr>
        <w:t>Part II. Renal sensitivity analyses</w:t>
      </w:r>
    </w:p>
    <w:p>
      <w:pPr>
        <w:jc w:val="left"/>
      </w:pPr>
      <w:r>
        <w:t>All on the primary cohort.</w:t>
      </w:r>
    </w:p>
    <w:p>
      <w:pPr>
        <w:pStyle w:val="Heading3"/>
        <w:keepNext/>
        <w:spacing w:line="276" w:lineRule="auto" w:before="200" w:after="80"/>
      </w:pPr>
      <w:r>
        <w:rPr>
          <w:rFonts w:ascii="Times New Roman" w:hAnsi="Times New Roman"/>
          <w:color w:val="000000"/>
        </w:rPr>
        <w:t>8. Censoring hazard</w:t>
      </w:r>
    </w:p>
    <w:p>
      <w:pPr>
        <w:jc w:val="left"/>
      </w:pPr>
      <w:r>
        <w:t>Cox model for the hazard of losing renal follow-up, adjusted for the study covariate set.</w:t>
      </w:r>
    </w:p>
    <w:tbl>
      <w:tblPr>
        <w:tblStyle w:val="TableGrid"/>
        <w:tblW w:type="auto" w:w="0"/>
        <w:jc w:val="center"/>
        <w:tblLook w:firstColumn="1" w:firstRow="1" w:lastColumn="0" w:lastRow="0" w:noHBand="0" w:noVBand="1" w:val="04A0"/>
      </w:tblPr>
      <w:tblGrid>
        <w:gridCol w:w="2340"/>
        <w:gridCol w:w="2340"/>
        <w:gridCol w:w="2340"/>
        <w:gridCol w:w="2340"/>
      </w:tblGrid>
      <w:tr>
        <w:trPr>
          <w:tblHeader w:val="true"/>
          <w:cantSplit/>
        </w:trPr>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Term</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Hazard ratio for censoring</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95% CI</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P</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Lactate 2.1–3.0</w:t>
            </w:r>
          </w:p>
        </w:tc>
        <w:tc>
          <w:tcPr>
            <w:tcW w:type="dxa" w:w="2340"/>
          </w:tcPr>
          <w:p>
            <w:pPr>
              <w:spacing w:line="240" w:lineRule="auto" w:after="0"/>
            </w:pPr>
            <w:r>
              <w:rPr>
                <w:rFonts w:ascii="Times New Roman" w:hAnsi="Times New Roman"/>
                <w:sz w:val="15"/>
              </w:rPr>
            </w:r>
            <w:r>
              <w:rPr>
                <w:rFonts w:ascii="Times New Roman" w:hAnsi="Times New Roman"/>
                <w:sz w:val="15"/>
              </w:rPr>
              <w:t>0.927</w:t>
            </w:r>
          </w:p>
        </w:tc>
        <w:tc>
          <w:tcPr>
            <w:tcW w:type="dxa" w:w="2340"/>
          </w:tcPr>
          <w:p>
            <w:pPr>
              <w:spacing w:line="240" w:lineRule="auto" w:after="0"/>
            </w:pPr>
            <w:r>
              <w:rPr>
                <w:rFonts w:ascii="Times New Roman" w:hAnsi="Times New Roman"/>
                <w:sz w:val="15"/>
              </w:rPr>
            </w:r>
            <w:r>
              <w:rPr>
                <w:rFonts w:ascii="Times New Roman" w:hAnsi="Times New Roman"/>
                <w:sz w:val="15"/>
              </w:rPr>
              <w:t>0.82–1.05</w:t>
            </w:r>
          </w:p>
        </w:tc>
        <w:tc>
          <w:tcPr>
            <w:tcW w:type="dxa" w:w="2340"/>
          </w:tcPr>
          <w:p>
            <w:pPr>
              <w:spacing w:line="240" w:lineRule="auto" w:after="0"/>
            </w:pPr>
            <w:r>
              <w:rPr>
                <w:rFonts w:ascii="Times New Roman" w:hAnsi="Times New Roman"/>
                <w:sz w:val="15"/>
              </w:rPr>
            </w:r>
            <w:r>
              <w:rPr>
                <w:rFonts w:ascii="Times New Roman" w:hAnsi="Times New Roman"/>
                <w:sz w:val="15"/>
              </w:rPr>
              <w:t>0.231</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Lactate 3.8–5.9</w:t>
            </w:r>
          </w:p>
        </w:tc>
        <w:tc>
          <w:tcPr>
            <w:tcW w:type="dxa" w:w="2340"/>
          </w:tcPr>
          <w:p>
            <w:pPr>
              <w:spacing w:line="240" w:lineRule="auto" w:after="0"/>
            </w:pPr>
            <w:r>
              <w:rPr>
                <w:rFonts w:ascii="Times New Roman" w:hAnsi="Times New Roman"/>
                <w:sz w:val="15"/>
              </w:rPr>
            </w:r>
            <w:r>
              <w:rPr>
                <w:rFonts w:ascii="Times New Roman" w:hAnsi="Times New Roman"/>
                <w:sz w:val="15"/>
              </w:rPr>
              <w:t>0.930</w:t>
            </w:r>
          </w:p>
        </w:tc>
        <w:tc>
          <w:tcPr>
            <w:tcW w:type="dxa" w:w="2340"/>
          </w:tcPr>
          <w:p>
            <w:pPr>
              <w:spacing w:line="240" w:lineRule="auto" w:after="0"/>
            </w:pPr>
            <w:r>
              <w:rPr>
                <w:rFonts w:ascii="Times New Roman" w:hAnsi="Times New Roman"/>
                <w:sz w:val="15"/>
              </w:rPr>
            </w:r>
            <w:r>
              <w:rPr>
                <w:rFonts w:ascii="Times New Roman" w:hAnsi="Times New Roman"/>
                <w:sz w:val="15"/>
              </w:rPr>
              <w:t>0.82–1.05</w:t>
            </w:r>
          </w:p>
        </w:tc>
        <w:tc>
          <w:tcPr>
            <w:tcW w:type="dxa" w:w="2340"/>
          </w:tcPr>
          <w:p>
            <w:pPr>
              <w:spacing w:line="240" w:lineRule="auto" w:after="0"/>
            </w:pPr>
            <w:r>
              <w:rPr>
                <w:rFonts w:ascii="Times New Roman" w:hAnsi="Times New Roman"/>
                <w:sz w:val="15"/>
              </w:rPr>
            </w:r>
            <w:r>
              <w:rPr>
                <w:rFonts w:ascii="Times New Roman" w:hAnsi="Times New Roman"/>
                <w:sz w:val="15"/>
              </w:rPr>
              <w:t>0.238</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Lactate 8.6 (capped)</w:t>
            </w:r>
          </w:p>
        </w:tc>
        <w:tc>
          <w:tcPr>
            <w:tcW w:type="dxa" w:w="2340"/>
          </w:tcPr>
          <w:p>
            <w:pPr>
              <w:spacing w:line="240" w:lineRule="auto" w:after="0"/>
            </w:pPr>
            <w:r>
              <w:rPr>
                <w:rFonts w:ascii="Times New Roman" w:hAnsi="Times New Roman"/>
                <w:sz w:val="15"/>
              </w:rPr>
            </w:r>
            <w:r>
              <w:rPr>
                <w:rFonts w:ascii="Times New Roman" w:hAnsi="Times New Roman"/>
                <w:sz w:val="15"/>
              </w:rPr>
              <w:t>0.796</w:t>
            </w:r>
          </w:p>
        </w:tc>
        <w:tc>
          <w:tcPr>
            <w:tcW w:type="dxa" w:w="2340"/>
          </w:tcPr>
          <w:p>
            <w:pPr>
              <w:spacing w:line="240" w:lineRule="auto" w:after="0"/>
            </w:pPr>
            <w:r>
              <w:rPr>
                <w:rFonts w:ascii="Times New Roman" w:hAnsi="Times New Roman"/>
                <w:sz w:val="15"/>
              </w:rPr>
            </w:r>
            <w:r>
              <w:rPr>
                <w:rFonts w:ascii="Times New Roman" w:hAnsi="Times New Roman"/>
                <w:sz w:val="15"/>
              </w:rPr>
              <w:t>0.63–1.00</w:t>
            </w:r>
          </w:p>
        </w:tc>
        <w:tc>
          <w:tcPr>
            <w:tcW w:type="dxa" w:w="2340"/>
          </w:tcPr>
          <w:p>
            <w:pPr>
              <w:spacing w:line="240" w:lineRule="auto" w:after="0"/>
            </w:pPr>
            <w:r>
              <w:rPr>
                <w:rFonts w:ascii="Times New Roman" w:hAnsi="Times New Roman"/>
                <w:sz w:val="15"/>
              </w:rPr>
            </w:r>
            <w:r>
              <w:rPr>
                <w:rFonts w:ascii="Times New Roman" w:hAnsi="Times New Roman"/>
                <w:b/>
                <w:sz w:val="15"/>
              </w:rPr>
              <w:t>0.050</w:t>
            </w:r>
          </w:p>
        </w:tc>
      </w:tr>
    </w:tbl>
    <w:p/>
    <w:p>
      <w:pPr>
        <w:jc w:val="left"/>
      </w:pPr>
      <w:r>
        <w:t xml:space="preserve">The top-stratum coefficient sits at the conventional threshold, so we do not claim censoring is unrelated to the exposure. Its direction matters: a hazard ratio below 1 means patients with higher lactate lost renal follow-up </w:t>
      </w:r>
      <w:r>
        <w:rPr>
          <w:i/>
        </w:rPr>
        <w:t>more slowly</w:t>
      </w:r>
      <w:r>
        <w:t>, which would if anything produce more complete outcome ascertainment in the high-exposure strata, the opposite of what would manufacture an apparent gradient.</w:t>
      </w:r>
    </w:p>
    <w:p>
      <w:pPr>
        <w:jc w:val="left"/>
      </w:pPr>
      <w:r>
        <w:t>A non-significant coefficient in the other two strata does not establish independent censoring. Censoring may still depend on unmeasured severity, on discharge decisions, or on undetected injury.</w:t>
      </w:r>
    </w:p>
    <w:p>
      <w:pPr>
        <w:pStyle w:val="Heading3"/>
        <w:keepNext/>
        <w:spacing w:line="276" w:lineRule="auto" w:before="200" w:after="80"/>
      </w:pPr>
      <w:r>
        <w:rPr>
          <w:rFonts w:ascii="Times New Roman" w:hAnsi="Times New Roman"/>
          <w:color w:val="000000"/>
        </w:rPr>
        <w:t>9. Inverse probability of censoring weighting</w:t>
      </w:r>
    </w:p>
    <w:p>
      <w:pPr>
        <w:jc w:val="left"/>
      </w:pPr>
      <w:r>
        <w:t>Refitted on the corrected ascertainability indicator (event observed, or event-free with follow-up reaching the horizon). The earlier version used an indicator that required a late creatinine even from patients whose event was already recorded.</w:t>
      </w:r>
    </w:p>
    <w:p>
      <w:pPr>
        <w:jc w:val="left"/>
      </w:pPr>
      <w:r>
        <w:t>Ascertainable subset n = 1,109, 196 events. IPCW weights: median 1.445, range 1.026 to 8.607.</w:t>
      </w:r>
    </w:p>
    <w:tbl>
      <w:tblPr>
        <w:tblStyle w:val="TableGrid"/>
        <w:tblW w:type="auto" w:w="0"/>
        <w:jc w:val="center"/>
        <w:tblLook w:firstColumn="1" w:firstRow="1" w:lastColumn="0" w:lastRow="0" w:noHBand="0" w:noVBand="1" w:val="04A0"/>
      </w:tblPr>
      <w:tblGrid>
        <w:gridCol w:w="3120"/>
        <w:gridCol w:w="3120"/>
        <w:gridCol w:w="3120"/>
      </w:tblGrid>
      <w:tr>
        <w:trPr>
          <w:tblHeader w:val="true"/>
          <w:cantSplit/>
        </w:trPr>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Term</w:t>
            </w:r>
          </w:p>
        </w:tc>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Unweighted OR (95% CI)</w:t>
            </w:r>
          </w:p>
        </w:tc>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IPCW-weighted OR (95% CI)</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Lactate 2.1–3.0</w:t>
            </w:r>
          </w:p>
        </w:tc>
        <w:tc>
          <w:tcPr>
            <w:tcW w:type="dxa" w:w="3120"/>
          </w:tcPr>
          <w:p>
            <w:pPr>
              <w:spacing w:line="240" w:lineRule="auto" w:after="0"/>
            </w:pPr>
            <w:r>
              <w:rPr>
                <w:rFonts w:ascii="Times New Roman" w:hAnsi="Times New Roman"/>
                <w:sz w:val="15"/>
              </w:rPr>
            </w:r>
            <w:r>
              <w:rPr>
                <w:rFonts w:ascii="Times New Roman" w:hAnsi="Times New Roman"/>
                <w:sz w:val="15"/>
              </w:rPr>
              <w:t>1.15 (0.76–1.74)</w:t>
            </w:r>
          </w:p>
        </w:tc>
        <w:tc>
          <w:tcPr>
            <w:tcW w:type="dxa" w:w="3120"/>
          </w:tcPr>
          <w:p>
            <w:pPr>
              <w:spacing w:line="240" w:lineRule="auto" w:after="0"/>
            </w:pPr>
            <w:r>
              <w:rPr>
                <w:rFonts w:ascii="Times New Roman" w:hAnsi="Times New Roman"/>
                <w:sz w:val="15"/>
              </w:rPr>
            </w:r>
            <w:r>
              <w:rPr>
                <w:rFonts w:ascii="Times New Roman" w:hAnsi="Times New Roman"/>
                <w:sz w:val="15"/>
              </w:rPr>
              <w:t>1.18 (0.85–1.65)</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Lactate 3.8–5.9</w:t>
            </w:r>
          </w:p>
        </w:tc>
        <w:tc>
          <w:tcPr>
            <w:tcW w:type="dxa" w:w="3120"/>
          </w:tcPr>
          <w:p>
            <w:pPr>
              <w:spacing w:line="240" w:lineRule="auto" w:after="0"/>
            </w:pPr>
            <w:r>
              <w:rPr>
                <w:rFonts w:ascii="Times New Roman" w:hAnsi="Times New Roman"/>
                <w:sz w:val="15"/>
              </w:rPr>
            </w:r>
            <w:r>
              <w:rPr>
                <w:rFonts w:ascii="Times New Roman" w:hAnsi="Times New Roman"/>
                <w:sz w:val="15"/>
              </w:rPr>
              <w:t>1.57 (1.06–2.31)</w:t>
            </w:r>
          </w:p>
        </w:tc>
        <w:tc>
          <w:tcPr>
            <w:tcW w:type="dxa" w:w="3120"/>
          </w:tcPr>
          <w:p>
            <w:pPr>
              <w:spacing w:line="240" w:lineRule="auto" w:after="0"/>
            </w:pPr>
            <w:r>
              <w:rPr>
                <w:rFonts w:ascii="Times New Roman" w:hAnsi="Times New Roman"/>
                <w:sz w:val="15"/>
              </w:rPr>
            </w:r>
            <w:r>
              <w:rPr>
                <w:rFonts w:ascii="Times New Roman" w:hAnsi="Times New Roman"/>
                <w:sz w:val="15"/>
              </w:rPr>
              <w:t>1.58 (1.16–2.16)</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Lactate 8.6 (capped)</w:t>
            </w:r>
          </w:p>
        </w:tc>
        <w:tc>
          <w:tcPr>
            <w:tcW w:type="dxa" w:w="3120"/>
          </w:tcPr>
          <w:p>
            <w:pPr>
              <w:spacing w:line="240" w:lineRule="auto" w:after="0"/>
            </w:pPr>
            <w:r>
              <w:rPr>
                <w:rFonts w:ascii="Times New Roman" w:hAnsi="Times New Roman"/>
                <w:sz w:val="15"/>
              </w:rPr>
            </w:r>
            <w:r>
              <w:rPr>
                <w:rFonts w:ascii="Times New Roman" w:hAnsi="Times New Roman"/>
                <w:sz w:val="15"/>
              </w:rPr>
              <w:t>1.77 (0.93–3.37)</w:t>
            </w:r>
          </w:p>
        </w:tc>
        <w:tc>
          <w:tcPr>
            <w:tcW w:type="dxa" w:w="3120"/>
          </w:tcPr>
          <w:p>
            <w:pPr>
              <w:spacing w:line="240" w:lineRule="auto" w:after="0"/>
            </w:pPr>
            <w:r>
              <w:rPr>
                <w:rFonts w:ascii="Times New Roman" w:hAnsi="Times New Roman"/>
                <w:sz w:val="15"/>
              </w:rPr>
            </w:r>
            <w:r>
              <w:rPr>
                <w:rFonts w:ascii="Times New Roman" w:hAnsi="Times New Roman"/>
                <w:sz w:val="15"/>
              </w:rPr>
              <w:t>1.59 (0.91–2.76)</w:t>
            </w:r>
          </w:p>
        </w:tc>
      </w:tr>
    </w:tbl>
    <w:p/>
    <w:p>
      <w:pPr>
        <w:jc w:val="left"/>
      </w:pPr>
      <w:r>
        <w:t>Weighting moves the top-stratum estimate from 1.77 to 1.59 and leaves the middle strata essentially unchanged. The interval for the top stratum includes 1 in both.</w:t>
      </w:r>
    </w:p>
    <w:p>
      <w:pPr>
        <w:pStyle w:val="Heading3"/>
        <w:keepNext/>
        <w:spacing w:line="276" w:lineRule="auto" w:before="200" w:after="80"/>
      </w:pPr>
      <w:r>
        <w:rPr>
          <w:rFonts w:ascii="Times New Roman" w:hAnsi="Times New Roman"/>
          <w:color w:val="000000"/>
        </w:rPr>
        <w:t>10. Bounds on the unascertainable tail</w:t>
      </w:r>
    </w:p>
    <w:p>
      <w:pPr>
        <w:jc w:val="left"/>
      </w:pPr>
      <w:r>
        <w:t>Patients whose outcome status could not be ascertained, by stratum: 288, 186, 218 and 33. Observed events: 62, 49, 69 and 16.</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rPr>
          <w:tblHeader w:val="true"/>
          <w:cantSplit/>
        </w:trPr>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Scenario</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≤1.9</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2.1–3.0</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3.8–5.9</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8.6</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Trend P</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Unascertainable patients are non-events</w:t>
            </w:r>
          </w:p>
        </w:tc>
        <w:tc>
          <w:tcPr>
            <w:tcW w:type="dxa" w:w="1560"/>
          </w:tcPr>
          <w:p>
            <w:pPr>
              <w:spacing w:line="240" w:lineRule="auto" w:after="0"/>
            </w:pPr>
            <w:r>
              <w:rPr>
                <w:rFonts w:ascii="Times New Roman" w:hAnsi="Times New Roman"/>
                <w:sz w:val="15"/>
              </w:rPr>
            </w:r>
            <w:r>
              <w:rPr>
                <w:rFonts w:ascii="Times New Roman" w:hAnsi="Times New Roman"/>
                <w:sz w:val="15"/>
              </w:rPr>
              <w:t>8.68%</w:t>
            </w:r>
          </w:p>
        </w:tc>
        <w:tc>
          <w:tcPr>
            <w:tcW w:type="dxa" w:w="1560"/>
          </w:tcPr>
          <w:p>
            <w:pPr>
              <w:spacing w:line="240" w:lineRule="auto" w:after="0"/>
            </w:pPr>
            <w:r>
              <w:rPr>
                <w:rFonts w:ascii="Times New Roman" w:hAnsi="Times New Roman"/>
                <w:sz w:val="15"/>
              </w:rPr>
            </w:r>
            <w:r>
              <w:rPr>
                <w:rFonts w:ascii="Times New Roman" w:hAnsi="Times New Roman"/>
                <w:sz w:val="15"/>
              </w:rPr>
              <w:t>10.29%</w:t>
            </w:r>
          </w:p>
        </w:tc>
        <w:tc>
          <w:tcPr>
            <w:tcW w:type="dxa" w:w="1560"/>
          </w:tcPr>
          <w:p>
            <w:pPr>
              <w:spacing w:line="240" w:lineRule="auto" w:after="0"/>
            </w:pPr>
            <w:r>
              <w:rPr>
                <w:rFonts w:ascii="Times New Roman" w:hAnsi="Times New Roman"/>
                <w:sz w:val="15"/>
              </w:rPr>
            </w:r>
            <w:r>
              <w:rPr>
                <w:rFonts w:ascii="Times New Roman" w:hAnsi="Times New Roman"/>
                <w:sz w:val="15"/>
              </w:rPr>
              <w:t>12.75%</w:t>
            </w:r>
          </w:p>
        </w:tc>
        <w:tc>
          <w:tcPr>
            <w:tcW w:type="dxa" w:w="1560"/>
          </w:tcPr>
          <w:p>
            <w:pPr>
              <w:spacing w:line="240" w:lineRule="auto" w:after="0"/>
            </w:pPr>
            <w:r>
              <w:rPr>
                <w:rFonts w:ascii="Times New Roman" w:hAnsi="Times New Roman"/>
                <w:sz w:val="15"/>
              </w:rPr>
            </w:r>
            <w:r>
              <w:rPr>
                <w:rFonts w:ascii="Times New Roman" w:hAnsi="Times New Roman"/>
                <w:sz w:val="15"/>
              </w:rPr>
              <w:t>15.53%</w:t>
            </w:r>
          </w:p>
        </w:tc>
        <w:tc>
          <w:tcPr>
            <w:tcW w:type="dxa" w:w="1560"/>
          </w:tcPr>
          <w:p>
            <w:pPr>
              <w:spacing w:line="240" w:lineRule="auto" w:after="0"/>
            </w:pPr>
            <w:r>
              <w:rPr>
                <w:rFonts w:ascii="Times New Roman" w:hAnsi="Times New Roman"/>
                <w:sz w:val="15"/>
              </w:rPr>
            </w:r>
            <w:r>
              <w:rPr>
                <w:rFonts w:ascii="Times New Roman" w:hAnsi="Times New Roman"/>
                <w:sz w:val="15"/>
              </w:rPr>
              <w:t>0.005</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Hidden risk equals observed risk in the same stratum</w:t>
            </w:r>
          </w:p>
        </w:tc>
        <w:tc>
          <w:tcPr>
            <w:tcW w:type="dxa" w:w="1560"/>
          </w:tcPr>
          <w:p>
            <w:pPr>
              <w:spacing w:line="240" w:lineRule="auto" w:after="0"/>
            </w:pPr>
            <w:r>
              <w:rPr>
                <w:rFonts w:ascii="Times New Roman" w:hAnsi="Times New Roman"/>
                <w:sz w:val="15"/>
              </w:rPr>
            </w:r>
            <w:r>
              <w:rPr>
                <w:rFonts w:ascii="Times New Roman" w:hAnsi="Times New Roman"/>
                <w:sz w:val="15"/>
              </w:rPr>
              <w:t>12.19%</w:t>
            </w:r>
          </w:p>
        </w:tc>
        <w:tc>
          <w:tcPr>
            <w:tcW w:type="dxa" w:w="1560"/>
          </w:tcPr>
          <w:p>
            <w:pPr>
              <w:spacing w:line="240" w:lineRule="auto" w:after="0"/>
            </w:pPr>
            <w:r>
              <w:rPr>
                <w:rFonts w:ascii="Times New Roman" w:hAnsi="Times New Roman"/>
                <w:sz w:val="15"/>
              </w:rPr>
            </w:r>
            <w:r>
              <w:rPr>
                <w:rFonts w:ascii="Times New Roman" w:hAnsi="Times New Roman"/>
                <w:sz w:val="15"/>
              </w:rPr>
              <w:t>14.32%</w:t>
            </w:r>
          </w:p>
        </w:tc>
        <w:tc>
          <w:tcPr>
            <w:tcW w:type="dxa" w:w="1560"/>
          </w:tcPr>
          <w:p>
            <w:pPr>
              <w:spacing w:line="240" w:lineRule="auto" w:after="0"/>
            </w:pPr>
            <w:r>
              <w:rPr>
                <w:rFonts w:ascii="Times New Roman" w:hAnsi="Times New Roman"/>
                <w:sz w:val="15"/>
              </w:rPr>
            </w:r>
            <w:r>
              <w:rPr>
                <w:rFonts w:ascii="Times New Roman" w:hAnsi="Times New Roman"/>
                <w:sz w:val="15"/>
              </w:rPr>
              <w:t>17.89%</w:t>
            </w:r>
          </w:p>
        </w:tc>
        <w:tc>
          <w:tcPr>
            <w:tcW w:type="dxa" w:w="1560"/>
          </w:tcPr>
          <w:p>
            <w:pPr>
              <w:spacing w:line="240" w:lineRule="auto" w:after="0"/>
            </w:pPr>
            <w:r>
              <w:rPr>
                <w:rFonts w:ascii="Times New Roman" w:hAnsi="Times New Roman"/>
                <w:sz w:val="15"/>
              </w:rPr>
            </w:r>
            <w:r>
              <w:rPr>
                <w:rFonts w:ascii="Times New Roman" w:hAnsi="Times New Roman"/>
                <w:sz w:val="15"/>
              </w:rPr>
              <w:t>20.51%</w:t>
            </w:r>
          </w:p>
        </w:tc>
        <w:tc>
          <w:tcPr>
            <w:tcW w:type="dxa" w:w="1560"/>
          </w:tcPr>
          <w:p>
            <w:pPr>
              <w:spacing w:line="240" w:lineRule="auto" w:after="0"/>
            </w:pPr>
            <w:r>
              <w:rPr>
                <w:rFonts w:ascii="Times New Roman" w:hAnsi="Times New Roman"/>
                <w:sz w:val="15"/>
              </w:rPr>
            </w:r>
            <w:r>
              <w:rPr>
                <w:rFonts w:ascii="Times New Roman" w:hAnsi="Times New Roman"/>
                <w:sz w:val="15"/>
              </w:rPr>
              <w:t>0.001</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All unascertainable patients develop AKI (worst case)</w:t>
            </w:r>
          </w:p>
        </w:tc>
        <w:tc>
          <w:tcPr>
            <w:tcW w:type="dxa" w:w="1560"/>
          </w:tcPr>
          <w:p>
            <w:pPr>
              <w:spacing w:line="240" w:lineRule="auto" w:after="0"/>
            </w:pPr>
            <w:r>
              <w:rPr>
                <w:rFonts w:ascii="Times New Roman" w:hAnsi="Times New Roman"/>
                <w:sz w:val="15"/>
              </w:rPr>
            </w:r>
            <w:r>
              <w:rPr>
                <w:rFonts w:ascii="Times New Roman" w:hAnsi="Times New Roman"/>
                <w:sz w:val="15"/>
              </w:rPr>
              <w:t>49.02%</w:t>
            </w:r>
          </w:p>
        </w:tc>
        <w:tc>
          <w:tcPr>
            <w:tcW w:type="dxa" w:w="1560"/>
          </w:tcPr>
          <w:p>
            <w:pPr>
              <w:spacing w:line="240" w:lineRule="auto" w:after="0"/>
            </w:pPr>
            <w:r>
              <w:rPr>
                <w:rFonts w:ascii="Times New Roman" w:hAnsi="Times New Roman"/>
                <w:sz w:val="15"/>
              </w:rPr>
            </w:r>
            <w:r>
              <w:rPr>
                <w:rFonts w:ascii="Times New Roman" w:hAnsi="Times New Roman"/>
                <w:sz w:val="15"/>
              </w:rPr>
              <w:t>49.37%</w:t>
            </w:r>
          </w:p>
        </w:tc>
        <w:tc>
          <w:tcPr>
            <w:tcW w:type="dxa" w:w="1560"/>
          </w:tcPr>
          <w:p>
            <w:pPr>
              <w:spacing w:line="240" w:lineRule="auto" w:after="0"/>
            </w:pPr>
            <w:r>
              <w:rPr>
                <w:rFonts w:ascii="Times New Roman" w:hAnsi="Times New Roman"/>
                <w:sz w:val="15"/>
              </w:rPr>
            </w:r>
            <w:r>
              <w:rPr>
                <w:rFonts w:ascii="Times New Roman" w:hAnsi="Times New Roman"/>
                <w:sz w:val="15"/>
              </w:rPr>
              <w:t>53.05%</w:t>
            </w:r>
          </w:p>
        </w:tc>
        <w:tc>
          <w:tcPr>
            <w:tcW w:type="dxa" w:w="1560"/>
          </w:tcPr>
          <w:p>
            <w:pPr>
              <w:spacing w:line="240" w:lineRule="auto" w:after="0"/>
            </w:pPr>
            <w:r>
              <w:rPr>
                <w:rFonts w:ascii="Times New Roman" w:hAnsi="Times New Roman"/>
                <w:sz w:val="15"/>
              </w:rPr>
            </w:r>
            <w:r>
              <w:rPr>
                <w:rFonts w:ascii="Times New Roman" w:hAnsi="Times New Roman"/>
                <w:sz w:val="15"/>
              </w:rPr>
              <w:t>47.57%</w:t>
            </w:r>
          </w:p>
        </w:tc>
        <w:tc>
          <w:tcPr>
            <w:tcW w:type="dxa" w:w="1560"/>
          </w:tcPr>
          <w:p>
            <w:pPr>
              <w:spacing w:line="240" w:lineRule="auto" w:after="0"/>
            </w:pPr>
            <w:r>
              <w:rPr>
                <w:rFonts w:ascii="Times New Roman" w:hAnsi="Times New Roman"/>
                <w:sz w:val="15"/>
              </w:rPr>
            </w:r>
            <w:r>
              <w:rPr>
                <w:rFonts w:ascii="Times New Roman" w:hAnsi="Times New Roman"/>
                <w:sz w:val="15"/>
              </w:rPr>
              <w:t>0.367</w:t>
            </w:r>
          </w:p>
        </w:tc>
      </w:tr>
    </w:tbl>
    <w:p/>
    <w:p>
      <w:pPr>
        <w:pStyle w:val="Heading3"/>
        <w:keepNext/>
        <w:spacing w:line="276" w:lineRule="auto" w:before="200" w:after="80"/>
      </w:pPr>
      <w:r>
        <w:rPr>
          <w:rFonts w:ascii="Times New Roman" w:hAnsi="Times New Roman"/>
          <w:color w:val="000000"/>
        </w:rPr>
        <w:t>11. Tipping point</w:t>
      </w:r>
    </w:p>
    <w:p>
      <w:pPr>
        <w:jc w:val="left"/>
      </w:pPr>
      <w:r>
        <w:t>Assigning every patient with unascertainable status a common probability δ of harbouring an undetected event:</w:t>
      </w:r>
    </w:p>
    <w:tbl>
      <w:tblPr>
        <w:tblStyle w:val="TableGrid"/>
        <w:tblW w:type="auto" w:w="0"/>
        <w:jc w:val="center"/>
        <w:tblLook w:firstColumn="1" w:firstRow="1" w:lastColumn="0" w:lastRow="0" w:noHBand="0" w:noVBand="1" w:val="04A0"/>
      </w:tblPr>
      <w:tblGrid>
        <w:gridCol w:w="1170"/>
        <w:gridCol w:w="1170"/>
        <w:gridCol w:w="1170"/>
        <w:gridCol w:w="1170"/>
        <w:gridCol w:w="1170"/>
        <w:gridCol w:w="1170"/>
        <w:gridCol w:w="1170"/>
        <w:gridCol w:w="1170"/>
      </w:tblGrid>
      <w:tr>
        <w:trPr>
          <w:tblHeader w:val="true"/>
          <w:cantSplit/>
        </w:trPr>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δ</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0.00</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0.05</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0.10</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0.20</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0.30</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0.50</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1.00</w:t>
            </w:r>
          </w:p>
        </w:tc>
      </w:tr>
      <w:tr>
        <w:trPr>
          <w:cantSplit/>
        </w:trPr>
        <w:tc>
          <w:tcPr>
            <w:tcW w:type="dxa" w:w="1170"/>
          </w:tcPr>
          <w:p>
            <w:pPr>
              <w:spacing w:line="240" w:lineRule="auto" w:after="0"/>
            </w:pPr>
            <w:r>
              <w:rPr>
                <w:rFonts w:ascii="Times New Roman" w:hAnsi="Times New Roman"/>
                <w:sz w:val="15"/>
              </w:rPr>
            </w:r>
            <w:r>
              <w:rPr>
                <w:rFonts w:ascii="Times New Roman" w:hAnsi="Times New Roman"/>
                <w:sz w:val="15"/>
              </w:rPr>
              <w:t>Trend P</w:t>
            </w:r>
          </w:p>
        </w:tc>
        <w:tc>
          <w:tcPr>
            <w:tcW w:type="dxa" w:w="1170"/>
          </w:tcPr>
          <w:p>
            <w:pPr>
              <w:spacing w:line="240" w:lineRule="auto" w:after="0"/>
            </w:pPr>
            <w:r>
              <w:rPr>
                <w:rFonts w:ascii="Times New Roman" w:hAnsi="Times New Roman"/>
                <w:sz w:val="15"/>
              </w:rPr>
            </w:r>
            <w:r>
              <w:rPr>
                <w:rFonts w:ascii="Times New Roman" w:hAnsi="Times New Roman"/>
                <w:sz w:val="15"/>
              </w:rPr>
              <w:t>0.005</w:t>
            </w:r>
          </w:p>
        </w:tc>
        <w:tc>
          <w:tcPr>
            <w:tcW w:type="dxa" w:w="1170"/>
          </w:tcPr>
          <w:p>
            <w:pPr>
              <w:spacing w:line="240" w:lineRule="auto" w:after="0"/>
            </w:pPr>
            <w:r>
              <w:rPr>
                <w:rFonts w:ascii="Times New Roman" w:hAnsi="Times New Roman"/>
                <w:sz w:val="15"/>
              </w:rPr>
            </w:r>
            <w:r>
              <w:rPr>
                <w:rFonts w:ascii="Times New Roman" w:hAnsi="Times New Roman"/>
                <w:sz w:val="15"/>
              </w:rPr>
              <w:t>0.011</w:t>
            </w:r>
          </w:p>
        </w:tc>
        <w:tc>
          <w:tcPr>
            <w:tcW w:type="dxa" w:w="1170"/>
          </w:tcPr>
          <w:p>
            <w:pPr>
              <w:spacing w:line="240" w:lineRule="auto" w:after="0"/>
            </w:pPr>
            <w:r>
              <w:rPr>
                <w:rFonts w:ascii="Times New Roman" w:hAnsi="Times New Roman"/>
                <w:sz w:val="15"/>
              </w:rPr>
            </w:r>
            <w:r>
              <w:rPr>
                <w:rFonts w:ascii="Times New Roman" w:hAnsi="Times New Roman"/>
                <w:sz w:val="15"/>
              </w:rPr>
              <w:t>0.019</w:t>
            </w:r>
          </w:p>
        </w:tc>
        <w:tc>
          <w:tcPr>
            <w:tcW w:type="dxa" w:w="1170"/>
          </w:tcPr>
          <w:p>
            <w:pPr>
              <w:spacing w:line="240" w:lineRule="auto" w:after="0"/>
            </w:pPr>
            <w:r>
              <w:rPr>
                <w:rFonts w:ascii="Times New Roman" w:hAnsi="Times New Roman"/>
                <w:sz w:val="15"/>
              </w:rPr>
            </w:r>
            <w:r>
              <w:rPr>
                <w:rFonts w:ascii="Times New Roman" w:hAnsi="Times New Roman"/>
                <w:sz w:val="15"/>
              </w:rPr>
              <w:t>0.044</w:t>
            </w:r>
          </w:p>
        </w:tc>
        <w:tc>
          <w:tcPr>
            <w:tcW w:type="dxa" w:w="1170"/>
          </w:tcPr>
          <w:p>
            <w:pPr>
              <w:spacing w:line="240" w:lineRule="auto" w:after="0"/>
            </w:pPr>
            <w:r>
              <w:rPr>
                <w:rFonts w:ascii="Times New Roman" w:hAnsi="Times New Roman"/>
                <w:sz w:val="15"/>
              </w:rPr>
            </w:r>
            <w:r>
              <w:rPr>
                <w:rFonts w:ascii="Times New Roman" w:hAnsi="Times New Roman"/>
                <w:sz w:val="15"/>
              </w:rPr>
              <w:t>0.075</w:t>
            </w:r>
          </w:p>
        </w:tc>
        <w:tc>
          <w:tcPr>
            <w:tcW w:type="dxa" w:w="1170"/>
          </w:tcPr>
          <w:p>
            <w:pPr>
              <w:spacing w:line="240" w:lineRule="auto" w:after="0"/>
            </w:pPr>
            <w:r>
              <w:rPr>
                <w:rFonts w:ascii="Times New Roman" w:hAnsi="Times New Roman"/>
                <w:sz w:val="15"/>
              </w:rPr>
            </w:r>
            <w:r>
              <w:rPr>
                <w:rFonts w:ascii="Times New Roman" w:hAnsi="Times New Roman"/>
                <w:sz w:val="15"/>
              </w:rPr>
              <w:t>0.151</w:t>
            </w:r>
          </w:p>
        </w:tc>
        <w:tc>
          <w:tcPr>
            <w:tcW w:type="dxa" w:w="1170"/>
          </w:tcPr>
          <w:p>
            <w:pPr>
              <w:spacing w:line="240" w:lineRule="auto" w:after="0"/>
            </w:pPr>
            <w:r>
              <w:rPr>
                <w:rFonts w:ascii="Times New Roman" w:hAnsi="Times New Roman"/>
                <w:sz w:val="15"/>
              </w:rPr>
            </w:r>
            <w:r>
              <w:rPr>
                <w:rFonts w:ascii="Times New Roman" w:hAnsi="Times New Roman"/>
                <w:sz w:val="15"/>
              </w:rPr>
              <w:t>0.367</w:t>
            </w:r>
          </w:p>
        </w:tc>
      </w:tr>
    </w:tbl>
    <w:p/>
    <w:p>
      <w:pPr>
        <w:jc w:val="left"/>
      </w:pPr>
      <w:r>
        <w:rPr>
          <w:b/>
        </w:rPr>
        <w:t>The trend loses significance at δ ≥ 0.23.</w:t>
      </w:r>
      <w:r>
        <w:t xml:space="preserve"> Since observed risks are 8.7% to 15.5%, this requires the unascertainable group to carry two to three times the risk of the ascertained group.</w:t>
      </w:r>
    </w:p>
    <w:p>
      <w:pPr>
        <w:jc w:val="left"/>
      </w:pPr>
      <w:r>
        <w:t xml:space="preserve">We previously argued that such a δ runs against clinical expectation because unascertainable status was driven predominantly by early discharge. </w:t>
      </w:r>
      <w:r>
        <w:rPr>
          <w:b/>
        </w:rPr>
        <w:t>That argument does not survive checking and is withdrawn.</w:t>
      </w:r>
      <w:r>
        <w:t xml:space="preserve"> Discharge accounts for 297 of the 725 unascertainable patients (41.0%); the remaining 428 were still inpatients whose creatinine simply stopped being ordered. The proportion is also graded by exposure, so the argument was weakest exactly where it was doing the most work:</w:t>
      </w:r>
    </w:p>
    <w:tbl>
      <w:tblPr>
        <w:tblStyle w:val="TableGrid"/>
        <w:tblW w:type="auto" w:w="0"/>
        <w:jc w:val="center"/>
        <w:tblLook w:firstColumn="1" w:firstRow="1" w:lastColumn="0" w:lastRow="0" w:noHBand="0" w:noVBand="1" w:val="04A0"/>
      </w:tblPr>
      <w:tblGrid>
        <w:gridCol w:w="1872"/>
        <w:gridCol w:w="1872"/>
        <w:gridCol w:w="1872"/>
        <w:gridCol w:w="1872"/>
        <w:gridCol w:w="1872"/>
      </w:tblGrid>
      <w:tr>
        <w:trPr>
          <w:tblHeader w:val="true"/>
          <w:cantSplit/>
        </w:trPr>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Lactate stratum</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Unascertainable</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Discharged</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Still an inpatient</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 discharged</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≤1.9</w:t>
            </w:r>
          </w:p>
        </w:tc>
        <w:tc>
          <w:tcPr>
            <w:tcW w:type="dxa" w:w="1872"/>
          </w:tcPr>
          <w:p>
            <w:pPr>
              <w:spacing w:line="240" w:lineRule="auto" w:after="0"/>
            </w:pPr>
            <w:r>
              <w:rPr>
                <w:rFonts w:ascii="Times New Roman" w:hAnsi="Times New Roman"/>
                <w:sz w:val="15"/>
              </w:rPr>
            </w:r>
            <w:r>
              <w:rPr>
                <w:rFonts w:ascii="Times New Roman" w:hAnsi="Times New Roman"/>
                <w:sz w:val="15"/>
              </w:rPr>
              <w:t>288</w:t>
            </w:r>
          </w:p>
        </w:tc>
        <w:tc>
          <w:tcPr>
            <w:tcW w:type="dxa" w:w="1872"/>
          </w:tcPr>
          <w:p>
            <w:pPr>
              <w:spacing w:line="240" w:lineRule="auto" w:after="0"/>
            </w:pPr>
            <w:r>
              <w:rPr>
                <w:rFonts w:ascii="Times New Roman" w:hAnsi="Times New Roman"/>
                <w:sz w:val="15"/>
              </w:rPr>
            </w:r>
            <w:r>
              <w:rPr>
                <w:rFonts w:ascii="Times New Roman" w:hAnsi="Times New Roman"/>
                <w:sz w:val="15"/>
              </w:rPr>
              <w:t>152</w:t>
            </w:r>
          </w:p>
        </w:tc>
        <w:tc>
          <w:tcPr>
            <w:tcW w:type="dxa" w:w="1872"/>
          </w:tcPr>
          <w:p>
            <w:pPr>
              <w:spacing w:line="240" w:lineRule="auto" w:after="0"/>
            </w:pPr>
            <w:r>
              <w:rPr>
                <w:rFonts w:ascii="Times New Roman" w:hAnsi="Times New Roman"/>
                <w:sz w:val="15"/>
              </w:rPr>
            </w:r>
            <w:r>
              <w:rPr>
                <w:rFonts w:ascii="Times New Roman" w:hAnsi="Times New Roman"/>
                <w:sz w:val="15"/>
              </w:rPr>
              <w:t>136</w:t>
            </w:r>
          </w:p>
        </w:tc>
        <w:tc>
          <w:tcPr>
            <w:tcW w:type="dxa" w:w="1872"/>
          </w:tcPr>
          <w:p>
            <w:pPr>
              <w:spacing w:line="240" w:lineRule="auto" w:after="0"/>
            </w:pPr>
            <w:r>
              <w:rPr>
                <w:rFonts w:ascii="Times New Roman" w:hAnsi="Times New Roman"/>
                <w:sz w:val="15"/>
              </w:rPr>
            </w:r>
            <w:r>
              <w:rPr>
                <w:rFonts w:ascii="Times New Roman" w:hAnsi="Times New Roman"/>
                <w:sz w:val="15"/>
              </w:rPr>
              <w:t>52.8%</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2.1–3.0</w:t>
            </w:r>
          </w:p>
        </w:tc>
        <w:tc>
          <w:tcPr>
            <w:tcW w:type="dxa" w:w="1872"/>
          </w:tcPr>
          <w:p>
            <w:pPr>
              <w:spacing w:line="240" w:lineRule="auto" w:after="0"/>
            </w:pPr>
            <w:r>
              <w:rPr>
                <w:rFonts w:ascii="Times New Roman" w:hAnsi="Times New Roman"/>
                <w:sz w:val="15"/>
              </w:rPr>
            </w:r>
            <w:r>
              <w:rPr>
                <w:rFonts w:ascii="Times New Roman" w:hAnsi="Times New Roman"/>
                <w:sz w:val="15"/>
              </w:rPr>
              <w:t>186</w:t>
            </w:r>
          </w:p>
        </w:tc>
        <w:tc>
          <w:tcPr>
            <w:tcW w:type="dxa" w:w="1872"/>
          </w:tcPr>
          <w:p>
            <w:pPr>
              <w:spacing w:line="240" w:lineRule="auto" w:after="0"/>
            </w:pPr>
            <w:r>
              <w:rPr>
                <w:rFonts w:ascii="Times New Roman" w:hAnsi="Times New Roman"/>
                <w:sz w:val="15"/>
              </w:rPr>
            </w:r>
            <w:r>
              <w:rPr>
                <w:rFonts w:ascii="Times New Roman" w:hAnsi="Times New Roman"/>
                <w:sz w:val="15"/>
              </w:rPr>
              <w:t>74</w:t>
            </w:r>
          </w:p>
        </w:tc>
        <w:tc>
          <w:tcPr>
            <w:tcW w:type="dxa" w:w="1872"/>
          </w:tcPr>
          <w:p>
            <w:pPr>
              <w:spacing w:line="240" w:lineRule="auto" w:after="0"/>
            </w:pPr>
            <w:r>
              <w:rPr>
                <w:rFonts w:ascii="Times New Roman" w:hAnsi="Times New Roman"/>
                <w:sz w:val="15"/>
              </w:rPr>
            </w:r>
            <w:r>
              <w:rPr>
                <w:rFonts w:ascii="Times New Roman" w:hAnsi="Times New Roman"/>
                <w:sz w:val="15"/>
              </w:rPr>
              <w:t>112</w:t>
            </w:r>
          </w:p>
        </w:tc>
        <w:tc>
          <w:tcPr>
            <w:tcW w:type="dxa" w:w="1872"/>
          </w:tcPr>
          <w:p>
            <w:pPr>
              <w:spacing w:line="240" w:lineRule="auto" w:after="0"/>
            </w:pPr>
            <w:r>
              <w:rPr>
                <w:rFonts w:ascii="Times New Roman" w:hAnsi="Times New Roman"/>
                <w:sz w:val="15"/>
              </w:rPr>
            </w:r>
            <w:r>
              <w:rPr>
                <w:rFonts w:ascii="Times New Roman" w:hAnsi="Times New Roman"/>
                <w:sz w:val="15"/>
              </w:rPr>
              <w:t>39.8%</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3.8–5.9</w:t>
            </w:r>
          </w:p>
        </w:tc>
        <w:tc>
          <w:tcPr>
            <w:tcW w:type="dxa" w:w="1872"/>
          </w:tcPr>
          <w:p>
            <w:pPr>
              <w:spacing w:line="240" w:lineRule="auto" w:after="0"/>
            </w:pPr>
            <w:r>
              <w:rPr>
                <w:rFonts w:ascii="Times New Roman" w:hAnsi="Times New Roman"/>
                <w:sz w:val="15"/>
              </w:rPr>
            </w:r>
            <w:r>
              <w:rPr>
                <w:rFonts w:ascii="Times New Roman" w:hAnsi="Times New Roman"/>
                <w:sz w:val="15"/>
              </w:rPr>
              <w:t>218</w:t>
            </w:r>
          </w:p>
        </w:tc>
        <w:tc>
          <w:tcPr>
            <w:tcW w:type="dxa" w:w="1872"/>
          </w:tcPr>
          <w:p>
            <w:pPr>
              <w:spacing w:line="240" w:lineRule="auto" w:after="0"/>
            </w:pPr>
            <w:r>
              <w:rPr>
                <w:rFonts w:ascii="Times New Roman" w:hAnsi="Times New Roman"/>
                <w:sz w:val="15"/>
              </w:rPr>
            </w:r>
            <w:r>
              <w:rPr>
                <w:rFonts w:ascii="Times New Roman" w:hAnsi="Times New Roman"/>
                <w:sz w:val="15"/>
              </w:rPr>
              <w:t>63</w:t>
            </w:r>
          </w:p>
        </w:tc>
        <w:tc>
          <w:tcPr>
            <w:tcW w:type="dxa" w:w="1872"/>
          </w:tcPr>
          <w:p>
            <w:pPr>
              <w:spacing w:line="240" w:lineRule="auto" w:after="0"/>
            </w:pPr>
            <w:r>
              <w:rPr>
                <w:rFonts w:ascii="Times New Roman" w:hAnsi="Times New Roman"/>
                <w:sz w:val="15"/>
              </w:rPr>
            </w:r>
            <w:r>
              <w:rPr>
                <w:rFonts w:ascii="Times New Roman" w:hAnsi="Times New Roman"/>
                <w:sz w:val="15"/>
              </w:rPr>
              <w:t>155</w:t>
            </w:r>
          </w:p>
        </w:tc>
        <w:tc>
          <w:tcPr>
            <w:tcW w:type="dxa" w:w="1872"/>
          </w:tcPr>
          <w:p>
            <w:pPr>
              <w:spacing w:line="240" w:lineRule="auto" w:after="0"/>
            </w:pPr>
            <w:r>
              <w:rPr>
                <w:rFonts w:ascii="Times New Roman" w:hAnsi="Times New Roman"/>
                <w:sz w:val="15"/>
              </w:rPr>
            </w:r>
            <w:r>
              <w:rPr>
                <w:rFonts w:ascii="Times New Roman" w:hAnsi="Times New Roman"/>
                <w:sz w:val="15"/>
              </w:rPr>
              <w:t>28.9%</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8.6 (capped)</w:t>
            </w:r>
          </w:p>
        </w:tc>
        <w:tc>
          <w:tcPr>
            <w:tcW w:type="dxa" w:w="1872"/>
          </w:tcPr>
          <w:p>
            <w:pPr>
              <w:spacing w:line="240" w:lineRule="auto" w:after="0"/>
            </w:pPr>
            <w:r>
              <w:rPr>
                <w:rFonts w:ascii="Times New Roman" w:hAnsi="Times New Roman"/>
                <w:sz w:val="15"/>
              </w:rPr>
            </w:r>
            <w:r>
              <w:rPr>
                <w:rFonts w:ascii="Times New Roman" w:hAnsi="Times New Roman"/>
                <w:sz w:val="15"/>
              </w:rPr>
              <w:t>33</w:t>
            </w:r>
          </w:p>
        </w:tc>
        <w:tc>
          <w:tcPr>
            <w:tcW w:type="dxa" w:w="1872"/>
          </w:tcPr>
          <w:p>
            <w:pPr>
              <w:spacing w:line="240" w:lineRule="auto" w:after="0"/>
            </w:pPr>
            <w:r>
              <w:rPr>
                <w:rFonts w:ascii="Times New Roman" w:hAnsi="Times New Roman"/>
                <w:sz w:val="15"/>
              </w:rPr>
            </w:r>
            <w:r>
              <w:rPr>
                <w:rFonts w:ascii="Times New Roman" w:hAnsi="Times New Roman"/>
                <w:sz w:val="15"/>
              </w:rPr>
              <w:t>8</w:t>
            </w:r>
          </w:p>
        </w:tc>
        <w:tc>
          <w:tcPr>
            <w:tcW w:type="dxa" w:w="1872"/>
          </w:tcPr>
          <w:p>
            <w:pPr>
              <w:spacing w:line="240" w:lineRule="auto" w:after="0"/>
            </w:pPr>
            <w:r>
              <w:rPr>
                <w:rFonts w:ascii="Times New Roman" w:hAnsi="Times New Roman"/>
                <w:sz w:val="15"/>
              </w:rPr>
            </w:r>
            <w:r>
              <w:rPr>
                <w:rFonts w:ascii="Times New Roman" w:hAnsi="Times New Roman"/>
                <w:sz w:val="15"/>
              </w:rPr>
              <w:t>25</w:t>
            </w:r>
          </w:p>
        </w:tc>
        <w:tc>
          <w:tcPr>
            <w:tcW w:type="dxa" w:w="1872"/>
          </w:tcPr>
          <w:p>
            <w:pPr>
              <w:spacing w:line="240" w:lineRule="auto" w:after="0"/>
            </w:pPr>
            <w:r>
              <w:rPr>
                <w:rFonts w:ascii="Times New Roman" w:hAnsi="Times New Roman"/>
                <w:sz w:val="15"/>
              </w:rPr>
            </w:r>
            <w:r>
              <w:rPr>
                <w:rFonts w:ascii="Times New Roman" w:hAnsi="Times New Roman"/>
                <w:sz w:val="15"/>
              </w:rPr>
              <w:t>24.2%</w:t>
            </w:r>
          </w:p>
        </w:tc>
      </w:tr>
      <w:tr>
        <w:trPr>
          <w:cantSplit/>
        </w:trPr>
        <w:tc>
          <w:tcPr>
            <w:tcW w:type="dxa" w:w="1872"/>
          </w:tcPr>
          <w:p>
            <w:pPr>
              <w:spacing w:line="240" w:lineRule="auto" w:after="0"/>
            </w:pPr>
            <w:r>
              <w:rPr>
                <w:rFonts w:ascii="Times New Roman" w:hAnsi="Times New Roman"/>
                <w:sz w:val="15"/>
              </w:rPr>
            </w:r>
            <w:r>
              <w:rPr>
                <w:rFonts w:ascii="Times New Roman" w:hAnsi="Times New Roman"/>
                <w:b/>
                <w:sz w:val="15"/>
              </w:rPr>
              <w:t>All</w:t>
            </w:r>
          </w:p>
        </w:tc>
        <w:tc>
          <w:tcPr>
            <w:tcW w:type="dxa" w:w="1872"/>
          </w:tcPr>
          <w:p>
            <w:pPr>
              <w:spacing w:line="240" w:lineRule="auto" w:after="0"/>
            </w:pPr>
            <w:r>
              <w:rPr>
                <w:rFonts w:ascii="Times New Roman" w:hAnsi="Times New Roman"/>
                <w:sz w:val="15"/>
              </w:rPr>
            </w:r>
            <w:r>
              <w:rPr>
                <w:rFonts w:ascii="Times New Roman" w:hAnsi="Times New Roman"/>
                <w:b/>
                <w:sz w:val="15"/>
              </w:rPr>
              <w:t>725</w:t>
            </w:r>
          </w:p>
        </w:tc>
        <w:tc>
          <w:tcPr>
            <w:tcW w:type="dxa" w:w="1872"/>
          </w:tcPr>
          <w:p>
            <w:pPr>
              <w:spacing w:line="240" w:lineRule="auto" w:after="0"/>
            </w:pPr>
            <w:r>
              <w:rPr>
                <w:rFonts w:ascii="Times New Roman" w:hAnsi="Times New Roman"/>
                <w:sz w:val="15"/>
              </w:rPr>
            </w:r>
            <w:r>
              <w:rPr>
                <w:rFonts w:ascii="Times New Roman" w:hAnsi="Times New Roman"/>
                <w:b/>
                <w:sz w:val="15"/>
              </w:rPr>
              <w:t>297</w:t>
            </w:r>
          </w:p>
        </w:tc>
        <w:tc>
          <w:tcPr>
            <w:tcW w:type="dxa" w:w="1872"/>
          </w:tcPr>
          <w:p>
            <w:pPr>
              <w:spacing w:line="240" w:lineRule="auto" w:after="0"/>
            </w:pPr>
            <w:r>
              <w:rPr>
                <w:rFonts w:ascii="Times New Roman" w:hAnsi="Times New Roman"/>
                <w:sz w:val="15"/>
              </w:rPr>
            </w:r>
            <w:r>
              <w:rPr>
                <w:rFonts w:ascii="Times New Roman" w:hAnsi="Times New Roman"/>
                <w:b/>
                <w:sz w:val="15"/>
              </w:rPr>
              <w:t>428</w:t>
            </w:r>
          </w:p>
        </w:tc>
        <w:tc>
          <w:tcPr>
            <w:tcW w:type="dxa" w:w="1872"/>
          </w:tcPr>
          <w:p>
            <w:pPr>
              <w:spacing w:line="240" w:lineRule="auto" w:after="0"/>
            </w:pPr>
            <w:r>
              <w:rPr>
                <w:rFonts w:ascii="Times New Roman" w:hAnsi="Times New Roman"/>
                <w:sz w:val="15"/>
              </w:rPr>
            </w:r>
            <w:r>
              <w:rPr>
                <w:rFonts w:ascii="Times New Roman" w:hAnsi="Times New Roman"/>
                <w:b/>
                <w:sz w:val="15"/>
              </w:rPr>
              <w:t>41.0%</w:t>
            </w:r>
          </w:p>
        </w:tc>
      </w:tr>
    </w:tbl>
    <w:p/>
    <w:p>
      <w:pPr>
        <w:jc w:val="left"/>
      </w:pPr>
      <w:r>
        <w:t>In the lowest stratum a majority of unascertainable patients had gone home, and the benign reading is defensible. In the top stratum three-quarters were still in hospital without further renal testing, and no such reading is available: testing may have stopped because the clinician judged the kidney to be out of danger, or because attention had moved to a sicker problem, and these data cannot distinguish them. δ ≥ 0.23 is therefore a weaker safeguard than we previously claimed. What limits the damage is not the discharge argument but Section 12b: the effect estimate is stable across the full range of censoring assumptions, from non-informative censoring to treating every censoring event as a competing risk.</w:t>
      </w:r>
    </w:p>
    <w:p>
      <w:pPr>
        <w:jc w:val="left"/>
      </w:pPr>
      <w:r>
        <w:t>This analysis still explores only a single common-δ mechanism, and it cannot exclude stratum-specific hidden risk, which is a different and untested scenario, and one that the gradient in the table above makes more plausible rather than less.</w:t>
      </w:r>
    </w:p>
    <w:p>
      <w:pPr>
        <w:pStyle w:val="Heading3"/>
        <w:keepNext/>
        <w:spacing w:line="276" w:lineRule="auto" w:before="200" w:after="80"/>
      </w:pPr>
      <w:r>
        <w:rPr>
          <w:rFonts w:ascii="Times New Roman" w:hAnsi="Times New Roman"/>
          <w:color w:val="000000"/>
        </w:rPr>
        <w:t>12. Alternative exposure definitions</w:t>
      </w:r>
    </w:p>
    <w:p>
      <w:pPr>
        <w:jc w:val="left"/>
      </w:pPr>
      <w:r>
        <w:t>Top-stratum odds ratios for newly detected AKI under exposure definitions with differing measurement opportunity.</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rPr>
          <w:tblHeader w:val="true"/>
          <w:cantSplit/>
        </w:trPr>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Exposure definition</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n</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Events</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Top-stratum OR</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95% CI</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P</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Peak within 24 h (primary)</w:t>
            </w:r>
          </w:p>
        </w:tc>
        <w:tc>
          <w:tcPr>
            <w:tcW w:type="dxa" w:w="1560"/>
          </w:tcPr>
          <w:p>
            <w:pPr>
              <w:spacing w:line="240" w:lineRule="auto" w:after="0"/>
            </w:pPr>
            <w:r>
              <w:rPr>
                <w:rFonts w:ascii="Times New Roman" w:hAnsi="Times New Roman"/>
                <w:sz w:val="15"/>
              </w:rPr>
            </w:r>
            <w:r>
              <w:rPr>
                <w:rFonts w:ascii="Times New Roman" w:hAnsi="Times New Roman"/>
                <w:sz w:val="15"/>
              </w:rPr>
              <w:t>1,834</w:t>
            </w:r>
          </w:p>
        </w:tc>
        <w:tc>
          <w:tcPr>
            <w:tcW w:type="dxa" w:w="1560"/>
          </w:tcPr>
          <w:p>
            <w:pPr>
              <w:spacing w:line="240" w:lineRule="auto" w:after="0"/>
            </w:pPr>
            <w:r>
              <w:rPr>
                <w:rFonts w:ascii="Times New Roman" w:hAnsi="Times New Roman"/>
                <w:sz w:val="15"/>
              </w:rPr>
            </w:r>
            <w:r>
              <w:rPr>
                <w:rFonts w:ascii="Times New Roman" w:hAnsi="Times New Roman"/>
                <w:sz w:val="15"/>
              </w:rPr>
              <w:t>196</w:t>
            </w:r>
          </w:p>
        </w:tc>
        <w:tc>
          <w:tcPr>
            <w:tcW w:type="dxa" w:w="1560"/>
          </w:tcPr>
          <w:p>
            <w:pPr>
              <w:spacing w:line="240" w:lineRule="auto" w:after="0"/>
            </w:pPr>
            <w:r>
              <w:rPr>
                <w:rFonts w:ascii="Times New Roman" w:hAnsi="Times New Roman"/>
                <w:sz w:val="15"/>
              </w:rPr>
            </w:r>
            <w:r>
              <w:rPr>
                <w:rFonts w:ascii="Times New Roman" w:hAnsi="Times New Roman"/>
                <w:sz w:val="15"/>
              </w:rPr>
              <w:t>2.18</w:t>
            </w:r>
          </w:p>
        </w:tc>
        <w:tc>
          <w:tcPr>
            <w:tcW w:type="dxa" w:w="1560"/>
          </w:tcPr>
          <w:p>
            <w:pPr>
              <w:spacing w:line="240" w:lineRule="auto" w:after="0"/>
            </w:pPr>
            <w:r>
              <w:rPr>
                <w:rFonts w:ascii="Times New Roman" w:hAnsi="Times New Roman"/>
                <w:sz w:val="15"/>
              </w:rPr>
            </w:r>
            <w:r>
              <w:rPr>
                <w:rFonts w:ascii="Times New Roman" w:hAnsi="Times New Roman"/>
                <w:sz w:val="15"/>
              </w:rPr>
              <w:t>1.16–4.07</w:t>
            </w:r>
          </w:p>
        </w:tc>
        <w:tc>
          <w:tcPr>
            <w:tcW w:type="dxa" w:w="1560"/>
          </w:tcPr>
          <w:p>
            <w:pPr>
              <w:spacing w:line="240" w:lineRule="auto" w:after="0"/>
            </w:pPr>
            <w:r>
              <w:rPr>
                <w:rFonts w:ascii="Times New Roman" w:hAnsi="Times New Roman"/>
                <w:sz w:val="15"/>
              </w:rPr>
            </w:r>
            <w:r>
              <w:rPr>
                <w:rFonts w:ascii="Times New Roman" w:hAnsi="Times New Roman"/>
                <w:sz w:val="15"/>
              </w:rPr>
              <w:t>0.015</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Peak within 12 h</w:t>
            </w:r>
          </w:p>
        </w:tc>
        <w:tc>
          <w:tcPr>
            <w:tcW w:type="dxa" w:w="1560"/>
          </w:tcPr>
          <w:p>
            <w:pPr>
              <w:spacing w:line="240" w:lineRule="auto" w:after="0"/>
            </w:pPr>
            <w:r>
              <w:rPr>
                <w:rFonts w:ascii="Times New Roman" w:hAnsi="Times New Roman"/>
                <w:sz w:val="15"/>
              </w:rPr>
            </w:r>
            <w:r>
              <w:rPr>
                <w:rFonts w:ascii="Times New Roman" w:hAnsi="Times New Roman"/>
                <w:sz w:val="15"/>
              </w:rPr>
              <w:t>1,834</w:t>
            </w:r>
          </w:p>
        </w:tc>
        <w:tc>
          <w:tcPr>
            <w:tcW w:type="dxa" w:w="1560"/>
          </w:tcPr>
          <w:p>
            <w:pPr>
              <w:spacing w:line="240" w:lineRule="auto" w:after="0"/>
            </w:pPr>
            <w:r>
              <w:rPr>
                <w:rFonts w:ascii="Times New Roman" w:hAnsi="Times New Roman"/>
                <w:sz w:val="15"/>
              </w:rPr>
            </w:r>
            <w:r>
              <w:rPr>
                <w:rFonts w:ascii="Times New Roman" w:hAnsi="Times New Roman"/>
                <w:sz w:val="15"/>
              </w:rPr>
              <w:t>196</w:t>
            </w:r>
          </w:p>
        </w:tc>
        <w:tc>
          <w:tcPr>
            <w:tcW w:type="dxa" w:w="1560"/>
          </w:tcPr>
          <w:p>
            <w:pPr>
              <w:spacing w:line="240" w:lineRule="auto" w:after="0"/>
            </w:pPr>
            <w:r>
              <w:rPr>
                <w:rFonts w:ascii="Times New Roman" w:hAnsi="Times New Roman"/>
                <w:sz w:val="15"/>
              </w:rPr>
            </w:r>
            <w:r>
              <w:rPr>
                <w:rFonts w:ascii="Times New Roman" w:hAnsi="Times New Roman"/>
                <w:sz w:val="15"/>
              </w:rPr>
              <w:t>2.43</w:t>
            </w:r>
          </w:p>
        </w:tc>
        <w:tc>
          <w:tcPr>
            <w:tcW w:type="dxa" w:w="1560"/>
          </w:tcPr>
          <w:p>
            <w:pPr>
              <w:spacing w:line="240" w:lineRule="auto" w:after="0"/>
            </w:pPr>
            <w:r>
              <w:rPr>
                <w:rFonts w:ascii="Times New Roman" w:hAnsi="Times New Roman"/>
                <w:sz w:val="15"/>
              </w:rPr>
            </w:r>
            <w:r>
              <w:rPr>
                <w:rFonts w:ascii="Times New Roman" w:hAnsi="Times New Roman"/>
                <w:sz w:val="15"/>
              </w:rPr>
              <w:t>1.25–4.69</w:t>
            </w:r>
          </w:p>
        </w:tc>
        <w:tc>
          <w:tcPr>
            <w:tcW w:type="dxa" w:w="1560"/>
          </w:tcPr>
          <w:p>
            <w:pPr>
              <w:spacing w:line="240" w:lineRule="auto" w:after="0"/>
            </w:pPr>
            <w:r>
              <w:rPr>
                <w:rFonts w:ascii="Times New Roman" w:hAnsi="Times New Roman"/>
                <w:sz w:val="15"/>
              </w:rPr>
            </w:r>
            <w:r>
              <w:rPr>
                <w:rFonts w:ascii="Times New Roman" w:hAnsi="Times New Roman"/>
                <w:sz w:val="15"/>
              </w:rPr>
              <w:t>0.009</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Peak within 6 h</w:t>
            </w:r>
          </w:p>
        </w:tc>
        <w:tc>
          <w:tcPr>
            <w:tcW w:type="dxa" w:w="1560"/>
          </w:tcPr>
          <w:p>
            <w:pPr>
              <w:spacing w:line="240" w:lineRule="auto" w:after="0"/>
            </w:pPr>
            <w:r>
              <w:rPr>
                <w:rFonts w:ascii="Times New Roman" w:hAnsi="Times New Roman"/>
                <w:sz w:val="15"/>
              </w:rPr>
            </w:r>
            <w:r>
              <w:rPr>
                <w:rFonts w:ascii="Times New Roman" w:hAnsi="Times New Roman"/>
                <w:sz w:val="15"/>
              </w:rPr>
              <w:t>1,833</w:t>
            </w:r>
          </w:p>
        </w:tc>
        <w:tc>
          <w:tcPr>
            <w:tcW w:type="dxa" w:w="1560"/>
          </w:tcPr>
          <w:p>
            <w:pPr>
              <w:spacing w:line="240" w:lineRule="auto" w:after="0"/>
            </w:pPr>
            <w:r>
              <w:rPr>
                <w:rFonts w:ascii="Times New Roman" w:hAnsi="Times New Roman"/>
                <w:sz w:val="15"/>
              </w:rPr>
            </w:r>
            <w:r>
              <w:rPr>
                <w:rFonts w:ascii="Times New Roman" w:hAnsi="Times New Roman"/>
                <w:sz w:val="15"/>
              </w:rPr>
              <w:t>196</w:t>
            </w:r>
          </w:p>
        </w:tc>
        <w:tc>
          <w:tcPr>
            <w:tcW w:type="dxa" w:w="1560"/>
          </w:tcPr>
          <w:p>
            <w:pPr>
              <w:spacing w:line="240" w:lineRule="auto" w:after="0"/>
            </w:pPr>
            <w:r>
              <w:rPr>
                <w:rFonts w:ascii="Times New Roman" w:hAnsi="Times New Roman"/>
                <w:sz w:val="15"/>
              </w:rPr>
            </w:r>
            <w:r>
              <w:rPr>
                <w:rFonts w:ascii="Times New Roman" w:hAnsi="Times New Roman"/>
                <w:sz w:val="15"/>
              </w:rPr>
              <w:t>1.98</w:t>
            </w:r>
          </w:p>
        </w:tc>
        <w:tc>
          <w:tcPr>
            <w:tcW w:type="dxa" w:w="1560"/>
          </w:tcPr>
          <w:p>
            <w:pPr>
              <w:spacing w:line="240" w:lineRule="auto" w:after="0"/>
            </w:pPr>
            <w:r>
              <w:rPr>
                <w:rFonts w:ascii="Times New Roman" w:hAnsi="Times New Roman"/>
                <w:sz w:val="15"/>
              </w:rPr>
            </w:r>
            <w:r>
              <w:rPr>
                <w:rFonts w:ascii="Times New Roman" w:hAnsi="Times New Roman"/>
                <w:sz w:val="15"/>
              </w:rPr>
              <w:t>0.77–5.07</w:t>
            </w:r>
          </w:p>
        </w:tc>
        <w:tc>
          <w:tcPr>
            <w:tcW w:type="dxa" w:w="1560"/>
          </w:tcPr>
          <w:p>
            <w:pPr>
              <w:spacing w:line="240" w:lineRule="auto" w:after="0"/>
            </w:pPr>
            <w:r>
              <w:rPr>
                <w:rFonts w:ascii="Times New Roman" w:hAnsi="Times New Roman"/>
                <w:sz w:val="15"/>
              </w:rPr>
            </w:r>
            <w:r>
              <w:rPr>
                <w:rFonts w:ascii="Times New Roman" w:hAnsi="Times New Roman"/>
                <w:sz w:val="15"/>
              </w:rPr>
              <w:t>0.156</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First value after the time origin</w:t>
            </w:r>
          </w:p>
        </w:tc>
        <w:tc>
          <w:tcPr>
            <w:tcW w:type="dxa" w:w="1560"/>
          </w:tcPr>
          <w:p>
            <w:pPr>
              <w:spacing w:line="240" w:lineRule="auto" w:after="0"/>
            </w:pPr>
            <w:r>
              <w:rPr>
                <w:rFonts w:ascii="Times New Roman" w:hAnsi="Times New Roman"/>
                <w:sz w:val="15"/>
              </w:rPr>
            </w:r>
            <w:r>
              <w:rPr>
                <w:rFonts w:ascii="Times New Roman" w:hAnsi="Times New Roman"/>
                <w:sz w:val="15"/>
              </w:rPr>
              <w:t>1,834</w:t>
            </w:r>
          </w:p>
        </w:tc>
        <w:tc>
          <w:tcPr>
            <w:tcW w:type="dxa" w:w="1560"/>
          </w:tcPr>
          <w:p>
            <w:pPr>
              <w:spacing w:line="240" w:lineRule="auto" w:after="0"/>
            </w:pPr>
            <w:r>
              <w:rPr>
                <w:rFonts w:ascii="Times New Roman" w:hAnsi="Times New Roman"/>
                <w:sz w:val="15"/>
              </w:rPr>
            </w:r>
            <w:r>
              <w:rPr>
                <w:rFonts w:ascii="Times New Roman" w:hAnsi="Times New Roman"/>
                <w:sz w:val="15"/>
              </w:rPr>
              <w:t>196</w:t>
            </w:r>
          </w:p>
        </w:tc>
        <w:tc>
          <w:tcPr>
            <w:tcW w:type="dxa" w:w="1560"/>
          </w:tcPr>
          <w:p>
            <w:pPr>
              <w:spacing w:line="240" w:lineRule="auto" w:after="0"/>
            </w:pPr>
            <w:r>
              <w:rPr>
                <w:rFonts w:ascii="Times New Roman" w:hAnsi="Times New Roman"/>
                <w:sz w:val="15"/>
              </w:rPr>
            </w:r>
            <w:r>
              <w:rPr>
                <w:rFonts w:ascii="Times New Roman" w:hAnsi="Times New Roman"/>
                <w:sz w:val="15"/>
              </w:rPr>
              <w:t>2.22</w:t>
            </w:r>
          </w:p>
        </w:tc>
        <w:tc>
          <w:tcPr>
            <w:tcW w:type="dxa" w:w="1560"/>
          </w:tcPr>
          <w:p>
            <w:pPr>
              <w:spacing w:line="240" w:lineRule="auto" w:after="0"/>
            </w:pPr>
            <w:r>
              <w:rPr>
                <w:rFonts w:ascii="Times New Roman" w:hAnsi="Times New Roman"/>
                <w:sz w:val="15"/>
              </w:rPr>
            </w:r>
            <w:r>
              <w:rPr>
                <w:rFonts w:ascii="Times New Roman" w:hAnsi="Times New Roman"/>
                <w:sz w:val="15"/>
              </w:rPr>
              <w:t>0.43–11.54</w:t>
            </w:r>
          </w:p>
        </w:tc>
        <w:tc>
          <w:tcPr>
            <w:tcW w:type="dxa" w:w="1560"/>
          </w:tcPr>
          <w:p>
            <w:pPr>
              <w:spacing w:line="240" w:lineRule="auto" w:after="0"/>
            </w:pPr>
            <w:r>
              <w:rPr>
                <w:rFonts w:ascii="Times New Roman" w:hAnsi="Times New Roman"/>
                <w:sz w:val="15"/>
              </w:rPr>
            </w:r>
            <w:r>
              <w:rPr>
                <w:rFonts w:ascii="Times New Roman" w:hAnsi="Times New Roman"/>
                <w:sz w:val="15"/>
              </w:rPr>
              <w:t>0.342</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Peak within 24 h, restricted to 4–9 lactate results</w:t>
            </w:r>
          </w:p>
        </w:tc>
        <w:tc>
          <w:tcPr>
            <w:tcW w:type="dxa" w:w="1560"/>
          </w:tcPr>
          <w:p>
            <w:pPr>
              <w:spacing w:line="240" w:lineRule="auto" w:after="0"/>
            </w:pPr>
            <w:r>
              <w:rPr>
                <w:rFonts w:ascii="Times New Roman" w:hAnsi="Times New Roman"/>
                <w:sz w:val="15"/>
              </w:rPr>
            </w:r>
            <w:r>
              <w:rPr>
                <w:rFonts w:ascii="Times New Roman" w:hAnsi="Times New Roman"/>
                <w:sz w:val="15"/>
              </w:rPr>
              <w:t>869</w:t>
            </w:r>
          </w:p>
        </w:tc>
        <w:tc>
          <w:tcPr>
            <w:tcW w:type="dxa" w:w="1560"/>
          </w:tcPr>
          <w:p>
            <w:pPr>
              <w:spacing w:line="240" w:lineRule="auto" w:after="0"/>
            </w:pPr>
            <w:r>
              <w:rPr>
                <w:rFonts w:ascii="Times New Roman" w:hAnsi="Times New Roman"/>
                <w:sz w:val="15"/>
              </w:rPr>
            </w:r>
            <w:r>
              <w:rPr>
                <w:rFonts w:ascii="Times New Roman" w:hAnsi="Times New Roman"/>
                <w:sz w:val="15"/>
              </w:rPr>
              <w:t>71</w:t>
            </w:r>
          </w:p>
        </w:tc>
        <w:tc>
          <w:tcPr>
            <w:tcW w:type="dxa" w:w="1560"/>
          </w:tcPr>
          <w:p>
            <w:pPr>
              <w:spacing w:line="240" w:lineRule="auto" w:after="0"/>
            </w:pPr>
            <w:r>
              <w:rPr>
                <w:rFonts w:ascii="Times New Roman" w:hAnsi="Times New Roman"/>
                <w:sz w:val="15"/>
              </w:rPr>
            </w:r>
            <w:r>
              <w:rPr>
                <w:rFonts w:ascii="Times New Roman" w:hAnsi="Times New Roman"/>
                <w:sz w:val="15"/>
              </w:rPr>
              <w:t>6.98</w:t>
            </w:r>
          </w:p>
        </w:tc>
        <w:tc>
          <w:tcPr>
            <w:tcW w:type="dxa" w:w="1560"/>
          </w:tcPr>
          <w:p>
            <w:pPr>
              <w:spacing w:line="240" w:lineRule="auto" w:after="0"/>
            </w:pPr>
            <w:r>
              <w:rPr>
                <w:rFonts w:ascii="Times New Roman" w:hAnsi="Times New Roman"/>
                <w:sz w:val="15"/>
              </w:rPr>
            </w:r>
            <w:r>
              <w:rPr>
                <w:rFonts w:ascii="Times New Roman" w:hAnsi="Times New Roman"/>
                <w:sz w:val="15"/>
              </w:rPr>
              <w:t>2.00–24.33</w:t>
            </w:r>
          </w:p>
        </w:tc>
        <w:tc>
          <w:tcPr>
            <w:tcW w:type="dxa" w:w="1560"/>
          </w:tcPr>
          <w:p>
            <w:pPr>
              <w:spacing w:line="240" w:lineRule="auto" w:after="0"/>
            </w:pPr>
            <w:r>
              <w:rPr>
                <w:rFonts w:ascii="Times New Roman" w:hAnsi="Times New Roman"/>
                <w:sz w:val="15"/>
              </w:rPr>
            </w:r>
            <w:r>
              <w:rPr>
                <w:rFonts w:ascii="Times New Roman" w:hAnsi="Times New Roman"/>
                <w:sz w:val="15"/>
              </w:rPr>
              <w:t>0.002</w:t>
            </w:r>
          </w:p>
        </w:tc>
      </w:tr>
    </w:tbl>
    <w:p/>
    <w:p>
      <w:pPr>
        <w:jc w:val="left"/>
      </w:pPr>
      <w:r>
        <w:t>Point estimates are consistently above 1, and restricting to patients with comparable measurement opportunity did not remove the association. But intervals are wide and two include 1, so the association is not uniformly demonstrated across definitions and measurement intensity cannot be excluded as a contributing explanation. The final row rests on 71 events and its interval spans an order of magnitude; it should not be read as evidence of a larger effect.</w:t>
      </w:r>
    </w:p>
    <w:p>
      <w:pPr>
        <w:pStyle w:val="Heading2"/>
        <w:keepNext/>
        <w:spacing w:line="276" w:lineRule="auto" w:before="200" w:after="80"/>
      </w:pPr>
      <w:r>
        <w:rPr>
          <w:rFonts w:ascii="Times New Roman" w:hAnsi="Times New Roman"/>
          <w:color w:val="000000"/>
        </w:rPr>
        <w:t>12a. Exposures that do not take a maximum: time-weighted average and lactate load</w:t>
      </w:r>
    </w:p>
    <w:p>
      <w:pPr>
        <w:jc w:val="left"/>
      </w:pPr>
      <w:r>
        <w:t xml:space="preserve">A peak is an order statistic, so adding a draw can only raise it. In this cohort the number of draws rises from a median of 3 in the lowest lactate stratum to 10 in the highest, which makes measurement opportunity a mechanical component of the published exposure. Section 12 varied the </w:t>
      </w:r>
      <w:r>
        <w:rPr>
          <w:i/>
        </w:rPr>
        <w:t>window</w:t>
      </w:r>
      <w:r>
        <w:t xml:space="preserve">; this section varies the </w:t>
      </w:r>
      <w:r>
        <w:rPr>
          <w:i/>
        </w:rPr>
        <w:t>summary</w:t>
      </w:r>
      <w:r>
        <w:t>, replacing the maximum with two quantities that do not have this property.</w:t>
      </w:r>
    </w:p>
    <w:p>
      <w:pPr>
        <w:jc w:val="left"/>
      </w:pPr>
      <w:r>
        <w:t>Both are computed on the same 0–24 h window and the same CPB clock as the published exposure:</w:t>
      </w:r>
    </w:p>
    <w:p>
      <w:pPr>
        <w:pStyle w:val="ListBullet"/>
        <w:spacing w:line="360" w:lineRule="auto"/>
      </w:pPr>
      <w:r>
        <w:rPr>
          <w:b/>
        </w:rPr>
        <w:t>Time-weighted average (TWA).</w:t>
      </w:r>
      <w:r>
        <w:t xml:space="preserve"> The integral of the lactate curve over the window, divided by 24 hours. Integration uses a step function that holds each value until the next draw, so no intermediate value is invented; a trapezoidal variant is computed alongside as a check.</w:t>
      </w:r>
    </w:p>
    <w:p>
      <w:pPr>
        <w:pStyle w:val="ListBullet"/>
        <w:spacing w:line="360" w:lineRule="auto"/>
      </w:pPr>
      <w:r>
        <w:rPr>
          <w:b/>
        </w:rPr>
        <w:t>Lactate load.</w:t>
      </w:r>
      <w:r>
        <w:t xml:space="preserve"> The integral of (lactate − 2.0) over the region where lactate exceeds 2.0 mmol/L, following the normalised lactate load of Zhang and Ni (reference [8]). It is zero for the 815 patients (34.5%) who never crossed the threshold.</w:t>
      </w:r>
    </w:p>
    <w:p>
      <w:pPr>
        <w:jc w:val="left"/>
      </w:pPr>
      <w:r>
        <w:t>The recomputed peak and draw count reproduce the published exposure exactly (maximum absolute difference 0 for both), so the three exposures differ only in how the same values are summarised.</w:t>
      </w:r>
    </w:p>
    <w:p>
      <w:pPr>
        <w:pStyle w:val="Heading3"/>
        <w:keepNext/>
        <w:spacing w:line="276" w:lineRule="auto" w:before="200" w:after="80"/>
      </w:pPr>
      <w:r>
        <w:rPr>
          <w:rFonts w:ascii="Times New Roman" w:hAnsi="Times New Roman"/>
          <w:color w:val="000000"/>
        </w:rPr>
        <w:t>12a.1 How much of the window is observed rather than carried</w:t>
      </w:r>
    </w:p>
    <w:p>
      <w:pPr>
        <w:jc w:val="left"/>
      </w:pPr>
      <w:r>
        <w:t>This is the cost of the change and it should be read before the estimates. Values are carried backwards to the start of the window and forwards to its end, so a patient with one draw is assigned that value across all 24 hours.</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rPr>
          <w:tblHeader w:val="true"/>
          <w:cantSplit/>
        </w:trPr>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Draws in window</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Patients</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Median hours carried</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Median observed span, h</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Median step vs trapezoid difference</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Maximum</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1</w:t>
            </w:r>
          </w:p>
        </w:tc>
        <w:tc>
          <w:tcPr>
            <w:tcW w:type="dxa" w:w="1560"/>
          </w:tcPr>
          <w:p>
            <w:pPr>
              <w:spacing w:line="240" w:lineRule="auto" w:after="0"/>
            </w:pPr>
            <w:r>
              <w:rPr>
                <w:rFonts w:ascii="Times New Roman" w:hAnsi="Times New Roman"/>
                <w:sz w:val="15"/>
              </w:rPr>
            </w:r>
            <w:r>
              <w:rPr>
                <w:rFonts w:ascii="Times New Roman" w:hAnsi="Times New Roman"/>
                <w:sz w:val="15"/>
              </w:rPr>
              <w:t>277</w:t>
            </w:r>
          </w:p>
        </w:tc>
        <w:tc>
          <w:tcPr>
            <w:tcW w:type="dxa" w:w="1560"/>
          </w:tcPr>
          <w:p>
            <w:pPr>
              <w:spacing w:line="240" w:lineRule="auto" w:after="0"/>
            </w:pPr>
            <w:r>
              <w:rPr>
                <w:rFonts w:ascii="Times New Roman" w:hAnsi="Times New Roman"/>
                <w:sz w:val="15"/>
              </w:rPr>
            </w:r>
            <w:r>
              <w:rPr>
                <w:rFonts w:ascii="Times New Roman" w:hAnsi="Times New Roman"/>
                <w:sz w:val="15"/>
              </w:rPr>
              <w:t>24.00</w:t>
            </w:r>
          </w:p>
        </w:tc>
        <w:tc>
          <w:tcPr>
            <w:tcW w:type="dxa" w:w="1560"/>
          </w:tcPr>
          <w:p>
            <w:pPr>
              <w:spacing w:line="240" w:lineRule="auto" w:after="0"/>
            </w:pPr>
            <w:r>
              <w:rPr>
                <w:rFonts w:ascii="Times New Roman" w:hAnsi="Times New Roman"/>
                <w:sz w:val="15"/>
              </w:rPr>
            </w:r>
            <w:r>
              <w:rPr>
                <w:rFonts w:ascii="Times New Roman" w:hAnsi="Times New Roman"/>
                <w:sz w:val="15"/>
              </w:rPr>
              <w:t>0.00</w:t>
            </w:r>
          </w:p>
        </w:tc>
        <w:tc>
          <w:tcPr>
            <w:tcW w:type="dxa" w:w="1560"/>
          </w:tcPr>
          <w:p>
            <w:pPr>
              <w:spacing w:line="240" w:lineRule="auto" w:after="0"/>
            </w:pPr>
            <w:r>
              <w:rPr>
                <w:rFonts w:ascii="Times New Roman" w:hAnsi="Times New Roman"/>
                <w:sz w:val="15"/>
              </w:rPr>
            </w:r>
            <w:r>
              <w:rPr>
                <w:rFonts w:ascii="Times New Roman" w:hAnsi="Times New Roman"/>
                <w:sz w:val="15"/>
              </w:rPr>
              <w:t>0.0%</w:t>
            </w:r>
          </w:p>
        </w:tc>
        <w:tc>
          <w:tcPr>
            <w:tcW w:type="dxa" w:w="1560"/>
          </w:tcPr>
          <w:p>
            <w:pPr>
              <w:spacing w:line="240" w:lineRule="auto" w:after="0"/>
            </w:pPr>
            <w:r>
              <w:rPr>
                <w:rFonts w:ascii="Times New Roman" w:hAnsi="Times New Roman"/>
                <w:sz w:val="15"/>
              </w:rPr>
            </w:r>
            <w:r>
              <w:rPr>
                <w:rFonts w:ascii="Times New Roman" w:hAnsi="Times New Roman"/>
                <w:sz w:val="15"/>
              </w:rPr>
              <w:t>0.0%</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2</w:t>
            </w:r>
          </w:p>
        </w:tc>
        <w:tc>
          <w:tcPr>
            <w:tcW w:type="dxa" w:w="1560"/>
          </w:tcPr>
          <w:p>
            <w:pPr>
              <w:spacing w:line="240" w:lineRule="auto" w:after="0"/>
            </w:pPr>
            <w:r>
              <w:rPr>
                <w:rFonts w:ascii="Times New Roman" w:hAnsi="Times New Roman"/>
                <w:sz w:val="15"/>
              </w:rPr>
            </w:r>
            <w:r>
              <w:rPr>
                <w:rFonts w:ascii="Times New Roman" w:hAnsi="Times New Roman"/>
                <w:sz w:val="15"/>
              </w:rPr>
              <w:t>337</w:t>
            </w:r>
          </w:p>
        </w:tc>
        <w:tc>
          <w:tcPr>
            <w:tcW w:type="dxa" w:w="1560"/>
          </w:tcPr>
          <w:p>
            <w:pPr>
              <w:spacing w:line="240" w:lineRule="auto" w:after="0"/>
            </w:pPr>
            <w:r>
              <w:rPr>
                <w:rFonts w:ascii="Times New Roman" w:hAnsi="Times New Roman"/>
                <w:sz w:val="15"/>
              </w:rPr>
            </w:r>
            <w:r>
              <w:rPr>
                <w:rFonts w:ascii="Times New Roman" w:hAnsi="Times New Roman"/>
                <w:sz w:val="15"/>
              </w:rPr>
              <w:t>23.08</w:t>
            </w:r>
          </w:p>
        </w:tc>
        <w:tc>
          <w:tcPr>
            <w:tcW w:type="dxa" w:w="1560"/>
          </w:tcPr>
          <w:p>
            <w:pPr>
              <w:spacing w:line="240" w:lineRule="auto" w:after="0"/>
            </w:pPr>
            <w:r>
              <w:rPr>
                <w:rFonts w:ascii="Times New Roman" w:hAnsi="Times New Roman"/>
                <w:sz w:val="15"/>
              </w:rPr>
            </w:r>
            <w:r>
              <w:rPr>
                <w:rFonts w:ascii="Times New Roman" w:hAnsi="Times New Roman"/>
                <w:sz w:val="15"/>
              </w:rPr>
              <w:t>0.92</w:t>
            </w:r>
          </w:p>
        </w:tc>
        <w:tc>
          <w:tcPr>
            <w:tcW w:type="dxa" w:w="1560"/>
          </w:tcPr>
          <w:p>
            <w:pPr>
              <w:spacing w:line="240" w:lineRule="auto" w:after="0"/>
            </w:pPr>
            <w:r>
              <w:rPr>
                <w:rFonts w:ascii="Times New Roman" w:hAnsi="Times New Roman"/>
                <w:sz w:val="15"/>
              </w:rPr>
            </w:r>
            <w:r>
              <w:rPr>
                <w:rFonts w:ascii="Times New Roman" w:hAnsi="Times New Roman"/>
                <w:sz w:val="15"/>
              </w:rPr>
              <w:t>0.3%</w:t>
            </w:r>
          </w:p>
        </w:tc>
        <w:tc>
          <w:tcPr>
            <w:tcW w:type="dxa" w:w="1560"/>
          </w:tcPr>
          <w:p>
            <w:pPr>
              <w:spacing w:line="240" w:lineRule="auto" w:after="0"/>
            </w:pPr>
            <w:r>
              <w:rPr>
                <w:rFonts w:ascii="Times New Roman" w:hAnsi="Times New Roman"/>
                <w:sz w:val="15"/>
              </w:rPr>
            </w:r>
            <w:r>
              <w:rPr>
                <w:rFonts w:ascii="Times New Roman" w:hAnsi="Times New Roman"/>
                <w:sz w:val="15"/>
              </w:rPr>
              <w:t>36.6%</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3–4</w:t>
            </w:r>
          </w:p>
        </w:tc>
        <w:tc>
          <w:tcPr>
            <w:tcW w:type="dxa" w:w="1560"/>
          </w:tcPr>
          <w:p>
            <w:pPr>
              <w:spacing w:line="240" w:lineRule="auto" w:after="0"/>
            </w:pPr>
            <w:r>
              <w:rPr>
                <w:rFonts w:ascii="Times New Roman" w:hAnsi="Times New Roman"/>
                <w:sz w:val="15"/>
              </w:rPr>
            </w:r>
            <w:r>
              <w:rPr>
                <w:rFonts w:ascii="Times New Roman" w:hAnsi="Times New Roman"/>
                <w:sz w:val="15"/>
              </w:rPr>
              <w:t>242</w:t>
            </w:r>
          </w:p>
        </w:tc>
        <w:tc>
          <w:tcPr>
            <w:tcW w:type="dxa" w:w="1560"/>
          </w:tcPr>
          <w:p>
            <w:pPr>
              <w:spacing w:line="240" w:lineRule="auto" w:after="0"/>
            </w:pPr>
            <w:r>
              <w:rPr>
                <w:rFonts w:ascii="Times New Roman" w:hAnsi="Times New Roman"/>
                <w:sz w:val="15"/>
              </w:rPr>
            </w:r>
            <w:r>
              <w:rPr>
                <w:rFonts w:ascii="Times New Roman" w:hAnsi="Times New Roman"/>
                <w:sz w:val="15"/>
              </w:rPr>
              <w:t>21.83</w:t>
            </w:r>
          </w:p>
        </w:tc>
        <w:tc>
          <w:tcPr>
            <w:tcW w:type="dxa" w:w="1560"/>
          </w:tcPr>
          <w:p>
            <w:pPr>
              <w:spacing w:line="240" w:lineRule="auto" w:after="0"/>
            </w:pPr>
            <w:r>
              <w:rPr>
                <w:rFonts w:ascii="Times New Roman" w:hAnsi="Times New Roman"/>
                <w:sz w:val="15"/>
              </w:rPr>
            </w:r>
            <w:r>
              <w:rPr>
                <w:rFonts w:ascii="Times New Roman" w:hAnsi="Times New Roman"/>
                <w:sz w:val="15"/>
              </w:rPr>
              <w:t>2.17</w:t>
            </w:r>
          </w:p>
        </w:tc>
        <w:tc>
          <w:tcPr>
            <w:tcW w:type="dxa" w:w="1560"/>
          </w:tcPr>
          <w:p>
            <w:pPr>
              <w:spacing w:line="240" w:lineRule="auto" w:after="0"/>
            </w:pPr>
            <w:r>
              <w:rPr>
                <w:rFonts w:ascii="Times New Roman" w:hAnsi="Times New Roman"/>
                <w:sz w:val="15"/>
              </w:rPr>
            </w:r>
            <w:r>
              <w:rPr>
                <w:rFonts w:ascii="Times New Roman" w:hAnsi="Times New Roman"/>
                <w:sz w:val="15"/>
              </w:rPr>
              <w:t>0.6%</w:t>
            </w:r>
          </w:p>
        </w:tc>
        <w:tc>
          <w:tcPr>
            <w:tcW w:type="dxa" w:w="1560"/>
          </w:tcPr>
          <w:p>
            <w:pPr>
              <w:spacing w:line="240" w:lineRule="auto" w:after="0"/>
            </w:pPr>
            <w:r>
              <w:rPr>
                <w:rFonts w:ascii="Times New Roman" w:hAnsi="Times New Roman"/>
                <w:sz w:val="15"/>
              </w:rPr>
            </w:r>
            <w:r>
              <w:rPr>
                <w:rFonts w:ascii="Times New Roman" w:hAnsi="Times New Roman"/>
                <w:sz w:val="15"/>
              </w:rPr>
              <w:t>204.5%</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5–9</w:t>
            </w:r>
          </w:p>
        </w:tc>
        <w:tc>
          <w:tcPr>
            <w:tcW w:type="dxa" w:w="1560"/>
          </w:tcPr>
          <w:p>
            <w:pPr>
              <w:spacing w:line="240" w:lineRule="auto" w:after="0"/>
            </w:pPr>
            <w:r>
              <w:rPr>
                <w:rFonts w:ascii="Times New Roman" w:hAnsi="Times New Roman"/>
                <w:sz w:val="15"/>
              </w:rPr>
            </w:r>
            <w:r>
              <w:rPr>
                <w:rFonts w:ascii="Times New Roman" w:hAnsi="Times New Roman"/>
                <w:sz w:val="15"/>
              </w:rPr>
              <w:t>967</w:t>
            </w:r>
          </w:p>
        </w:tc>
        <w:tc>
          <w:tcPr>
            <w:tcW w:type="dxa" w:w="1560"/>
          </w:tcPr>
          <w:p>
            <w:pPr>
              <w:spacing w:line="240" w:lineRule="auto" w:after="0"/>
            </w:pPr>
            <w:r>
              <w:rPr>
                <w:rFonts w:ascii="Times New Roman" w:hAnsi="Times New Roman"/>
                <w:sz w:val="15"/>
              </w:rPr>
            </w:r>
            <w:r>
              <w:rPr>
                <w:rFonts w:ascii="Times New Roman" w:hAnsi="Times New Roman"/>
                <w:sz w:val="15"/>
              </w:rPr>
              <w:t>5.58</w:t>
            </w:r>
          </w:p>
        </w:tc>
        <w:tc>
          <w:tcPr>
            <w:tcW w:type="dxa" w:w="1560"/>
          </w:tcPr>
          <w:p>
            <w:pPr>
              <w:spacing w:line="240" w:lineRule="auto" w:after="0"/>
            </w:pPr>
            <w:r>
              <w:rPr>
                <w:rFonts w:ascii="Times New Roman" w:hAnsi="Times New Roman"/>
                <w:sz w:val="15"/>
              </w:rPr>
            </w:r>
            <w:r>
              <w:rPr>
                <w:rFonts w:ascii="Times New Roman" w:hAnsi="Times New Roman"/>
                <w:sz w:val="15"/>
              </w:rPr>
              <w:t>18.42</w:t>
            </w:r>
          </w:p>
        </w:tc>
        <w:tc>
          <w:tcPr>
            <w:tcW w:type="dxa" w:w="1560"/>
          </w:tcPr>
          <w:p>
            <w:pPr>
              <w:spacing w:line="240" w:lineRule="auto" w:after="0"/>
            </w:pPr>
            <w:r>
              <w:rPr>
                <w:rFonts w:ascii="Times New Roman" w:hAnsi="Times New Roman"/>
                <w:sz w:val="15"/>
              </w:rPr>
            </w:r>
            <w:r>
              <w:rPr>
                <w:rFonts w:ascii="Times New Roman" w:hAnsi="Times New Roman"/>
                <w:sz w:val="15"/>
              </w:rPr>
              <w:t>5.3%</w:t>
            </w:r>
          </w:p>
        </w:tc>
        <w:tc>
          <w:tcPr>
            <w:tcW w:type="dxa" w:w="1560"/>
          </w:tcPr>
          <w:p>
            <w:pPr>
              <w:spacing w:line="240" w:lineRule="auto" w:after="0"/>
            </w:pPr>
            <w:r>
              <w:rPr>
                <w:rFonts w:ascii="Times New Roman" w:hAnsi="Times New Roman"/>
                <w:sz w:val="15"/>
              </w:rPr>
            </w:r>
            <w:r>
              <w:rPr>
                <w:rFonts w:ascii="Times New Roman" w:hAnsi="Times New Roman"/>
                <w:sz w:val="15"/>
              </w:rPr>
              <w:t>106.7%</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10+</w:t>
            </w:r>
          </w:p>
        </w:tc>
        <w:tc>
          <w:tcPr>
            <w:tcW w:type="dxa" w:w="1560"/>
          </w:tcPr>
          <w:p>
            <w:pPr>
              <w:spacing w:line="240" w:lineRule="auto" w:after="0"/>
            </w:pPr>
            <w:r>
              <w:rPr>
                <w:rFonts w:ascii="Times New Roman" w:hAnsi="Times New Roman"/>
                <w:sz w:val="15"/>
              </w:rPr>
            </w:r>
            <w:r>
              <w:rPr>
                <w:rFonts w:ascii="Times New Roman" w:hAnsi="Times New Roman"/>
                <w:sz w:val="15"/>
              </w:rPr>
              <w:t>542</w:t>
            </w:r>
          </w:p>
        </w:tc>
        <w:tc>
          <w:tcPr>
            <w:tcW w:type="dxa" w:w="1560"/>
          </w:tcPr>
          <w:p>
            <w:pPr>
              <w:spacing w:line="240" w:lineRule="auto" w:after="0"/>
            </w:pPr>
            <w:r>
              <w:rPr>
                <w:rFonts w:ascii="Times New Roman" w:hAnsi="Times New Roman"/>
                <w:sz w:val="15"/>
              </w:rPr>
            </w:r>
            <w:r>
              <w:rPr>
                <w:rFonts w:ascii="Times New Roman" w:hAnsi="Times New Roman"/>
                <w:sz w:val="15"/>
              </w:rPr>
              <w:t>2.83</w:t>
            </w:r>
          </w:p>
        </w:tc>
        <w:tc>
          <w:tcPr>
            <w:tcW w:type="dxa" w:w="1560"/>
          </w:tcPr>
          <w:p>
            <w:pPr>
              <w:spacing w:line="240" w:lineRule="auto" w:after="0"/>
            </w:pPr>
            <w:r>
              <w:rPr>
                <w:rFonts w:ascii="Times New Roman" w:hAnsi="Times New Roman"/>
                <w:sz w:val="15"/>
              </w:rPr>
            </w:r>
            <w:r>
              <w:rPr>
                <w:rFonts w:ascii="Times New Roman" w:hAnsi="Times New Roman"/>
                <w:sz w:val="15"/>
              </w:rPr>
              <w:t>21.17</w:t>
            </w:r>
          </w:p>
        </w:tc>
        <w:tc>
          <w:tcPr>
            <w:tcW w:type="dxa" w:w="1560"/>
          </w:tcPr>
          <w:p>
            <w:pPr>
              <w:spacing w:line="240" w:lineRule="auto" w:after="0"/>
            </w:pPr>
            <w:r>
              <w:rPr>
                <w:rFonts w:ascii="Times New Roman" w:hAnsi="Times New Roman"/>
                <w:sz w:val="15"/>
              </w:rPr>
            </w:r>
            <w:r>
              <w:rPr>
                <w:rFonts w:ascii="Times New Roman" w:hAnsi="Times New Roman"/>
                <w:sz w:val="15"/>
              </w:rPr>
              <w:t>3.5%</w:t>
            </w:r>
          </w:p>
        </w:tc>
        <w:tc>
          <w:tcPr>
            <w:tcW w:type="dxa" w:w="1560"/>
          </w:tcPr>
          <w:p>
            <w:pPr>
              <w:spacing w:line="240" w:lineRule="auto" w:after="0"/>
            </w:pPr>
            <w:r>
              <w:rPr>
                <w:rFonts w:ascii="Times New Roman" w:hAnsi="Times New Roman"/>
                <w:sz w:val="15"/>
              </w:rPr>
            </w:r>
            <w:r>
              <w:rPr>
                <w:rFonts w:ascii="Times New Roman" w:hAnsi="Times New Roman"/>
                <w:sz w:val="15"/>
              </w:rPr>
              <w:t>29.4%</w:t>
            </w:r>
          </w:p>
        </w:tc>
      </w:tr>
    </w:tbl>
    <w:p/>
    <w:p>
      <w:pPr>
        <w:jc w:val="left"/>
      </w:pPr>
      <w:r>
        <w:rPr>
          <w:b/>
        </w:rPr>
        <w:t>For 856 patients (36.2%) the window is almost entirely carried value rather than observation.</w:t>
      </w:r>
      <w:r>
        <w:t xml:space="preserve"> Their draws cluster in the first two hours after bypass and nothing is recorded afterwards, so their "time-weighted average over 24 hours" is a near-constant extrapolation from a couple of early samples. A time-weighted average does not escape the sampling problem; it converts a mechanical dependence on draw count into a dependence on how much of the window each patient's draws actually cover, and in the sparsely sampled group that coverage is close to zero.</w:t>
      </w:r>
    </w:p>
    <w:p>
      <w:pPr>
        <w:jc w:val="left"/>
      </w:pPr>
      <w:r>
        <w:t>The last two columns measure something different: how much the choice of interpolation rule matters between draws. It matters least where draws are sparse, because both rules then reduce to carrying the same value, and most in the middle of the sampling range where there is real between-draw structure to reconstruct. The two diagnostics should not be conflated. The carried-hours column is the one that bears on whether the exposure is trustworthy.</w:t>
      </w:r>
    </w:p>
    <w:p>
      <w:pPr>
        <w:pStyle w:val="Heading3"/>
        <w:keepNext/>
        <w:spacing w:line="276" w:lineRule="auto" w:before="200" w:after="80"/>
      </w:pPr>
      <w:r>
        <w:rPr>
          <w:rFonts w:ascii="Times New Roman" w:hAnsi="Times New Roman"/>
          <w:color w:val="000000"/>
        </w:rPr>
        <w:t>12a.2 Entanglement with sampling intensity</w:t>
      </w:r>
    </w:p>
    <w:p>
      <w:pPr>
        <w:jc w:val="left"/>
      </w:pPr>
      <w:r>
        <w:t>The relevant question is whether a non-maximum summary is less closely related to how often blood was drawn. The association was reduced by roughly half, but it remained present.</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rPr>
          <w:tblHeader w:val="true"/>
          <w:cantSplit/>
        </w:trPr>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Exposure</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Spearman ρ with draw count</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Median (IQR)</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Median draws, lowest group</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Median draws, highest group</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Ratio</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Peak lactate (published)</w:t>
            </w:r>
          </w:p>
        </w:tc>
        <w:tc>
          <w:tcPr>
            <w:tcW w:type="dxa" w:w="1560"/>
          </w:tcPr>
          <w:p>
            <w:pPr>
              <w:spacing w:line="240" w:lineRule="auto" w:after="0"/>
            </w:pPr>
            <w:r>
              <w:rPr>
                <w:rFonts w:ascii="Times New Roman" w:hAnsi="Times New Roman"/>
                <w:sz w:val="15"/>
              </w:rPr>
            </w:r>
            <w:r>
              <w:rPr>
                <w:rFonts w:ascii="Times New Roman" w:hAnsi="Times New Roman"/>
                <w:b/>
                <w:sz w:val="15"/>
              </w:rPr>
              <w:t>0.532</w:t>
            </w:r>
          </w:p>
        </w:tc>
        <w:tc>
          <w:tcPr>
            <w:tcW w:type="dxa" w:w="1560"/>
          </w:tcPr>
          <w:p>
            <w:pPr>
              <w:spacing w:line="240" w:lineRule="auto" w:after="0"/>
            </w:pPr>
            <w:r>
              <w:rPr>
                <w:rFonts w:ascii="Times New Roman" w:hAnsi="Times New Roman"/>
                <w:sz w:val="15"/>
              </w:rPr>
            </w:r>
            <w:r>
              <w:rPr>
                <w:rFonts w:ascii="Times New Roman" w:hAnsi="Times New Roman"/>
                <w:sz w:val="15"/>
              </w:rPr>
              <w:t>3.00 (1.70–5.90)</w:t>
            </w:r>
          </w:p>
        </w:tc>
        <w:tc>
          <w:tcPr>
            <w:tcW w:type="dxa" w:w="1560"/>
          </w:tcPr>
          <w:p>
            <w:pPr>
              <w:spacing w:line="240" w:lineRule="auto" w:after="0"/>
            </w:pPr>
            <w:r>
              <w:rPr>
                <w:rFonts w:ascii="Times New Roman" w:hAnsi="Times New Roman"/>
                <w:sz w:val="15"/>
              </w:rPr>
            </w:r>
            <w:r>
              <w:rPr>
                <w:rFonts w:ascii="Times New Roman" w:hAnsi="Times New Roman"/>
                <w:sz w:val="15"/>
              </w:rPr>
              <w:t>2</w:t>
            </w:r>
          </w:p>
        </w:tc>
        <w:tc>
          <w:tcPr>
            <w:tcW w:type="dxa" w:w="1560"/>
          </w:tcPr>
          <w:p>
            <w:pPr>
              <w:spacing w:line="240" w:lineRule="auto" w:after="0"/>
            </w:pPr>
            <w:r>
              <w:rPr>
                <w:rFonts w:ascii="Times New Roman" w:hAnsi="Times New Roman"/>
                <w:sz w:val="15"/>
              </w:rPr>
            </w:r>
            <w:r>
              <w:rPr>
                <w:rFonts w:ascii="Times New Roman" w:hAnsi="Times New Roman"/>
                <w:sz w:val="15"/>
              </w:rPr>
              <w:t>10</w:t>
            </w:r>
          </w:p>
        </w:tc>
        <w:tc>
          <w:tcPr>
            <w:tcW w:type="dxa" w:w="1560"/>
          </w:tcPr>
          <w:p>
            <w:pPr>
              <w:spacing w:line="240" w:lineRule="auto" w:after="0"/>
            </w:pPr>
            <w:r>
              <w:rPr>
                <w:rFonts w:ascii="Times New Roman" w:hAnsi="Times New Roman"/>
                <w:sz w:val="15"/>
              </w:rPr>
            </w:r>
            <w:r>
              <w:rPr>
                <w:rFonts w:ascii="Times New Roman" w:hAnsi="Times New Roman"/>
                <w:sz w:val="15"/>
              </w:rPr>
              <w:t>5.00</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Time-weighted average</w:t>
            </w:r>
          </w:p>
        </w:tc>
        <w:tc>
          <w:tcPr>
            <w:tcW w:type="dxa" w:w="1560"/>
          </w:tcPr>
          <w:p>
            <w:pPr>
              <w:spacing w:line="240" w:lineRule="auto" w:after="0"/>
            </w:pPr>
            <w:r>
              <w:rPr>
                <w:rFonts w:ascii="Times New Roman" w:hAnsi="Times New Roman"/>
                <w:sz w:val="15"/>
              </w:rPr>
            </w:r>
            <w:r>
              <w:rPr>
                <w:rFonts w:ascii="Times New Roman" w:hAnsi="Times New Roman"/>
                <w:b/>
                <w:sz w:val="15"/>
              </w:rPr>
              <w:t>0.363</w:t>
            </w:r>
          </w:p>
        </w:tc>
        <w:tc>
          <w:tcPr>
            <w:tcW w:type="dxa" w:w="1560"/>
          </w:tcPr>
          <w:p>
            <w:pPr>
              <w:spacing w:line="240" w:lineRule="auto" w:after="0"/>
            </w:pPr>
            <w:r>
              <w:rPr>
                <w:rFonts w:ascii="Times New Roman" w:hAnsi="Times New Roman"/>
                <w:sz w:val="15"/>
              </w:rPr>
            </w:r>
            <w:r>
              <w:rPr>
                <w:rFonts w:ascii="Times New Roman" w:hAnsi="Times New Roman"/>
                <w:sz w:val="15"/>
              </w:rPr>
              <w:t>2.04 (1.30–3.30)</w:t>
            </w:r>
          </w:p>
        </w:tc>
        <w:tc>
          <w:tcPr>
            <w:tcW w:type="dxa" w:w="1560"/>
          </w:tcPr>
          <w:p>
            <w:pPr>
              <w:spacing w:line="240" w:lineRule="auto" w:after="0"/>
            </w:pPr>
            <w:r>
              <w:rPr>
                <w:rFonts w:ascii="Times New Roman" w:hAnsi="Times New Roman"/>
                <w:sz w:val="15"/>
              </w:rPr>
            </w:r>
            <w:r>
              <w:rPr>
                <w:rFonts w:ascii="Times New Roman" w:hAnsi="Times New Roman"/>
                <w:sz w:val="15"/>
              </w:rPr>
              <w:t>3</w:t>
            </w:r>
          </w:p>
        </w:tc>
        <w:tc>
          <w:tcPr>
            <w:tcW w:type="dxa" w:w="1560"/>
          </w:tcPr>
          <w:p>
            <w:pPr>
              <w:spacing w:line="240" w:lineRule="auto" w:after="0"/>
            </w:pPr>
            <w:r>
              <w:rPr>
                <w:rFonts w:ascii="Times New Roman" w:hAnsi="Times New Roman"/>
                <w:sz w:val="15"/>
              </w:rPr>
            </w:r>
            <w:r>
              <w:rPr>
                <w:rFonts w:ascii="Times New Roman" w:hAnsi="Times New Roman"/>
                <w:sz w:val="15"/>
              </w:rPr>
              <w:t>9</w:t>
            </w:r>
          </w:p>
        </w:tc>
        <w:tc>
          <w:tcPr>
            <w:tcW w:type="dxa" w:w="1560"/>
          </w:tcPr>
          <w:p>
            <w:pPr>
              <w:spacing w:line="240" w:lineRule="auto" w:after="0"/>
            </w:pPr>
            <w:r>
              <w:rPr>
                <w:rFonts w:ascii="Times New Roman" w:hAnsi="Times New Roman"/>
                <w:sz w:val="15"/>
              </w:rPr>
            </w:r>
            <w:r>
              <w:rPr>
                <w:rFonts w:ascii="Times New Roman" w:hAnsi="Times New Roman"/>
                <w:sz w:val="15"/>
              </w:rPr>
              <w:t>2.57</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Lactate load above 2.0</w:t>
            </w:r>
          </w:p>
        </w:tc>
        <w:tc>
          <w:tcPr>
            <w:tcW w:type="dxa" w:w="1560"/>
          </w:tcPr>
          <w:p>
            <w:pPr>
              <w:spacing w:line="240" w:lineRule="auto" w:after="0"/>
            </w:pPr>
            <w:r>
              <w:rPr>
                <w:rFonts w:ascii="Times New Roman" w:hAnsi="Times New Roman"/>
                <w:sz w:val="15"/>
              </w:rPr>
            </w:r>
            <w:r>
              <w:rPr>
                <w:rFonts w:ascii="Times New Roman" w:hAnsi="Times New Roman"/>
                <w:b/>
                <w:sz w:val="15"/>
              </w:rPr>
              <w:t>0.427</w:t>
            </w:r>
          </w:p>
        </w:tc>
        <w:tc>
          <w:tcPr>
            <w:tcW w:type="dxa" w:w="1560"/>
          </w:tcPr>
          <w:p>
            <w:pPr>
              <w:spacing w:line="240" w:lineRule="auto" w:after="0"/>
            </w:pPr>
            <w:r>
              <w:rPr>
                <w:rFonts w:ascii="Times New Roman" w:hAnsi="Times New Roman"/>
                <w:sz w:val="15"/>
              </w:rPr>
            </w:r>
            <w:r>
              <w:rPr>
                <w:rFonts w:ascii="Times New Roman" w:hAnsi="Times New Roman"/>
                <w:sz w:val="15"/>
              </w:rPr>
              <w:t>4.93 (0.00–33.12)</w:t>
            </w:r>
          </w:p>
        </w:tc>
        <w:tc>
          <w:tcPr>
            <w:tcW w:type="dxa" w:w="1560"/>
          </w:tcPr>
          <w:p>
            <w:pPr>
              <w:spacing w:line="240" w:lineRule="auto" w:after="0"/>
            </w:pPr>
            <w:r>
              <w:rPr>
                <w:rFonts w:ascii="Times New Roman" w:hAnsi="Times New Roman"/>
                <w:sz w:val="15"/>
              </w:rPr>
            </w:r>
            <w:r>
              <w:rPr>
                <w:rFonts w:ascii="Times New Roman" w:hAnsi="Times New Roman"/>
                <w:sz w:val="15"/>
              </w:rPr>
              <w:t>3</w:t>
            </w:r>
          </w:p>
        </w:tc>
        <w:tc>
          <w:tcPr>
            <w:tcW w:type="dxa" w:w="1560"/>
          </w:tcPr>
          <w:p>
            <w:pPr>
              <w:spacing w:line="240" w:lineRule="auto" w:after="0"/>
            </w:pPr>
            <w:r>
              <w:rPr>
                <w:rFonts w:ascii="Times New Roman" w:hAnsi="Times New Roman"/>
                <w:sz w:val="15"/>
              </w:rPr>
            </w:r>
            <w:r>
              <w:rPr>
                <w:rFonts w:ascii="Times New Roman" w:hAnsi="Times New Roman"/>
                <w:sz w:val="15"/>
              </w:rPr>
              <w:t>9</w:t>
            </w:r>
          </w:p>
        </w:tc>
        <w:tc>
          <w:tcPr>
            <w:tcW w:type="dxa" w:w="1560"/>
          </w:tcPr>
          <w:p>
            <w:pPr>
              <w:spacing w:line="240" w:lineRule="auto" w:after="0"/>
            </w:pPr>
            <w:r>
              <w:rPr>
                <w:rFonts w:ascii="Times New Roman" w:hAnsi="Times New Roman"/>
                <w:sz w:val="15"/>
              </w:rPr>
            </w:r>
            <w:r>
              <w:rPr>
                <w:rFonts w:ascii="Times New Roman" w:hAnsi="Times New Roman"/>
                <w:sz w:val="15"/>
              </w:rPr>
              <w:t>3.00</w:t>
            </w:r>
          </w:p>
        </w:tc>
      </w:tr>
    </w:tbl>
    <w:p/>
    <w:p>
      <w:pPr>
        <w:jc w:val="left"/>
      </w:pPr>
      <w:r>
        <w:t>The correlation with draw count falls from 0.53 to 0.36, and the ratio of median draws between the highest and lowest exposure groups falls from 5.0 to 2.6. Neither is close to zero. Sampling intensity is a marker of clinical concern as well as a mechanical input, and no summary of the observed values can remove the part that reflects concern.</w:t>
      </w:r>
    </w:p>
    <w:p>
      <w:pPr>
        <w:pStyle w:val="Heading3"/>
        <w:keepNext/>
        <w:spacing w:line="276" w:lineRule="auto" w:before="200" w:after="80"/>
      </w:pPr>
      <w:r>
        <w:rPr>
          <w:rFonts w:ascii="Times New Roman" w:hAnsi="Times New Roman"/>
          <w:color w:val="000000"/>
        </w:rPr>
        <w:t>12a.3 Effect estimates under each exposure</w:t>
      </w:r>
    </w:p>
    <w:p>
      <w:pPr>
        <w:jc w:val="left"/>
      </w:pPr>
      <w:r>
        <w:t>Groups are quartiles for peak and TWA. For lactate load the first group is "never exceeded 2.0 mmol/L" (n=714 in the risk set) and the rest are tertiles of the positive values, because more than a quarter of patients sit at zero and equal-sized quartiles do not exist. All models are cause-specific Cox with the expanded covariate set. The per-standard-deviation row puts the three exposures on a common scale.</w:t>
      </w:r>
    </w:p>
    <w:tbl>
      <w:tblPr>
        <w:tblStyle w:val="TableGrid"/>
        <w:tblW w:type="auto" w:w="0"/>
        <w:jc w:val="center"/>
        <w:tblLook w:firstColumn="1" w:firstRow="1" w:lastColumn="0" w:lastRow="0" w:noHBand="0" w:noVBand="1" w:val="04A0"/>
      </w:tblPr>
      <w:tblGrid>
        <w:gridCol w:w="1337"/>
        <w:gridCol w:w="1337"/>
        <w:gridCol w:w="1337"/>
        <w:gridCol w:w="1337"/>
        <w:gridCol w:w="1337"/>
        <w:gridCol w:w="1337"/>
        <w:gridCol w:w="1337"/>
      </w:tblGrid>
      <w:tr>
        <w:trPr>
          <w:tblHeader w:val="true"/>
          <w:cantSplit/>
        </w:trPr>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Exposure</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n</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Events</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Group 2</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Group 3</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Group 4</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Per SD</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Peak, published four strata</w:t>
            </w:r>
          </w:p>
        </w:tc>
        <w:tc>
          <w:tcPr>
            <w:tcW w:type="dxa" w:w="1337"/>
          </w:tcPr>
          <w:p>
            <w:pPr>
              <w:spacing w:line="240" w:lineRule="auto" w:after="0"/>
            </w:pPr>
            <w:r>
              <w:rPr>
                <w:rFonts w:ascii="Times New Roman" w:hAnsi="Times New Roman"/>
                <w:sz w:val="15"/>
              </w:rPr>
            </w:r>
            <w:r>
              <w:rPr>
                <w:rFonts w:ascii="Times New Roman" w:hAnsi="Times New Roman"/>
                <w:sz w:val="15"/>
              </w:rPr>
              <w:t>1,834</w:t>
            </w:r>
          </w:p>
        </w:tc>
        <w:tc>
          <w:tcPr>
            <w:tcW w:type="dxa" w:w="1337"/>
          </w:tcPr>
          <w:p>
            <w:pPr>
              <w:spacing w:line="240" w:lineRule="auto" w:after="0"/>
            </w:pPr>
            <w:r>
              <w:rPr>
                <w:rFonts w:ascii="Times New Roman" w:hAnsi="Times New Roman"/>
                <w:sz w:val="15"/>
              </w:rPr>
            </w:r>
            <w:r>
              <w:rPr>
                <w:rFonts w:ascii="Times New Roman" w:hAnsi="Times New Roman"/>
                <w:sz w:val="15"/>
              </w:rPr>
              <w:t>196</w:t>
            </w:r>
          </w:p>
        </w:tc>
        <w:tc>
          <w:tcPr>
            <w:tcW w:type="dxa" w:w="1337"/>
          </w:tcPr>
          <w:p>
            <w:pPr>
              <w:spacing w:line="240" w:lineRule="auto" w:after="0"/>
            </w:pPr>
            <w:r>
              <w:rPr>
                <w:rFonts w:ascii="Times New Roman" w:hAnsi="Times New Roman"/>
                <w:sz w:val="15"/>
              </w:rPr>
            </w:r>
            <w:r>
              <w:rPr>
                <w:rFonts w:ascii="Times New Roman" w:hAnsi="Times New Roman"/>
                <w:sz w:val="15"/>
              </w:rPr>
              <w:t>1.16 (0.79–1.69)</w:t>
            </w:r>
          </w:p>
        </w:tc>
        <w:tc>
          <w:tcPr>
            <w:tcW w:type="dxa" w:w="1337"/>
          </w:tcPr>
          <w:p>
            <w:pPr>
              <w:spacing w:line="240" w:lineRule="auto" w:after="0"/>
            </w:pPr>
            <w:r>
              <w:rPr>
                <w:rFonts w:ascii="Times New Roman" w:hAnsi="Times New Roman"/>
                <w:sz w:val="15"/>
              </w:rPr>
            </w:r>
            <w:r>
              <w:rPr>
                <w:rFonts w:ascii="Times New Roman" w:hAnsi="Times New Roman"/>
                <w:sz w:val="15"/>
              </w:rPr>
              <w:t>1.48 (1.04–2.10)</w:t>
            </w:r>
          </w:p>
        </w:tc>
        <w:tc>
          <w:tcPr>
            <w:tcW w:type="dxa" w:w="1337"/>
          </w:tcPr>
          <w:p>
            <w:pPr>
              <w:spacing w:line="240" w:lineRule="auto" w:after="0"/>
            </w:pPr>
            <w:r>
              <w:rPr>
                <w:rFonts w:ascii="Times New Roman" w:hAnsi="Times New Roman"/>
                <w:sz w:val="15"/>
              </w:rPr>
            </w:r>
            <w:r>
              <w:rPr>
                <w:rFonts w:ascii="Times New Roman" w:hAnsi="Times New Roman"/>
                <w:b/>
                <w:sz w:val="15"/>
              </w:rPr>
              <w:t>2.13 (1.22–3.74)</w:t>
            </w:r>
          </w:p>
        </w:tc>
        <w:tc>
          <w:tcPr>
            <w:tcW w:type="dxa" w:w="1337"/>
          </w:tcPr>
          <w:p>
            <w:pPr>
              <w:spacing w:line="240" w:lineRule="auto" w:after="0"/>
            </w:pPr>
            <w:r>
              <w:rPr>
                <w:rFonts w:ascii="Times New Roman" w:hAnsi="Times New Roman"/>
                <w:sz w:val="15"/>
              </w:rPr>
            </w:r>
            <w:r>
              <w:rPr>
                <w:rFonts w:ascii="Times New Roman" w:hAnsi="Times New Roman"/>
                <w:sz w:val="15"/>
              </w:rPr>
              <w:t>1.25 (1.08–1.45) per stratum</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Peak, quartiles</w:t>
            </w:r>
          </w:p>
        </w:tc>
        <w:tc>
          <w:tcPr>
            <w:tcW w:type="dxa" w:w="1337"/>
          </w:tcPr>
          <w:p>
            <w:pPr>
              <w:spacing w:line="240" w:lineRule="auto" w:after="0"/>
            </w:pPr>
            <w:r>
              <w:rPr>
                <w:rFonts w:ascii="Times New Roman" w:hAnsi="Times New Roman"/>
                <w:sz w:val="15"/>
              </w:rPr>
            </w:r>
            <w:r>
              <w:rPr>
                <w:rFonts w:ascii="Times New Roman" w:hAnsi="Times New Roman"/>
                <w:sz w:val="15"/>
              </w:rPr>
              <w:t>1,834</w:t>
            </w:r>
          </w:p>
        </w:tc>
        <w:tc>
          <w:tcPr>
            <w:tcW w:type="dxa" w:w="1337"/>
          </w:tcPr>
          <w:p>
            <w:pPr>
              <w:spacing w:line="240" w:lineRule="auto" w:after="0"/>
            </w:pPr>
            <w:r>
              <w:rPr>
                <w:rFonts w:ascii="Times New Roman" w:hAnsi="Times New Roman"/>
                <w:sz w:val="15"/>
              </w:rPr>
            </w:r>
            <w:r>
              <w:rPr>
                <w:rFonts w:ascii="Times New Roman" w:hAnsi="Times New Roman"/>
                <w:sz w:val="15"/>
              </w:rPr>
              <w:t>196</w:t>
            </w:r>
          </w:p>
        </w:tc>
        <w:tc>
          <w:tcPr>
            <w:tcW w:type="dxa" w:w="1337"/>
          </w:tcPr>
          <w:p>
            <w:pPr>
              <w:spacing w:line="240" w:lineRule="auto" w:after="0"/>
            </w:pPr>
            <w:r>
              <w:rPr>
                <w:rFonts w:ascii="Times New Roman" w:hAnsi="Times New Roman"/>
                <w:sz w:val="15"/>
              </w:rPr>
            </w:r>
            <w:r>
              <w:rPr>
                <w:rFonts w:ascii="Times New Roman" w:hAnsi="Times New Roman"/>
                <w:sz w:val="15"/>
              </w:rPr>
              <w:t>1.07 (0.70–1.62)</w:t>
            </w:r>
          </w:p>
        </w:tc>
        <w:tc>
          <w:tcPr>
            <w:tcW w:type="dxa" w:w="1337"/>
          </w:tcPr>
          <w:p>
            <w:pPr>
              <w:spacing w:line="240" w:lineRule="auto" w:after="0"/>
            </w:pPr>
            <w:r>
              <w:rPr>
                <w:rFonts w:ascii="Times New Roman" w:hAnsi="Times New Roman"/>
                <w:sz w:val="15"/>
              </w:rPr>
            </w:r>
            <w:r>
              <w:rPr>
                <w:rFonts w:ascii="Times New Roman" w:hAnsi="Times New Roman"/>
                <w:sz w:val="15"/>
              </w:rPr>
              <w:t>1.24 (0.82–1.87)</w:t>
            </w:r>
          </w:p>
        </w:tc>
        <w:tc>
          <w:tcPr>
            <w:tcW w:type="dxa" w:w="1337"/>
          </w:tcPr>
          <w:p>
            <w:pPr>
              <w:spacing w:line="240" w:lineRule="auto" w:after="0"/>
            </w:pPr>
            <w:r>
              <w:rPr>
                <w:rFonts w:ascii="Times New Roman" w:hAnsi="Times New Roman"/>
                <w:sz w:val="15"/>
              </w:rPr>
            </w:r>
            <w:r>
              <w:rPr>
                <w:rFonts w:ascii="Times New Roman" w:hAnsi="Times New Roman"/>
                <w:b/>
                <w:sz w:val="15"/>
              </w:rPr>
              <w:t>1.92 (1.29–2.87)</w:t>
            </w:r>
          </w:p>
        </w:tc>
        <w:tc>
          <w:tcPr>
            <w:tcW w:type="dxa" w:w="1337"/>
          </w:tcPr>
          <w:p>
            <w:pPr>
              <w:spacing w:line="240" w:lineRule="auto" w:after="0"/>
            </w:pPr>
            <w:r>
              <w:rPr>
                <w:rFonts w:ascii="Times New Roman" w:hAnsi="Times New Roman"/>
                <w:sz w:val="15"/>
              </w:rPr>
            </w:r>
            <w:r>
              <w:rPr>
                <w:rFonts w:ascii="Times New Roman" w:hAnsi="Times New Roman"/>
                <w:sz w:val="15"/>
              </w:rPr>
              <w:t>1.26 (1.10–1.44)</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Time-weighted average, quartiles</w:t>
            </w:r>
          </w:p>
        </w:tc>
        <w:tc>
          <w:tcPr>
            <w:tcW w:type="dxa" w:w="1337"/>
          </w:tcPr>
          <w:p>
            <w:pPr>
              <w:spacing w:line="240" w:lineRule="auto" w:after="0"/>
            </w:pPr>
            <w:r>
              <w:rPr>
                <w:rFonts w:ascii="Times New Roman" w:hAnsi="Times New Roman"/>
                <w:sz w:val="15"/>
              </w:rPr>
            </w:r>
            <w:r>
              <w:rPr>
                <w:rFonts w:ascii="Times New Roman" w:hAnsi="Times New Roman"/>
                <w:sz w:val="15"/>
              </w:rPr>
              <w:t>1,834</w:t>
            </w:r>
          </w:p>
        </w:tc>
        <w:tc>
          <w:tcPr>
            <w:tcW w:type="dxa" w:w="1337"/>
          </w:tcPr>
          <w:p>
            <w:pPr>
              <w:spacing w:line="240" w:lineRule="auto" w:after="0"/>
            </w:pPr>
            <w:r>
              <w:rPr>
                <w:rFonts w:ascii="Times New Roman" w:hAnsi="Times New Roman"/>
                <w:sz w:val="15"/>
              </w:rPr>
            </w:r>
            <w:r>
              <w:rPr>
                <w:rFonts w:ascii="Times New Roman" w:hAnsi="Times New Roman"/>
                <w:sz w:val="15"/>
              </w:rPr>
              <w:t>196</w:t>
            </w:r>
          </w:p>
        </w:tc>
        <w:tc>
          <w:tcPr>
            <w:tcW w:type="dxa" w:w="1337"/>
          </w:tcPr>
          <w:p>
            <w:pPr>
              <w:spacing w:line="240" w:lineRule="auto" w:after="0"/>
            </w:pPr>
            <w:r>
              <w:rPr>
                <w:rFonts w:ascii="Times New Roman" w:hAnsi="Times New Roman"/>
                <w:sz w:val="15"/>
              </w:rPr>
            </w:r>
            <w:r>
              <w:rPr>
                <w:rFonts w:ascii="Times New Roman" w:hAnsi="Times New Roman"/>
                <w:sz w:val="15"/>
              </w:rPr>
              <w:t>1.10 (0.71–1.71)</w:t>
            </w:r>
          </w:p>
        </w:tc>
        <w:tc>
          <w:tcPr>
            <w:tcW w:type="dxa" w:w="1337"/>
          </w:tcPr>
          <w:p>
            <w:pPr>
              <w:spacing w:line="240" w:lineRule="auto" w:after="0"/>
            </w:pPr>
            <w:r>
              <w:rPr>
                <w:rFonts w:ascii="Times New Roman" w:hAnsi="Times New Roman"/>
                <w:sz w:val="15"/>
              </w:rPr>
            </w:r>
            <w:r>
              <w:rPr>
                <w:rFonts w:ascii="Times New Roman" w:hAnsi="Times New Roman"/>
                <w:sz w:val="15"/>
              </w:rPr>
              <w:t>1.31 (0.86–2.00)</w:t>
            </w:r>
          </w:p>
        </w:tc>
        <w:tc>
          <w:tcPr>
            <w:tcW w:type="dxa" w:w="1337"/>
          </w:tcPr>
          <w:p>
            <w:pPr>
              <w:spacing w:line="240" w:lineRule="auto" w:after="0"/>
            </w:pPr>
            <w:r>
              <w:rPr>
                <w:rFonts w:ascii="Times New Roman" w:hAnsi="Times New Roman"/>
                <w:sz w:val="15"/>
              </w:rPr>
            </w:r>
            <w:r>
              <w:rPr>
                <w:rFonts w:ascii="Times New Roman" w:hAnsi="Times New Roman"/>
                <w:b/>
                <w:sz w:val="15"/>
              </w:rPr>
              <w:t>1.88 (1.25–2.82)</w:t>
            </w:r>
          </w:p>
        </w:tc>
        <w:tc>
          <w:tcPr>
            <w:tcW w:type="dxa" w:w="1337"/>
          </w:tcPr>
          <w:p>
            <w:pPr>
              <w:spacing w:line="240" w:lineRule="auto" w:after="0"/>
            </w:pPr>
            <w:r>
              <w:rPr>
                <w:rFonts w:ascii="Times New Roman" w:hAnsi="Times New Roman"/>
                <w:sz w:val="15"/>
              </w:rPr>
            </w:r>
            <w:r>
              <w:rPr>
                <w:rFonts w:ascii="Times New Roman" w:hAnsi="Times New Roman"/>
                <w:sz w:val="15"/>
              </w:rPr>
              <w:t>1.28 (1.13–1.46)</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Lactate load above 2.0</w:t>
            </w:r>
          </w:p>
        </w:tc>
        <w:tc>
          <w:tcPr>
            <w:tcW w:type="dxa" w:w="1337"/>
          </w:tcPr>
          <w:p>
            <w:pPr>
              <w:spacing w:line="240" w:lineRule="auto" w:after="0"/>
            </w:pPr>
            <w:r>
              <w:rPr>
                <w:rFonts w:ascii="Times New Roman" w:hAnsi="Times New Roman"/>
                <w:sz w:val="15"/>
              </w:rPr>
            </w:r>
            <w:r>
              <w:rPr>
                <w:rFonts w:ascii="Times New Roman" w:hAnsi="Times New Roman"/>
                <w:sz w:val="15"/>
              </w:rPr>
              <w:t>1,834</w:t>
            </w:r>
          </w:p>
        </w:tc>
        <w:tc>
          <w:tcPr>
            <w:tcW w:type="dxa" w:w="1337"/>
          </w:tcPr>
          <w:p>
            <w:pPr>
              <w:spacing w:line="240" w:lineRule="auto" w:after="0"/>
            </w:pPr>
            <w:r>
              <w:rPr>
                <w:rFonts w:ascii="Times New Roman" w:hAnsi="Times New Roman"/>
                <w:sz w:val="15"/>
              </w:rPr>
            </w:r>
            <w:r>
              <w:rPr>
                <w:rFonts w:ascii="Times New Roman" w:hAnsi="Times New Roman"/>
                <w:sz w:val="15"/>
              </w:rPr>
              <w:t>196</w:t>
            </w:r>
          </w:p>
        </w:tc>
        <w:tc>
          <w:tcPr>
            <w:tcW w:type="dxa" w:w="1337"/>
          </w:tcPr>
          <w:p>
            <w:pPr>
              <w:spacing w:line="240" w:lineRule="auto" w:after="0"/>
            </w:pPr>
            <w:r>
              <w:rPr>
                <w:rFonts w:ascii="Times New Roman" w:hAnsi="Times New Roman"/>
                <w:sz w:val="15"/>
              </w:rPr>
            </w:r>
            <w:r>
              <w:rPr>
                <w:rFonts w:ascii="Times New Roman" w:hAnsi="Times New Roman"/>
                <w:sz w:val="15"/>
              </w:rPr>
              <w:t>1.15 (0.77–1.71)</w:t>
            </w:r>
          </w:p>
        </w:tc>
        <w:tc>
          <w:tcPr>
            <w:tcW w:type="dxa" w:w="1337"/>
          </w:tcPr>
          <w:p>
            <w:pPr>
              <w:spacing w:line="240" w:lineRule="auto" w:after="0"/>
            </w:pPr>
            <w:r>
              <w:rPr>
                <w:rFonts w:ascii="Times New Roman" w:hAnsi="Times New Roman"/>
                <w:sz w:val="15"/>
              </w:rPr>
            </w:r>
            <w:r>
              <w:rPr>
                <w:rFonts w:ascii="Times New Roman" w:hAnsi="Times New Roman"/>
                <w:sz w:val="15"/>
              </w:rPr>
              <w:t>1.28 (0.86–1.90)</w:t>
            </w:r>
          </w:p>
        </w:tc>
        <w:tc>
          <w:tcPr>
            <w:tcW w:type="dxa" w:w="1337"/>
          </w:tcPr>
          <w:p>
            <w:pPr>
              <w:spacing w:line="240" w:lineRule="auto" w:after="0"/>
            </w:pPr>
            <w:r>
              <w:rPr>
                <w:rFonts w:ascii="Times New Roman" w:hAnsi="Times New Roman"/>
                <w:sz w:val="15"/>
              </w:rPr>
            </w:r>
            <w:r>
              <w:rPr>
                <w:rFonts w:ascii="Times New Roman" w:hAnsi="Times New Roman"/>
                <w:b/>
                <w:sz w:val="15"/>
              </w:rPr>
              <w:t>1.81 (1.24–2.64)</w:t>
            </w:r>
          </w:p>
        </w:tc>
        <w:tc>
          <w:tcPr>
            <w:tcW w:type="dxa" w:w="1337"/>
          </w:tcPr>
          <w:p>
            <w:pPr>
              <w:spacing w:line="240" w:lineRule="auto" w:after="0"/>
            </w:pPr>
            <w:r>
              <w:rPr>
                <w:rFonts w:ascii="Times New Roman" w:hAnsi="Times New Roman"/>
                <w:sz w:val="15"/>
              </w:rPr>
            </w:r>
            <w:r>
              <w:rPr>
                <w:rFonts w:ascii="Times New Roman" w:hAnsi="Times New Roman"/>
                <w:sz w:val="15"/>
              </w:rPr>
              <w:t>1.26 (1.12–1.43)</w:t>
            </w:r>
          </w:p>
        </w:tc>
      </w:tr>
    </w:tbl>
    <w:p/>
    <w:p>
      <w:pPr>
        <w:jc w:val="left"/>
      </w:pPr>
      <w:r>
        <w:rPr>
          <w:b/>
        </w:rPr>
        <w:t>The association does not depend on taking a maximum.</w:t>
      </w:r>
      <w:r>
        <w:t xml:space="preserve"> The top-group hazard ratio is 1.92 for the peak, 1.88 for the time-weighted average and 1.81 for the lactate load, and the per-standard-deviation estimates are 1.26, 1.28 and 1.26. This is less surprising than it may look: peak and TWA rank patients almost identically in these data (Spearman ρ = 0.932, and 0.948 between peak and load), because a coarse 17-value grid and a short window leave little room for the two summaries to diverge. The result should therefore be read as showing that the maximum is not </w:t>
      </w:r>
      <w:r>
        <w:rPr>
          <w:i/>
        </w:rPr>
        <w:t>generating</w:t>
      </w:r>
      <w:r>
        <w:t xml:space="preserve"> the association, not as showing that measurement intensity has been controlled.</w:t>
      </w:r>
    </w:p>
    <w:p>
      <w:pPr>
        <w:jc w:val="left"/>
      </w:pPr>
      <w:r>
        <w:t>Restricting to the 1,250 patients with at least four draws, for whom the window is substantially observed rather than carried, moves all three estimates upward:</w:t>
      </w:r>
    </w:p>
    <w:tbl>
      <w:tblPr>
        <w:tblStyle w:val="TableGrid"/>
        <w:tblW w:type="auto" w:w="0"/>
        <w:jc w:val="center"/>
        <w:tblLook w:firstColumn="1" w:firstRow="1" w:lastColumn="0" w:lastRow="0" w:noHBand="0" w:noVBand="1" w:val="04A0"/>
      </w:tblPr>
      <w:tblGrid>
        <w:gridCol w:w="1337"/>
        <w:gridCol w:w="1337"/>
        <w:gridCol w:w="1337"/>
        <w:gridCol w:w="1337"/>
        <w:gridCol w:w="1337"/>
        <w:gridCol w:w="1337"/>
        <w:gridCol w:w="1337"/>
      </w:tblGrid>
      <w:tr>
        <w:trPr>
          <w:tblHeader w:val="true"/>
          <w:cantSplit/>
        </w:trPr>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Exposure, ≥4 draws</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n</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Events</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Group 2</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Group 3</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Group 4</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Per SD</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Peak, quartiles</w:t>
            </w:r>
          </w:p>
        </w:tc>
        <w:tc>
          <w:tcPr>
            <w:tcW w:type="dxa" w:w="1337"/>
          </w:tcPr>
          <w:p>
            <w:pPr>
              <w:spacing w:line="240" w:lineRule="auto" w:after="0"/>
            </w:pPr>
            <w:r>
              <w:rPr>
                <w:rFonts w:ascii="Times New Roman" w:hAnsi="Times New Roman"/>
                <w:sz w:val="15"/>
              </w:rPr>
            </w:r>
            <w:r>
              <w:rPr>
                <w:rFonts w:ascii="Times New Roman" w:hAnsi="Times New Roman"/>
                <w:sz w:val="15"/>
              </w:rPr>
              <w:t>1,250</w:t>
            </w:r>
          </w:p>
        </w:tc>
        <w:tc>
          <w:tcPr>
            <w:tcW w:type="dxa" w:w="1337"/>
          </w:tcPr>
          <w:p>
            <w:pPr>
              <w:spacing w:line="240" w:lineRule="auto" w:after="0"/>
            </w:pPr>
            <w:r>
              <w:rPr>
                <w:rFonts w:ascii="Times New Roman" w:hAnsi="Times New Roman"/>
                <w:sz w:val="15"/>
              </w:rPr>
            </w:r>
            <w:r>
              <w:rPr>
                <w:rFonts w:ascii="Times New Roman" w:hAnsi="Times New Roman"/>
                <w:sz w:val="15"/>
              </w:rPr>
              <w:t>121</w:t>
            </w:r>
          </w:p>
        </w:tc>
        <w:tc>
          <w:tcPr>
            <w:tcW w:type="dxa" w:w="1337"/>
          </w:tcPr>
          <w:p>
            <w:pPr>
              <w:spacing w:line="240" w:lineRule="auto" w:after="0"/>
            </w:pPr>
            <w:r>
              <w:rPr>
                <w:rFonts w:ascii="Times New Roman" w:hAnsi="Times New Roman"/>
                <w:sz w:val="15"/>
              </w:rPr>
            </w:r>
            <w:r>
              <w:rPr>
                <w:rFonts w:ascii="Times New Roman" w:hAnsi="Times New Roman"/>
                <w:sz w:val="15"/>
              </w:rPr>
              <w:t>1.79 (0.97–3.30)</w:t>
            </w:r>
          </w:p>
        </w:tc>
        <w:tc>
          <w:tcPr>
            <w:tcW w:type="dxa" w:w="1337"/>
          </w:tcPr>
          <w:p>
            <w:pPr>
              <w:spacing w:line="240" w:lineRule="auto" w:after="0"/>
            </w:pPr>
            <w:r>
              <w:rPr>
                <w:rFonts w:ascii="Times New Roman" w:hAnsi="Times New Roman"/>
                <w:sz w:val="15"/>
              </w:rPr>
            </w:r>
            <w:r>
              <w:rPr>
                <w:rFonts w:ascii="Times New Roman" w:hAnsi="Times New Roman"/>
                <w:sz w:val="15"/>
              </w:rPr>
              <w:t>2.63 (1.50–4.63)</w:t>
            </w:r>
          </w:p>
        </w:tc>
        <w:tc>
          <w:tcPr>
            <w:tcW w:type="dxa" w:w="1337"/>
          </w:tcPr>
          <w:p>
            <w:pPr>
              <w:spacing w:line="240" w:lineRule="auto" w:after="0"/>
            </w:pPr>
            <w:r>
              <w:rPr>
                <w:rFonts w:ascii="Times New Roman" w:hAnsi="Times New Roman"/>
                <w:sz w:val="15"/>
              </w:rPr>
            </w:r>
            <w:r>
              <w:rPr>
                <w:rFonts w:ascii="Times New Roman" w:hAnsi="Times New Roman"/>
                <w:b/>
                <w:sz w:val="15"/>
              </w:rPr>
              <w:t>3.89 (1.89–8.02)</w:t>
            </w:r>
          </w:p>
        </w:tc>
        <w:tc>
          <w:tcPr>
            <w:tcW w:type="dxa" w:w="1337"/>
          </w:tcPr>
          <w:p>
            <w:pPr>
              <w:spacing w:line="240" w:lineRule="auto" w:after="0"/>
            </w:pPr>
            <w:r>
              <w:rPr>
                <w:rFonts w:ascii="Times New Roman" w:hAnsi="Times New Roman"/>
                <w:sz w:val="15"/>
              </w:rPr>
            </w:r>
            <w:r>
              <w:rPr>
                <w:rFonts w:ascii="Times New Roman" w:hAnsi="Times New Roman"/>
                <w:sz w:val="15"/>
              </w:rPr>
              <w:t>1.49 (1.26–1.76)</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Time-weighted average, quartiles</w:t>
            </w:r>
          </w:p>
        </w:tc>
        <w:tc>
          <w:tcPr>
            <w:tcW w:type="dxa" w:w="1337"/>
          </w:tcPr>
          <w:p>
            <w:pPr>
              <w:spacing w:line="240" w:lineRule="auto" w:after="0"/>
            </w:pPr>
            <w:r>
              <w:rPr>
                <w:rFonts w:ascii="Times New Roman" w:hAnsi="Times New Roman"/>
                <w:sz w:val="15"/>
              </w:rPr>
            </w:r>
            <w:r>
              <w:rPr>
                <w:rFonts w:ascii="Times New Roman" w:hAnsi="Times New Roman"/>
                <w:sz w:val="15"/>
              </w:rPr>
              <w:t>1,250</w:t>
            </w:r>
          </w:p>
        </w:tc>
        <w:tc>
          <w:tcPr>
            <w:tcW w:type="dxa" w:w="1337"/>
          </w:tcPr>
          <w:p>
            <w:pPr>
              <w:spacing w:line="240" w:lineRule="auto" w:after="0"/>
            </w:pPr>
            <w:r>
              <w:rPr>
                <w:rFonts w:ascii="Times New Roman" w:hAnsi="Times New Roman"/>
                <w:sz w:val="15"/>
              </w:rPr>
            </w:r>
            <w:r>
              <w:rPr>
                <w:rFonts w:ascii="Times New Roman" w:hAnsi="Times New Roman"/>
                <w:sz w:val="15"/>
              </w:rPr>
              <w:t>121</w:t>
            </w:r>
          </w:p>
        </w:tc>
        <w:tc>
          <w:tcPr>
            <w:tcW w:type="dxa" w:w="1337"/>
          </w:tcPr>
          <w:p>
            <w:pPr>
              <w:spacing w:line="240" w:lineRule="auto" w:after="0"/>
            </w:pPr>
            <w:r>
              <w:rPr>
                <w:rFonts w:ascii="Times New Roman" w:hAnsi="Times New Roman"/>
                <w:sz w:val="15"/>
              </w:rPr>
            </w:r>
            <w:r>
              <w:rPr>
                <w:rFonts w:ascii="Times New Roman" w:hAnsi="Times New Roman"/>
                <w:sz w:val="15"/>
              </w:rPr>
              <w:t>1.55 (0.83–2.88)</w:t>
            </w:r>
          </w:p>
        </w:tc>
        <w:tc>
          <w:tcPr>
            <w:tcW w:type="dxa" w:w="1337"/>
          </w:tcPr>
          <w:p>
            <w:pPr>
              <w:spacing w:line="240" w:lineRule="auto" w:after="0"/>
            </w:pPr>
            <w:r>
              <w:rPr>
                <w:rFonts w:ascii="Times New Roman" w:hAnsi="Times New Roman"/>
                <w:sz w:val="15"/>
              </w:rPr>
            </w:r>
            <w:r>
              <w:rPr>
                <w:rFonts w:ascii="Times New Roman" w:hAnsi="Times New Roman"/>
                <w:sz w:val="15"/>
              </w:rPr>
              <w:t>2.12 (1.17–3.84)</w:t>
            </w:r>
          </w:p>
        </w:tc>
        <w:tc>
          <w:tcPr>
            <w:tcW w:type="dxa" w:w="1337"/>
          </w:tcPr>
          <w:p>
            <w:pPr>
              <w:spacing w:line="240" w:lineRule="auto" w:after="0"/>
            </w:pPr>
            <w:r>
              <w:rPr>
                <w:rFonts w:ascii="Times New Roman" w:hAnsi="Times New Roman"/>
                <w:sz w:val="15"/>
              </w:rPr>
            </w:r>
            <w:r>
              <w:rPr>
                <w:rFonts w:ascii="Times New Roman" w:hAnsi="Times New Roman"/>
                <w:b/>
                <w:sz w:val="15"/>
              </w:rPr>
              <w:t>2.98 (1.66–5.32)</w:t>
            </w:r>
          </w:p>
        </w:tc>
        <w:tc>
          <w:tcPr>
            <w:tcW w:type="dxa" w:w="1337"/>
          </w:tcPr>
          <w:p>
            <w:pPr>
              <w:spacing w:line="240" w:lineRule="auto" w:after="0"/>
            </w:pPr>
            <w:r>
              <w:rPr>
                <w:rFonts w:ascii="Times New Roman" w:hAnsi="Times New Roman"/>
                <w:sz w:val="15"/>
              </w:rPr>
            </w:r>
            <w:r>
              <w:rPr>
                <w:rFonts w:ascii="Times New Roman" w:hAnsi="Times New Roman"/>
                <w:sz w:val="15"/>
              </w:rPr>
              <w:t>1.44 (1.23–1.68)</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Lactate load above 2.0</w:t>
            </w:r>
          </w:p>
        </w:tc>
        <w:tc>
          <w:tcPr>
            <w:tcW w:type="dxa" w:w="1337"/>
          </w:tcPr>
          <w:p>
            <w:pPr>
              <w:spacing w:line="240" w:lineRule="auto" w:after="0"/>
            </w:pPr>
            <w:r>
              <w:rPr>
                <w:rFonts w:ascii="Times New Roman" w:hAnsi="Times New Roman"/>
                <w:sz w:val="15"/>
              </w:rPr>
            </w:r>
            <w:r>
              <w:rPr>
                <w:rFonts w:ascii="Times New Roman" w:hAnsi="Times New Roman"/>
                <w:sz w:val="15"/>
              </w:rPr>
              <w:t>1,250</w:t>
            </w:r>
          </w:p>
        </w:tc>
        <w:tc>
          <w:tcPr>
            <w:tcW w:type="dxa" w:w="1337"/>
          </w:tcPr>
          <w:p>
            <w:pPr>
              <w:spacing w:line="240" w:lineRule="auto" w:after="0"/>
            </w:pPr>
            <w:r>
              <w:rPr>
                <w:rFonts w:ascii="Times New Roman" w:hAnsi="Times New Roman"/>
                <w:sz w:val="15"/>
              </w:rPr>
            </w:r>
            <w:r>
              <w:rPr>
                <w:rFonts w:ascii="Times New Roman" w:hAnsi="Times New Roman"/>
                <w:sz w:val="15"/>
              </w:rPr>
              <w:t>121</w:t>
            </w:r>
          </w:p>
        </w:tc>
        <w:tc>
          <w:tcPr>
            <w:tcW w:type="dxa" w:w="1337"/>
          </w:tcPr>
          <w:p>
            <w:pPr>
              <w:spacing w:line="240" w:lineRule="auto" w:after="0"/>
            </w:pPr>
            <w:r>
              <w:rPr>
                <w:rFonts w:ascii="Times New Roman" w:hAnsi="Times New Roman"/>
                <w:sz w:val="15"/>
              </w:rPr>
            </w:r>
            <w:r>
              <w:rPr>
                <w:rFonts w:ascii="Times New Roman" w:hAnsi="Times New Roman"/>
                <w:sz w:val="15"/>
              </w:rPr>
              <w:t>1.88 (1.02–3.48)</w:t>
            </w:r>
          </w:p>
        </w:tc>
        <w:tc>
          <w:tcPr>
            <w:tcW w:type="dxa" w:w="1337"/>
          </w:tcPr>
          <w:p>
            <w:pPr>
              <w:spacing w:line="240" w:lineRule="auto" w:after="0"/>
            </w:pPr>
            <w:r>
              <w:rPr>
                <w:rFonts w:ascii="Times New Roman" w:hAnsi="Times New Roman"/>
                <w:sz w:val="15"/>
              </w:rPr>
            </w:r>
            <w:r>
              <w:rPr>
                <w:rFonts w:ascii="Times New Roman" w:hAnsi="Times New Roman"/>
                <w:sz w:val="15"/>
              </w:rPr>
              <w:t>2.24 (1.22–4.12)</w:t>
            </w:r>
          </w:p>
        </w:tc>
        <w:tc>
          <w:tcPr>
            <w:tcW w:type="dxa" w:w="1337"/>
          </w:tcPr>
          <w:p>
            <w:pPr>
              <w:spacing w:line="240" w:lineRule="auto" w:after="0"/>
            </w:pPr>
            <w:r>
              <w:rPr>
                <w:rFonts w:ascii="Times New Roman" w:hAnsi="Times New Roman"/>
                <w:sz w:val="15"/>
              </w:rPr>
            </w:r>
            <w:r>
              <w:rPr>
                <w:rFonts w:ascii="Times New Roman" w:hAnsi="Times New Roman"/>
                <w:b/>
                <w:sz w:val="15"/>
              </w:rPr>
              <w:t>3.26 (1.80–5.88)</w:t>
            </w:r>
          </w:p>
        </w:tc>
        <w:tc>
          <w:tcPr>
            <w:tcW w:type="dxa" w:w="1337"/>
          </w:tcPr>
          <w:p>
            <w:pPr>
              <w:spacing w:line="240" w:lineRule="auto" w:after="0"/>
            </w:pPr>
            <w:r>
              <w:rPr>
                <w:rFonts w:ascii="Times New Roman" w:hAnsi="Times New Roman"/>
                <w:sz w:val="15"/>
              </w:rPr>
            </w:r>
            <w:r>
              <w:rPr>
                <w:rFonts w:ascii="Times New Roman" w:hAnsi="Times New Roman"/>
                <w:sz w:val="15"/>
              </w:rPr>
              <w:t>1.38 (1.19–1.60)</w:t>
            </w:r>
          </w:p>
        </w:tc>
      </w:tr>
    </w:tbl>
    <w:p/>
    <w:p>
      <w:pPr>
        <w:jc w:val="left"/>
      </w:pPr>
      <w:r>
        <w:t>This agrees in direction with the 4–9 draw restriction in Section 12, which gave an odds ratio of 6.98, and it rests on more events (121 against 71) with correspondingly tighter intervals. Restricting to denser sampling does not attenuate the association, which is the opposite of what the pure measurement-artefact explanation predicts. It is not a refutation of that explanation: patients sampled at least four times differ from the rest in ways beyond sampling, so this comparison exchanges one confounding structure for another.</w:t>
      </w:r>
    </w:p>
    <w:p>
      <w:pPr>
        <w:jc w:val="left"/>
      </w:pPr>
      <w:r>
        <w:rPr>
          <w:b/>
        </w:rPr>
        <w:t>What this section establishes and what it does not.</w:t>
      </w:r>
      <w:r>
        <w:t xml:space="preserve"> It establishes that the reported association is not an artefact of summarising by a maximum, and that it survives two summaries with weaker mechanical dependence on draw count. It does not establish that the association is free of confounding by indication, because sampling frequency remains correlated with every exposure tested, and because the sparsely sampled third of the cohort supplies a time-weighted average that is mostly extrapolation. Measurement intensity remains a live alternative explanation, as stated in the manuscript Limitations.</w:t>
      </w:r>
    </w:p>
    <w:p>
      <w:pPr>
        <w:pStyle w:val="Heading2"/>
        <w:keepNext/>
        <w:spacing w:line="276" w:lineRule="auto" w:before="200" w:after="80"/>
      </w:pPr>
      <w:r>
        <w:rPr>
          <w:rFonts w:ascii="Times New Roman" w:hAnsi="Times New Roman"/>
          <w:color w:val="000000"/>
        </w:rPr>
        <w:t>12b. What censoring consists of, and what happens if discharge is not censoring</w:t>
      </w:r>
    </w:p>
    <w:p>
      <w:pPr>
        <w:jc w:val="left"/>
      </w:pPr>
      <w:r>
        <w:t>The primary analysis ends follow-up at the last creatinine measurement and treats that ending as non-informative given covariates. Hospital discharge is not modelled separately: a patient who goes home stops having creatinine drawn, and the two events collapse into one censoring time. This section states that explicitly, tests the claim we previously made about what drives it, and bounds the consequence.</w:t>
      </w:r>
    </w:p>
    <w:p>
      <w:pPr>
        <w:pStyle w:val="Heading3"/>
        <w:keepNext/>
        <w:spacing w:line="276" w:lineRule="auto" w:before="200" w:after="80"/>
      </w:pPr>
      <w:r>
        <w:rPr>
          <w:rFonts w:ascii="Times New Roman" w:hAnsi="Times New Roman"/>
          <w:color w:val="000000"/>
        </w:rPr>
        <w:t>12b.1 Censoring is mostly not discharge</w:t>
      </w:r>
    </w:p>
    <w:p>
      <w:pPr>
        <w:jc w:val="left"/>
      </w:pPr>
      <w:r>
        <w:t xml:space="preserve">Earlier versions of this work asserted that going unobserved was driven predominantly by early discharge after uncomplicated recovery. </w:t>
      </w:r>
      <w:r>
        <w:rPr>
          <w:b/>
        </w:rPr>
        <w:t>That assertion is wrong and is withdrawn.</w:t>
      </w:r>
    </w:p>
    <w:tbl>
      <w:tblPr>
        <w:tblStyle w:val="TableGrid"/>
        <w:tblW w:type="auto" w:w="0"/>
        <w:jc w:val="center"/>
        <w:tblLook w:firstColumn="1" w:firstRow="1" w:lastColumn="0" w:lastRow="0" w:noHBand="0" w:noVBand="1" w:val="04A0"/>
      </w:tblPr>
      <w:tblGrid>
        <w:gridCol w:w="1170"/>
        <w:gridCol w:w="1170"/>
        <w:gridCol w:w="1170"/>
        <w:gridCol w:w="1170"/>
        <w:gridCol w:w="1170"/>
        <w:gridCol w:w="1170"/>
        <w:gridCol w:w="1170"/>
        <w:gridCol w:w="1170"/>
      </w:tblGrid>
      <w:tr>
        <w:trPr>
          <w:tblHeader w:val="true"/>
          <w:cantSplit/>
        </w:trPr>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Lactate stratum</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At risk</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Events</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Competing deaths</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Censored</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Censored after discharge</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Censored still an inpatient</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 of censoring from discharge</w:t>
            </w:r>
          </w:p>
        </w:tc>
      </w:tr>
      <w:tr>
        <w:trPr>
          <w:cantSplit/>
        </w:trPr>
        <w:tc>
          <w:tcPr>
            <w:tcW w:type="dxa" w:w="1170"/>
          </w:tcPr>
          <w:p>
            <w:pPr>
              <w:spacing w:line="240" w:lineRule="auto" w:after="0"/>
            </w:pPr>
            <w:r>
              <w:rPr>
                <w:rFonts w:ascii="Times New Roman" w:hAnsi="Times New Roman"/>
                <w:sz w:val="15"/>
              </w:rPr>
            </w:r>
            <w:r>
              <w:rPr>
                <w:rFonts w:ascii="Times New Roman" w:hAnsi="Times New Roman"/>
                <w:sz w:val="15"/>
              </w:rPr>
              <w:t>≤1.9</w:t>
            </w:r>
          </w:p>
        </w:tc>
        <w:tc>
          <w:tcPr>
            <w:tcW w:type="dxa" w:w="1170"/>
          </w:tcPr>
          <w:p>
            <w:pPr>
              <w:spacing w:line="240" w:lineRule="auto" w:after="0"/>
            </w:pPr>
            <w:r>
              <w:rPr>
                <w:rFonts w:ascii="Times New Roman" w:hAnsi="Times New Roman"/>
                <w:sz w:val="15"/>
              </w:rPr>
            </w:r>
            <w:r>
              <w:rPr>
                <w:rFonts w:ascii="Times New Roman" w:hAnsi="Times New Roman"/>
                <w:sz w:val="15"/>
              </w:rPr>
              <w:t>714</w:t>
            </w:r>
          </w:p>
        </w:tc>
        <w:tc>
          <w:tcPr>
            <w:tcW w:type="dxa" w:w="1170"/>
          </w:tcPr>
          <w:p>
            <w:pPr>
              <w:spacing w:line="240" w:lineRule="auto" w:after="0"/>
            </w:pPr>
            <w:r>
              <w:rPr>
                <w:rFonts w:ascii="Times New Roman" w:hAnsi="Times New Roman"/>
                <w:sz w:val="15"/>
              </w:rPr>
            </w:r>
            <w:r>
              <w:rPr>
                <w:rFonts w:ascii="Times New Roman" w:hAnsi="Times New Roman"/>
                <w:sz w:val="15"/>
              </w:rPr>
              <w:t>62</w:t>
            </w:r>
          </w:p>
        </w:tc>
        <w:tc>
          <w:tcPr>
            <w:tcW w:type="dxa" w:w="1170"/>
          </w:tcPr>
          <w:p>
            <w:pPr>
              <w:spacing w:line="240" w:lineRule="auto" w:after="0"/>
            </w:pPr>
            <w:r>
              <w:rPr>
                <w:rFonts w:ascii="Times New Roman" w:hAnsi="Times New Roman"/>
                <w:sz w:val="15"/>
              </w:rPr>
            </w:r>
            <w:r>
              <w:rPr>
                <w:rFonts w:ascii="Times New Roman" w:hAnsi="Times New Roman"/>
                <w:sz w:val="15"/>
              </w:rPr>
              <w:t>1</w:t>
            </w:r>
          </w:p>
        </w:tc>
        <w:tc>
          <w:tcPr>
            <w:tcW w:type="dxa" w:w="1170"/>
          </w:tcPr>
          <w:p>
            <w:pPr>
              <w:spacing w:line="240" w:lineRule="auto" w:after="0"/>
            </w:pPr>
            <w:r>
              <w:rPr>
                <w:rFonts w:ascii="Times New Roman" w:hAnsi="Times New Roman"/>
                <w:sz w:val="15"/>
              </w:rPr>
            </w:r>
            <w:r>
              <w:rPr>
                <w:rFonts w:ascii="Times New Roman" w:hAnsi="Times New Roman"/>
                <w:sz w:val="15"/>
              </w:rPr>
              <w:t>651</w:t>
            </w:r>
          </w:p>
        </w:tc>
        <w:tc>
          <w:tcPr>
            <w:tcW w:type="dxa" w:w="1170"/>
          </w:tcPr>
          <w:p>
            <w:pPr>
              <w:spacing w:line="240" w:lineRule="auto" w:after="0"/>
            </w:pPr>
            <w:r>
              <w:rPr>
                <w:rFonts w:ascii="Times New Roman" w:hAnsi="Times New Roman"/>
                <w:sz w:val="15"/>
              </w:rPr>
            </w:r>
            <w:r>
              <w:rPr>
                <w:rFonts w:ascii="Times New Roman" w:hAnsi="Times New Roman"/>
                <w:sz w:val="15"/>
              </w:rPr>
              <w:t>152</w:t>
            </w:r>
          </w:p>
        </w:tc>
        <w:tc>
          <w:tcPr>
            <w:tcW w:type="dxa" w:w="1170"/>
          </w:tcPr>
          <w:p>
            <w:pPr>
              <w:spacing w:line="240" w:lineRule="auto" w:after="0"/>
            </w:pPr>
            <w:r>
              <w:rPr>
                <w:rFonts w:ascii="Times New Roman" w:hAnsi="Times New Roman"/>
                <w:sz w:val="15"/>
              </w:rPr>
            </w:r>
            <w:r>
              <w:rPr>
                <w:rFonts w:ascii="Times New Roman" w:hAnsi="Times New Roman"/>
                <w:sz w:val="15"/>
              </w:rPr>
              <w:t>499</w:t>
            </w:r>
          </w:p>
        </w:tc>
        <w:tc>
          <w:tcPr>
            <w:tcW w:type="dxa" w:w="1170"/>
          </w:tcPr>
          <w:p>
            <w:pPr>
              <w:spacing w:line="240" w:lineRule="auto" w:after="0"/>
            </w:pPr>
            <w:r>
              <w:rPr>
                <w:rFonts w:ascii="Times New Roman" w:hAnsi="Times New Roman"/>
                <w:sz w:val="15"/>
              </w:rPr>
            </w:r>
            <w:r>
              <w:rPr>
                <w:rFonts w:ascii="Times New Roman" w:hAnsi="Times New Roman"/>
                <w:sz w:val="15"/>
              </w:rPr>
              <w:t>23.3%</w:t>
            </w:r>
          </w:p>
        </w:tc>
      </w:tr>
      <w:tr>
        <w:trPr>
          <w:cantSplit/>
        </w:trPr>
        <w:tc>
          <w:tcPr>
            <w:tcW w:type="dxa" w:w="1170"/>
          </w:tcPr>
          <w:p>
            <w:pPr>
              <w:spacing w:line="240" w:lineRule="auto" w:after="0"/>
            </w:pPr>
            <w:r>
              <w:rPr>
                <w:rFonts w:ascii="Times New Roman" w:hAnsi="Times New Roman"/>
                <w:sz w:val="15"/>
              </w:rPr>
            </w:r>
            <w:r>
              <w:rPr>
                <w:rFonts w:ascii="Times New Roman" w:hAnsi="Times New Roman"/>
                <w:sz w:val="15"/>
              </w:rPr>
              <w:t>2.1–3.0</w:t>
            </w:r>
          </w:p>
        </w:tc>
        <w:tc>
          <w:tcPr>
            <w:tcW w:type="dxa" w:w="1170"/>
          </w:tcPr>
          <w:p>
            <w:pPr>
              <w:spacing w:line="240" w:lineRule="auto" w:after="0"/>
            </w:pPr>
            <w:r>
              <w:rPr>
                <w:rFonts w:ascii="Times New Roman" w:hAnsi="Times New Roman"/>
                <w:sz w:val="15"/>
              </w:rPr>
            </w:r>
            <w:r>
              <w:rPr>
                <w:rFonts w:ascii="Times New Roman" w:hAnsi="Times New Roman"/>
                <w:sz w:val="15"/>
              </w:rPr>
              <w:t>476</w:t>
            </w:r>
          </w:p>
        </w:tc>
        <w:tc>
          <w:tcPr>
            <w:tcW w:type="dxa" w:w="1170"/>
          </w:tcPr>
          <w:p>
            <w:pPr>
              <w:spacing w:line="240" w:lineRule="auto" w:after="0"/>
            </w:pPr>
            <w:r>
              <w:rPr>
                <w:rFonts w:ascii="Times New Roman" w:hAnsi="Times New Roman"/>
                <w:sz w:val="15"/>
              </w:rPr>
            </w:r>
            <w:r>
              <w:rPr>
                <w:rFonts w:ascii="Times New Roman" w:hAnsi="Times New Roman"/>
                <w:sz w:val="15"/>
              </w:rPr>
              <w:t>49</w:t>
            </w:r>
          </w:p>
        </w:tc>
        <w:tc>
          <w:tcPr>
            <w:tcW w:type="dxa" w:w="1170"/>
          </w:tcPr>
          <w:p>
            <w:pPr>
              <w:spacing w:line="240" w:lineRule="auto" w:after="0"/>
            </w:pPr>
            <w:r>
              <w:rPr>
                <w:rFonts w:ascii="Times New Roman" w:hAnsi="Times New Roman"/>
                <w:sz w:val="15"/>
              </w:rPr>
            </w:r>
            <w:r>
              <w:rPr>
                <w:rFonts w:ascii="Times New Roman" w:hAnsi="Times New Roman"/>
                <w:sz w:val="15"/>
              </w:rPr>
              <w:t>1</w:t>
            </w:r>
          </w:p>
        </w:tc>
        <w:tc>
          <w:tcPr>
            <w:tcW w:type="dxa" w:w="1170"/>
          </w:tcPr>
          <w:p>
            <w:pPr>
              <w:spacing w:line="240" w:lineRule="auto" w:after="0"/>
            </w:pPr>
            <w:r>
              <w:rPr>
                <w:rFonts w:ascii="Times New Roman" w:hAnsi="Times New Roman"/>
                <w:sz w:val="15"/>
              </w:rPr>
            </w:r>
            <w:r>
              <w:rPr>
                <w:rFonts w:ascii="Times New Roman" w:hAnsi="Times New Roman"/>
                <w:sz w:val="15"/>
              </w:rPr>
              <w:t>426</w:t>
            </w:r>
          </w:p>
        </w:tc>
        <w:tc>
          <w:tcPr>
            <w:tcW w:type="dxa" w:w="1170"/>
          </w:tcPr>
          <w:p>
            <w:pPr>
              <w:spacing w:line="240" w:lineRule="auto" w:after="0"/>
            </w:pPr>
            <w:r>
              <w:rPr>
                <w:rFonts w:ascii="Times New Roman" w:hAnsi="Times New Roman"/>
                <w:sz w:val="15"/>
              </w:rPr>
            </w:r>
            <w:r>
              <w:rPr>
                <w:rFonts w:ascii="Times New Roman" w:hAnsi="Times New Roman"/>
                <w:sz w:val="15"/>
              </w:rPr>
              <w:t>73</w:t>
            </w:r>
          </w:p>
        </w:tc>
        <w:tc>
          <w:tcPr>
            <w:tcW w:type="dxa" w:w="1170"/>
          </w:tcPr>
          <w:p>
            <w:pPr>
              <w:spacing w:line="240" w:lineRule="auto" w:after="0"/>
            </w:pPr>
            <w:r>
              <w:rPr>
                <w:rFonts w:ascii="Times New Roman" w:hAnsi="Times New Roman"/>
                <w:sz w:val="15"/>
              </w:rPr>
            </w:r>
            <w:r>
              <w:rPr>
                <w:rFonts w:ascii="Times New Roman" w:hAnsi="Times New Roman"/>
                <w:sz w:val="15"/>
              </w:rPr>
              <w:t>353</w:t>
            </w:r>
          </w:p>
        </w:tc>
        <w:tc>
          <w:tcPr>
            <w:tcW w:type="dxa" w:w="1170"/>
          </w:tcPr>
          <w:p>
            <w:pPr>
              <w:spacing w:line="240" w:lineRule="auto" w:after="0"/>
            </w:pPr>
            <w:r>
              <w:rPr>
                <w:rFonts w:ascii="Times New Roman" w:hAnsi="Times New Roman"/>
                <w:sz w:val="15"/>
              </w:rPr>
            </w:r>
            <w:r>
              <w:rPr>
                <w:rFonts w:ascii="Times New Roman" w:hAnsi="Times New Roman"/>
                <w:sz w:val="15"/>
              </w:rPr>
              <w:t>17.1%</w:t>
            </w:r>
          </w:p>
        </w:tc>
      </w:tr>
      <w:tr>
        <w:trPr>
          <w:cantSplit/>
        </w:trPr>
        <w:tc>
          <w:tcPr>
            <w:tcW w:type="dxa" w:w="1170"/>
          </w:tcPr>
          <w:p>
            <w:pPr>
              <w:spacing w:line="240" w:lineRule="auto" w:after="0"/>
            </w:pPr>
            <w:r>
              <w:rPr>
                <w:rFonts w:ascii="Times New Roman" w:hAnsi="Times New Roman"/>
                <w:sz w:val="15"/>
              </w:rPr>
            </w:r>
            <w:r>
              <w:rPr>
                <w:rFonts w:ascii="Times New Roman" w:hAnsi="Times New Roman"/>
                <w:sz w:val="15"/>
              </w:rPr>
              <w:t>3.8–5.9</w:t>
            </w:r>
          </w:p>
        </w:tc>
        <w:tc>
          <w:tcPr>
            <w:tcW w:type="dxa" w:w="1170"/>
          </w:tcPr>
          <w:p>
            <w:pPr>
              <w:spacing w:line="240" w:lineRule="auto" w:after="0"/>
            </w:pPr>
            <w:r>
              <w:rPr>
                <w:rFonts w:ascii="Times New Roman" w:hAnsi="Times New Roman"/>
                <w:sz w:val="15"/>
              </w:rPr>
            </w:r>
            <w:r>
              <w:rPr>
                <w:rFonts w:ascii="Times New Roman" w:hAnsi="Times New Roman"/>
                <w:sz w:val="15"/>
              </w:rPr>
              <w:t>541</w:t>
            </w:r>
          </w:p>
        </w:tc>
        <w:tc>
          <w:tcPr>
            <w:tcW w:type="dxa" w:w="1170"/>
          </w:tcPr>
          <w:p>
            <w:pPr>
              <w:spacing w:line="240" w:lineRule="auto" w:after="0"/>
            </w:pPr>
            <w:r>
              <w:rPr>
                <w:rFonts w:ascii="Times New Roman" w:hAnsi="Times New Roman"/>
                <w:sz w:val="15"/>
              </w:rPr>
            </w:r>
            <w:r>
              <w:rPr>
                <w:rFonts w:ascii="Times New Roman" w:hAnsi="Times New Roman"/>
                <w:sz w:val="15"/>
              </w:rPr>
              <w:t>69</w:t>
            </w:r>
          </w:p>
        </w:tc>
        <w:tc>
          <w:tcPr>
            <w:tcW w:type="dxa" w:w="1170"/>
          </w:tcPr>
          <w:p>
            <w:pPr>
              <w:spacing w:line="240" w:lineRule="auto" w:after="0"/>
            </w:pPr>
            <w:r>
              <w:rPr>
                <w:rFonts w:ascii="Times New Roman" w:hAnsi="Times New Roman"/>
                <w:sz w:val="15"/>
              </w:rPr>
            </w:r>
            <w:r>
              <w:rPr>
                <w:rFonts w:ascii="Times New Roman" w:hAnsi="Times New Roman"/>
                <w:sz w:val="15"/>
              </w:rPr>
              <w:t>4</w:t>
            </w:r>
          </w:p>
        </w:tc>
        <w:tc>
          <w:tcPr>
            <w:tcW w:type="dxa" w:w="1170"/>
          </w:tcPr>
          <w:p>
            <w:pPr>
              <w:spacing w:line="240" w:lineRule="auto" w:after="0"/>
            </w:pPr>
            <w:r>
              <w:rPr>
                <w:rFonts w:ascii="Times New Roman" w:hAnsi="Times New Roman"/>
                <w:sz w:val="15"/>
              </w:rPr>
            </w:r>
            <w:r>
              <w:rPr>
                <w:rFonts w:ascii="Times New Roman" w:hAnsi="Times New Roman"/>
                <w:sz w:val="15"/>
              </w:rPr>
              <w:t>468</w:t>
            </w:r>
          </w:p>
        </w:tc>
        <w:tc>
          <w:tcPr>
            <w:tcW w:type="dxa" w:w="1170"/>
          </w:tcPr>
          <w:p>
            <w:pPr>
              <w:spacing w:line="240" w:lineRule="auto" w:after="0"/>
            </w:pPr>
            <w:r>
              <w:rPr>
                <w:rFonts w:ascii="Times New Roman" w:hAnsi="Times New Roman"/>
                <w:sz w:val="15"/>
              </w:rPr>
            </w:r>
            <w:r>
              <w:rPr>
                <w:rFonts w:ascii="Times New Roman" w:hAnsi="Times New Roman"/>
                <w:sz w:val="15"/>
              </w:rPr>
              <w:t>60</w:t>
            </w:r>
          </w:p>
        </w:tc>
        <w:tc>
          <w:tcPr>
            <w:tcW w:type="dxa" w:w="1170"/>
          </w:tcPr>
          <w:p>
            <w:pPr>
              <w:spacing w:line="240" w:lineRule="auto" w:after="0"/>
            </w:pPr>
            <w:r>
              <w:rPr>
                <w:rFonts w:ascii="Times New Roman" w:hAnsi="Times New Roman"/>
                <w:sz w:val="15"/>
              </w:rPr>
            </w:r>
            <w:r>
              <w:rPr>
                <w:rFonts w:ascii="Times New Roman" w:hAnsi="Times New Roman"/>
                <w:sz w:val="15"/>
              </w:rPr>
              <w:t>408</w:t>
            </w:r>
          </w:p>
        </w:tc>
        <w:tc>
          <w:tcPr>
            <w:tcW w:type="dxa" w:w="1170"/>
          </w:tcPr>
          <w:p>
            <w:pPr>
              <w:spacing w:line="240" w:lineRule="auto" w:after="0"/>
            </w:pPr>
            <w:r>
              <w:rPr>
                <w:rFonts w:ascii="Times New Roman" w:hAnsi="Times New Roman"/>
                <w:sz w:val="15"/>
              </w:rPr>
            </w:r>
            <w:r>
              <w:rPr>
                <w:rFonts w:ascii="Times New Roman" w:hAnsi="Times New Roman"/>
                <w:sz w:val="15"/>
              </w:rPr>
              <w:t>12.8%</w:t>
            </w:r>
          </w:p>
        </w:tc>
      </w:tr>
      <w:tr>
        <w:trPr>
          <w:cantSplit/>
        </w:trPr>
        <w:tc>
          <w:tcPr>
            <w:tcW w:type="dxa" w:w="1170"/>
          </w:tcPr>
          <w:p>
            <w:pPr>
              <w:spacing w:line="240" w:lineRule="auto" w:after="0"/>
            </w:pPr>
            <w:r>
              <w:rPr>
                <w:rFonts w:ascii="Times New Roman" w:hAnsi="Times New Roman"/>
                <w:sz w:val="15"/>
              </w:rPr>
            </w:r>
            <w:r>
              <w:rPr>
                <w:rFonts w:ascii="Times New Roman" w:hAnsi="Times New Roman"/>
                <w:sz w:val="15"/>
              </w:rPr>
              <w:t>8.6 (capped)</w:t>
            </w:r>
          </w:p>
        </w:tc>
        <w:tc>
          <w:tcPr>
            <w:tcW w:type="dxa" w:w="1170"/>
          </w:tcPr>
          <w:p>
            <w:pPr>
              <w:spacing w:line="240" w:lineRule="auto" w:after="0"/>
            </w:pPr>
            <w:r>
              <w:rPr>
                <w:rFonts w:ascii="Times New Roman" w:hAnsi="Times New Roman"/>
                <w:sz w:val="15"/>
              </w:rPr>
            </w:r>
            <w:r>
              <w:rPr>
                <w:rFonts w:ascii="Times New Roman" w:hAnsi="Times New Roman"/>
                <w:sz w:val="15"/>
              </w:rPr>
              <w:t>103</w:t>
            </w:r>
          </w:p>
        </w:tc>
        <w:tc>
          <w:tcPr>
            <w:tcW w:type="dxa" w:w="1170"/>
          </w:tcPr>
          <w:p>
            <w:pPr>
              <w:spacing w:line="240" w:lineRule="auto" w:after="0"/>
            </w:pPr>
            <w:r>
              <w:rPr>
                <w:rFonts w:ascii="Times New Roman" w:hAnsi="Times New Roman"/>
                <w:sz w:val="15"/>
              </w:rPr>
            </w:r>
            <w:r>
              <w:rPr>
                <w:rFonts w:ascii="Times New Roman" w:hAnsi="Times New Roman"/>
                <w:sz w:val="15"/>
              </w:rPr>
              <w:t>16</w:t>
            </w:r>
          </w:p>
        </w:tc>
        <w:tc>
          <w:tcPr>
            <w:tcW w:type="dxa" w:w="1170"/>
          </w:tcPr>
          <w:p>
            <w:pPr>
              <w:spacing w:line="240" w:lineRule="auto" w:after="0"/>
            </w:pPr>
            <w:r>
              <w:rPr>
                <w:rFonts w:ascii="Times New Roman" w:hAnsi="Times New Roman"/>
                <w:sz w:val="15"/>
              </w:rPr>
            </w:r>
            <w:r>
              <w:rPr>
                <w:rFonts w:ascii="Times New Roman" w:hAnsi="Times New Roman"/>
                <w:sz w:val="15"/>
              </w:rPr>
              <w:t>1</w:t>
            </w:r>
          </w:p>
        </w:tc>
        <w:tc>
          <w:tcPr>
            <w:tcW w:type="dxa" w:w="1170"/>
          </w:tcPr>
          <w:p>
            <w:pPr>
              <w:spacing w:line="240" w:lineRule="auto" w:after="0"/>
            </w:pPr>
            <w:r>
              <w:rPr>
                <w:rFonts w:ascii="Times New Roman" w:hAnsi="Times New Roman"/>
                <w:sz w:val="15"/>
              </w:rPr>
            </w:r>
            <w:r>
              <w:rPr>
                <w:rFonts w:ascii="Times New Roman" w:hAnsi="Times New Roman"/>
                <w:sz w:val="15"/>
              </w:rPr>
              <w:t>86</w:t>
            </w:r>
          </w:p>
        </w:tc>
        <w:tc>
          <w:tcPr>
            <w:tcW w:type="dxa" w:w="1170"/>
          </w:tcPr>
          <w:p>
            <w:pPr>
              <w:spacing w:line="240" w:lineRule="auto" w:after="0"/>
            </w:pPr>
            <w:r>
              <w:rPr>
                <w:rFonts w:ascii="Times New Roman" w:hAnsi="Times New Roman"/>
                <w:sz w:val="15"/>
              </w:rPr>
            </w:r>
            <w:r>
              <w:rPr>
                <w:rFonts w:ascii="Times New Roman" w:hAnsi="Times New Roman"/>
                <w:sz w:val="15"/>
              </w:rPr>
              <w:t>7</w:t>
            </w:r>
          </w:p>
        </w:tc>
        <w:tc>
          <w:tcPr>
            <w:tcW w:type="dxa" w:w="1170"/>
          </w:tcPr>
          <w:p>
            <w:pPr>
              <w:spacing w:line="240" w:lineRule="auto" w:after="0"/>
            </w:pPr>
            <w:r>
              <w:rPr>
                <w:rFonts w:ascii="Times New Roman" w:hAnsi="Times New Roman"/>
                <w:sz w:val="15"/>
              </w:rPr>
            </w:r>
            <w:r>
              <w:rPr>
                <w:rFonts w:ascii="Times New Roman" w:hAnsi="Times New Roman"/>
                <w:sz w:val="15"/>
              </w:rPr>
              <w:t>79</w:t>
            </w:r>
          </w:p>
        </w:tc>
        <w:tc>
          <w:tcPr>
            <w:tcW w:type="dxa" w:w="1170"/>
          </w:tcPr>
          <w:p>
            <w:pPr>
              <w:spacing w:line="240" w:lineRule="auto" w:after="0"/>
            </w:pPr>
            <w:r>
              <w:rPr>
                <w:rFonts w:ascii="Times New Roman" w:hAnsi="Times New Roman"/>
                <w:sz w:val="15"/>
              </w:rPr>
            </w:r>
            <w:r>
              <w:rPr>
                <w:rFonts w:ascii="Times New Roman" w:hAnsi="Times New Roman"/>
                <w:sz w:val="15"/>
              </w:rPr>
              <w:t>8.1%</w:t>
            </w:r>
          </w:p>
        </w:tc>
      </w:tr>
      <w:tr>
        <w:trPr>
          <w:cantSplit/>
        </w:trPr>
        <w:tc>
          <w:tcPr>
            <w:tcW w:type="dxa" w:w="1170"/>
          </w:tcPr>
          <w:p>
            <w:pPr>
              <w:spacing w:line="240" w:lineRule="auto" w:after="0"/>
            </w:pPr>
            <w:r>
              <w:rPr>
                <w:rFonts w:ascii="Times New Roman" w:hAnsi="Times New Roman"/>
                <w:sz w:val="15"/>
              </w:rPr>
            </w:r>
            <w:r>
              <w:rPr>
                <w:rFonts w:ascii="Times New Roman" w:hAnsi="Times New Roman"/>
                <w:b/>
                <w:sz w:val="15"/>
              </w:rPr>
              <w:t>All strata</w:t>
            </w:r>
          </w:p>
        </w:tc>
        <w:tc>
          <w:tcPr>
            <w:tcW w:type="dxa" w:w="1170"/>
          </w:tcPr>
          <w:p>
            <w:pPr>
              <w:spacing w:line="240" w:lineRule="auto" w:after="0"/>
            </w:pPr>
            <w:r>
              <w:rPr>
                <w:rFonts w:ascii="Times New Roman" w:hAnsi="Times New Roman"/>
                <w:sz w:val="15"/>
              </w:rPr>
            </w:r>
            <w:r>
              <w:rPr>
                <w:rFonts w:ascii="Times New Roman" w:hAnsi="Times New Roman"/>
                <w:b/>
                <w:sz w:val="15"/>
              </w:rPr>
              <w:t>1,834</w:t>
            </w:r>
          </w:p>
        </w:tc>
        <w:tc>
          <w:tcPr>
            <w:tcW w:type="dxa" w:w="1170"/>
          </w:tcPr>
          <w:p>
            <w:pPr>
              <w:spacing w:line="240" w:lineRule="auto" w:after="0"/>
            </w:pPr>
            <w:r>
              <w:rPr>
                <w:rFonts w:ascii="Times New Roman" w:hAnsi="Times New Roman"/>
                <w:sz w:val="15"/>
              </w:rPr>
            </w:r>
            <w:r>
              <w:rPr>
                <w:rFonts w:ascii="Times New Roman" w:hAnsi="Times New Roman"/>
                <w:b/>
                <w:sz w:val="15"/>
              </w:rPr>
              <w:t>196</w:t>
            </w:r>
          </w:p>
        </w:tc>
        <w:tc>
          <w:tcPr>
            <w:tcW w:type="dxa" w:w="1170"/>
          </w:tcPr>
          <w:p>
            <w:pPr>
              <w:spacing w:line="240" w:lineRule="auto" w:after="0"/>
            </w:pPr>
            <w:r>
              <w:rPr>
                <w:rFonts w:ascii="Times New Roman" w:hAnsi="Times New Roman"/>
                <w:sz w:val="15"/>
              </w:rPr>
            </w:r>
            <w:r>
              <w:rPr>
                <w:rFonts w:ascii="Times New Roman" w:hAnsi="Times New Roman"/>
                <w:b/>
                <w:sz w:val="15"/>
              </w:rPr>
              <w:t>7</w:t>
            </w:r>
          </w:p>
        </w:tc>
        <w:tc>
          <w:tcPr>
            <w:tcW w:type="dxa" w:w="1170"/>
          </w:tcPr>
          <w:p>
            <w:pPr>
              <w:spacing w:line="240" w:lineRule="auto" w:after="0"/>
            </w:pPr>
            <w:r>
              <w:rPr>
                <w:rFonts w:ascii="Times New Roman" w:hAnsi="Times New Roman"/>
                <w:sz w:val="15"/>
              </w:rPr>
            </w:r>
            <w:r>
              <w:rPr>
                <w:rFonts w:ascii="Times New Roman" w:hAnsi="Times New Roman"/>
                <w:b/>
                <w:sz w:val="15"/>
              </w:rPr>
              <w:t>1,631</w:t>
            </w:r>
          </w:p>
        </w:tc>
        <w:tc>
          <w:tcPr>
            <w:tcW w:type="dxa" w:w="1170"/>
          </w:tcPr>
          <w:p>
            <w:pPr>
              <w:spacing w:line="240" w:lineRule="auto" w:after="0"/>
            </w:pPr>
            <w:r>
              <w:rPr>
                <w:rFonts w:ascii="Times New Roman" w:hAnsi="Times New Roman"/>
                <w:sz w:val="15"/>
              </w:rPr>
            </w:r>
            <w:r>
              <w:rPr>
                <w:rFonts w:ascii="Times New Roman" w:hAnsi="Times New Roman"/>
                <w:b/>
                <w:sz w:val="15"/>
              </w:rPr>
              <w:t>292</w:t>
            </w:r>
          </w:p>
        </w:tc>
        <w:tc>
          <w:tcPr>
            <w:tcW w:type="dxa" w:w="1170"/>
          </w:tcPr>
          <w:p>
            <w:pPr>
              <w:spacing w:line="240" w:lineRule="auto" w:after="0"/>
            </w:pPr>
            <w:r>
              <w:rPr>
                <w:rFonts w:ascii="Times New Roman" w:hAnsi="Times New Roman"/>
                <w:sz w:val="15"/>
              </w:rPr>
            </w:r>
            <w:r>
              <w:rPr>
                <w:rFonts w:ascii="Times New Roman" w:hAnsi="Times New Roman"/>
                <w:b/>
                <w:sz w:val="15"/>
              </w:rPr>
              <w:t>1,339</w:t>
            </w:r>
          </w:p>
        </w:tc>
        <w:tc>
          <w:tcPr>
            <w:tcW w:type="dxa" w:w="1170"/>
          </w:tcPr>
          <w:p>
            <w:pPr>
              <w:spacing w:line="240" w:lineRule="auto" w:after="0"/>
            </w:pPr>
            <w:r>
              <w:rPr>
                <w:rFonts w:ascii="Times New Roman" w:hAnsi="Times New Roman"/>
                <w:sz w:val="15"/>
              </w:rPr>
            </w:r>
            <w:r>
              <w:rPr>
                <w:rFonts w:ascii="Times New Roman" w:hAnsi="Times New Roman"/>
                <w:b/>
                <w:sz w:val="15"/>
              </w:rPr>
              <w:t>17.9%</w:t>
            </w:r>
          </w:p>
        </w:tc>
      </w:tr>
    </w:tbl>
    <w:p/>
    <w:p>
      <w:pPr>
        <w:jc w:val="left"/>
      </w:pPr>
      <w:r>
        <w:t>Only 292 of 1,631 censored patients (17.9%) had left hospital before the renal window closed. The other 1,339 were still inpatients; their follow-up ends because creatinine stopped being ordered, not because they went home. Median follow-up was 3.57 days in the discharged group and 5.64 days in the group still admitted, so the latter are censored close to the window's end rather than early.</w:t>
      </w:r>
    </w:p>
    <w:p>
      <w:pPr>
        <w:jc w:val="left"/>
      </w:pPr>
      <w:r>
        <w:t>The proportion attributable to discharge is itself graded by exposure, falling from 23.3% in the lowest stratum to 8.1% in the highest. This runs in the clinically expected direction, since sicker patients stay longer, but it removes the comfortable reading. In the top lactate stratum, censoring is almost entirely cessation of testing in a patient who is still in hospital, and that is harder to argue is unrelated to the clinician's judgement of renal risk than early discharge would have been. We now say so rather than leaning on the discharge explanation.</w:t>
      </w:r>
    </w:p>
    <w:p>
      <w:pPr>
        <w:pStyle w:val="Heading3"/>
        <w:keepNext/>
        <w:spacing w:line="276" w:lineRule="auto" w:before="200" w:after="80"/>
      </w:pPr>
      <w:r>
        <w:rPr>
          <w:rFonts w:ascii="Times New Roman" w:hAnsi="Times New Roman"/>
          <w:color w:val="000000"/>
        </w:rPr>
        <w:t>12b.2 Bounding the censoring assumption instead of defending it</w:t>
      </w:r>
    </w:p>
    <w:p>
      <w:pPr>
        <w:jc w:val="left"/>
      </w:pPr>
      <w:r>
        <w:t>The primary analysis assumes patients who stop being observed carry the same AKI hazard as those still under observation. Recoding their exit as a competing event assumes the opposite extreme, that they carry none, and yields a lower bound on cumulative incidence. Section 11's tipping-point analysis explores the third direction, in which the unobserved carry more risk. Three event structures were fitted:</w:t>
      </w:r>
    </w:p>
    <w:p>
      <w:pPr>
        <w:pStyle w:val="ListBullet"/>
        <w:spacing w:line="360" w:lineRule="auto"/>
      </w:pPr>
      <w:r>
        <w:rPr>
          <w:b/>
        </w:rPr>
        <w:t>A.</w:t>
      </w:r>
      <w:r>
        <w:t xml:space="preserve"> Death only competing, everything else censored, as published.</w:t>
      </w:r>
    </w:p>
    <w:p>
      <w:pPr>
        <w:pStyle w:val="ListBullet"/>
        <w:spacing w:line="360" w:lineRule="auto"/>
      </w:pPr>
      <w:r>
        <w:rPr>
          <w:b/>
        </w:rPr>
        <w:t>B.</w:t>
      </w:r>
      <w:r>
        <w:t xml:space="preserve"> Death and in-window discharge competing. Discharge is timed at the later of the discharge record and the last creatinine, capped at the window.</w:t>
      </w:r>
    </w:p>
    <w:p>
      <w:pPr>
        <w:pStyle w:val="ListBullet"/>
        <w:spacing w:line="360" w:lineRule="auto"/>
      </w:pPr>
      <w:r>
        <w:rPr>
          <w:b/>
        </w:rPr>
        <w:t>C.</w:t>
      </w:r>
      <w:r>
        <w:t xml:space="preserve"> Death and every censoring event competing, the absolute lower bound.</w:t>
      </w:r>
    </w:p>
    <w:tbl>
      <w:tblPr>
        <w:tblStyle w:val="TableGrid"/>
        <w:tblW w:type="auto" w:w="0"/>
        <w:jc w:val="center"/>
        <w:tblLook w:firstColumn="1" w:firstRow="1" w:lastColumn="0" w:lastRow="0" w:noHBand="0" w:noVBand="1" w:val="04A0"/>
      </w:tblPr>
      <w:tblGrid>
        <w:gridCol w:w="1872"/>
        <w:gridCol w:w="1872"/>
        <w:gridCol w:w="1872"/>
        <w:gridCol w:w="1872"/>
        <w:gridCol w:w="1872"/>
      </w:tblGrid>
      <w:tr>
        <w:trPr>
          <w:tblHeader w:val="true"/>
          <w:cantSplit/>
        </w:trPr>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Variant</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n</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AKI events</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Competing</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Censored</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A, as published</w:t>
            </w:r>
          </w:p>
        </w:tc>
        <w:tc>
          <w:tcPr>
            <w:tcW w:type="dxa" w:w="1872"/>
          </w:tcPr>
          <w:p>
            <w:pPr>
              <w:spacing w:line="240" w:lineRule="auto" w:after="0"/>
            </w:pPr>
            <w:r>
              <w:rPr>
                <w:rFonts w:ascii="Times New Roman" w:hAnsi="Times New Roman"/>
                <w:sz w:val="15"/>
              </w:rPr>
            </w:r>
            <w:r>
              <w:rPr>
                <w:rFonts w:ascii="Times New Roman" w:hAnsi="Times New Roman"/>
                <w:sz w:val="15"/>
              </w:rPr>
              <w:t>1,834</w:t>
            </w:r>
          </w:p>
        </w:tc>
        <w:tc>
          <w:tcPr>
            <w:tcW w:type="dxa" w:w="1872"/>
          </w:tcPr>
          <w:p>
            <w:pPr>
              <w:spacing w:line="240" w:lineRule="auto" w:after="0"/>
            </w:pPr>
            <w:r>
              <w:rPr>
                <w:rFonts w:ascii="Times New Roman" w:hAnsi="Times New Roman"/>
                <w:sz w:val="15"/>
              </w:rPr>
            </w:r>
            <w:r>
              <w:rPr>
                <w:rFonts w:ascii="Times New Roman" w:hAnsi="Times New Roman"/>
                <w:sz w:val="15"/>
              </w:rPr>
              <w:t>196</w:t>
            </w:r>
          </w:p>
        </w:tc>
        <w:tc>
          <w:tcPr>
            <w:tcW w:type="dxa" w:w="1872"/>
          </w:tcPr>
          <w:p>
            <w:pPr>
              <w:spacing w:line="240" w:lineRule="auto" w:after="0"/>
            </w:pPr>
            <w:r>
              <w:rPr>
                <w:rFonts w:ascii="Times New Roman" w:hAnsi="Times New Roman"/>
                <w:sz w:val="15"/>
              </w:rPr>
            </w:r>
            <w:r>
              <w:rPr>
                <w:rFonts w:ascii="Times New Roman" w:hAnsi="Times New Roman"/>
                <w:sz w:val="15"/>
              </w:rPr>
              <w:t>7</w:t>
            </w:r>
          </w:p>
        </w:tc>
        <w:tc>
          <w:tcPr>
            <w:tcW w:type="dxa" w:w="1872"/>
          </w:tcPr>
          <w:p>
            <w:pPr>
              <w:spacing w:line="240" w:lineRule="auto" w:after="0"/>
            </w:pPr>
            <w:r>
              <w:rPr>
                <w:rFonts w:ascii="Times New Roman" w:hAnsi="Times New Roman"/>
                <w:sz w:val="15"/>
              </w:rPr>
            </w:r>
            <w:r>
              <w:rPr>
                <w:rFonts w:ascii="Times New Roman" w:hAnsi="Times New Roman"/>
                <w:sz w:val="15"/>
              </w:rPr>
              <w:t>1,631</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B, discharge also competing</w:t>
            </w:r>
          </w:p>
        </w:tc>
        <w:tc>
          <w:tcPr>
            <w:tcW w:type="dxa" w:w="1872"/>
          </w:tcPr>
          <w:p>
            <w:pPr>
              <w:spacing w:line="240" w:lineRule="auto" w:after="0"/>
            </w:pPr>
            <w:r>
              <w:rPr>
                <w:rFonts w:ascii="Times New Roman" w:hAnsi="Times New Roman"/>
                <w:sz w:val="15"/>
              </w:rPr>
            </w:r>
            <w:r>
              <w:rPr>
                <w:rFonts w:ascii="Times New Roman" w:hAnsi="Times New Roman"/>
                <w:sz w:val="15"/>
              </w:rPr>
              <w:t>1,834</w:t>
            </w:r>
          </w:p>
        </w:tc>
        <w:tc>
          <w:tcPr>
            <w:tcW w:type="dxa" w:w="1872"/>
          </w:tcPr>
          <w:p>
            <w:pPr>
              <w:spacing w:line="240" w:lineRule="auto" w:after="0"/>
            </w:pPr>
            <w:r>
              <w:rPr>
                <w:rFonts w:ascii="Times New Roman" w:hAnsi="Times New Roman"/>
                <w:sz w:val="15"/>
              </w:rPr>
            </w:r>
            <w:r>
              <w:rPr>
                <w:rFonts w:ascii="Times New Roman" w:hAnsi="Times New Roman"/>
                <w:sz w:val="15"/>
              </w:rPr>
              <w:t>196</w:t>
            </w:r>
          </w:p>
        </w:tc>
        <w:tc>
          <w:tcPr>
            <w:tcW w:type="dxa" w:w="1872"/>
          </w:tcPr>
          <w:p>
            <w:pPr>
              <w:spacing w:line="240" w:lineRule="auto" w:after="0"/>
            </w:pPr>
            <w:r>
              <w:rPr>
                <w:rFonts w:ascii="Times New Roman" w:hAnsi="Times New Roman"/>
                <w:sz w:val="15"/>
              </w:rPr>
            </w:r>
            <w:r>
              <w:rPr>
                <w:rFonts w:ascii="Times New Roman" w:hAnsi="Times New Roman"/>
                <w:sz w:val="15"/>
              </w:rPr>
              <w:t>299</w:t>
            </w:r>
          </w:p>
        </w:tc>
        <w:tc>
          <w:tcPr>
            <w:tcW w:type="dxa" w:w="1872"/>
          </w:tcPr>
          <w:p>
            <w:pPr>
              <w:spacing w:line="240" w:lineRule="auto" w:after="0"/>
            </w:pPr>
            <w:r>
              <w:rPr>
                <w:rFonts w:ascii="Times New Roman" w:hAnsi="Times New Roman"/>
                <w:sz w:val="15"/>
              </w:rPr>
            </w:r>
            <w:r>
              <w:rPr>
                <w:rFonts w:ascii="Times New Roman" w:hAnsi="Times New Roman"/>
                <w:sz w:val="15"/>
              </w:rPr>
              <w:t>1,339</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C, all censoring competing</w:t>
            </w:r>
          </w:p>
        </w:tc>
        <w:tc>
          <w:tcPr>
            <w:tcW w:type="dxa" w:w="1872"/>
          </w:tcPr>
          <w:p>
            <w:pPr>
              <w:spacing w:line="240" w:lineRule="auto" w:after="0"/>
            </w:pPr>
            <w:r>
              <w:rPr>
                <w:rFonts w:ascii="Times New Roman" w:hAnsi="Times New Roman"/>
                <w:sz w:val="15"/>
              </w:rPr>
            </w:r>
            <w:r>
              <w:rPr>
                <w:rFonts w:ascii="Times New Roman" w:hAnsi="Times New Roman"/>
                <w:sz w:val="15"/>
              </w:rPr>
              <w:t>1,834</w:t>
            </w:r>
          </w:p>
        </w:tc>
        <w:tc>
          <w:tcPr>
            <w:tcW w:type="dxa" w:w="1872"/>
          </w:tcPr>
          <w:p>
            <w:pPr>
              <w:spacing w:line="240" w:lineRule="auto" w:after="0"/>
            </w:pPr>
            <w:r>
              <w:rPr>
                <w:rFonts w:ascii="Times New Roman" w:hAnsi="Times New Roman"/>
                <w:sz w:val="15"/>
              </w:rPr>
            </w:r>
            <w:r>
              <w:rPr>
                <w:rFonts w:ascii="Times New Roman" w:hAnsi="Times New Roman"/>
                <w:sz w:val="15"/>
              </w:rPr>
              <w:t>196</w:t>
            </w:r>
          </w:p>
        </w:tc>
        <w:tc>
          <w:tcPr>
            <w:tcW w:type="dxa" w:w="1872"/>
          </w:tcPr>
          <w:p>
            <w:pPr>
              <w:spacing w:line="240" w:lineRule="auto" w:after="0"/>
            </w:pPr>
            <w:r>
              <w:rPr>
                <w:rFonts w:ascii="Times New Roman" w:hAnsi="Times New Roman"/>
                <w:sz w:val="15"/>
              </w:rPr>
            </w:r>
            <w:r>
              <w:rPr>
                <w:rFonts w:ascii="Times New Roman" w:hAnsi="Times New Roman"/>
                <w:sz w:val="15"/>
              </w:rPr>
              <w:t>1,638</w:t>
            </w:r>
          </w:p>
        </w:tc>
        <w:tc>
          <w:tcPr>
            <w:tcW w:type="dxa" w:w="1872"/>
          </w:tcPr>
          <w:p>
            <w:pPr>
              <w:spacing w:line="240" w:lineRule="auto" w:after="0"/>
            </w:pPr>
            <w:r>
              <w:rPr>
                <w:rFonts w:ascii="Times New Roman" w:hAnsi="Times New Roman"/>
                <w:sz w:val="15"/>
              </w:rPr>
            </w:r>
            <w:r>
              <w:rPr>
                <w:rFonts w:ascii="Times New Roman" w:hAnsi="Times New Roman"/>
                <w:sz w:val="15"/>
              </w:rPr>
              <w:t>0</w:t>
            </w:r>
          </w:p>
        </w:tc>
      </w:tr>
    </w:tbl>
    <w:p/>
    <w:p>
      <w:pPr>
        <w:jc w:val="left"/>
      </w:pPr>
      <w:r>
        <w:t xml:space="preserve">Effect estimates are insensitive to the choice. The Fine-Gray fitter is the implementation validated against </w:t>
      </w:r>
      <w:r>
        <w:rPr>
          <w:rFonts w:ascii="Consolas" w:hAnsi="Consolas"/>
          <w:sz w:val="18"/>
        </w:rPr>
        <w:t>cmprsk::crr</w:t>
      </w:r>
      <w:r>
        <w:t xml:space="preserve"> in Additional file 4, reused unchanged; only the event coding differs.</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rPr>
          <w:tblHeader w:val="true"/>
          <w:cantSplit/>
        </w:trPr>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Variant</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Estimator</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2.1–3.0</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3.8–5.9</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8.6 (capped)</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Per-stratum trend</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A</w:t>
            </w:r>
          </w:p>
        </w:tc>
        <w:tc>
          <w:tcPr>
            <w:tcW w:type="dxa" w:w="1560"/>
          </w:tcPr>
          <w:p>
            <w:pPr>
              <w:spacing w:line="240" w:lineRule="auto" w:after="0"/>
            </w:pPr>
            <w:r>
              <w:rPr>
                <w:rFonts w:ascii="Times New Roman" w:hAnsi="Times New Roman"/>
                <w:sz w:val="15"/>
              </w:rPr>
            </w:r>
            <w:r>
              <w:rPr>
                <w:rFonts w:ascii="Times New Roman" w:hAnsi="Times New Roman"/>
                <w:sz w:val="15"/>
              </w:rPr>
              <w:t>Cause-specific HR</w:t>
            </w:r>
          </w:p>
        </w:tc>
        <w:tc>
          <w:tcPr>
            <w:tcW w:type="dxa" w:w="1560"/>
          </w:tcPr>
          <w:p>
            <w:pPr>
              <w:spacing w:line="240" w:lineRule="auto" w:after="0"/>
            </w:pPr>
            <w:r>
              <w:rPr>
                <w:rFonts w:ascii="Times New Roman" w:hAnsi="Times New Roman"/>
                <w:sz w:val="15"/>
              </w:rPr>
            </w:r>
            <w:r>
              <w:rPr>
                <w:rFonts w:ascii="Times New Roman" w:hAnsi="Times New Roman"/>
                <w:sz w:val="15"/>
              </w:rPr>
              <w:t>1.16 (0.79–1.69)</w:t>
            </w:r>
          </w:p>
        </w:tc>
        <w:tc>
          <w:tcPr>
            <w:tcW w:type="dxa" w:w="1560"/>
          </w:tcPr>
          <w:p>
            <w:pPr>
              <w:spacing w:line="240" w:lineRule="auto" w:after="0"/>
            </w:pPr>
            <w:r>
              <w:rPr>
                <w:rFonts w:ascii="Times New Roman" w:hAnsi="Times New Roman"/>
                <w:sz w:val="15"/>
              </w:rPr>
            </w:r>
            <w:r>
              <w:rPr>
                <w:rFonts w:ascii="Times New Roman" w:hAnsi="Times New Roman"/>
                <w:sz w:val="15"/>
              </w:rPr>
              <w:t>1.48 (1.04–2.10)</w:t>
            </w:r>
          </w:p>
        </w:tc>
        <w:tc>
          <w:tcPr>
            <w:tcW w:type="dxa" w:w="1560"/>
          </w:tcPr>
          <w:p>
            <w:pPr>
              <w:spacing w:line="240" w:lineRule="auto" w:after="0"/>
            </w:pPr>
            <w:r>
              <w:rPr>
                <w:rFonts w:ascii="Times New Roman" w:hAnsi="Times New Roman"/>
                <w:sz w:val="15"/>
              </w:rPr>
            </w:r>
            <w:r>
              <w:rPr>
                <w:rFonts w:ascii="Times New Roman" w:hAnsi="Times New Roman"/>
                <w:b/>
                <w:sz w:val="15"/>
              </w:rPr>
              <w:t>2.13 (1.22–3.74)</w:t>
            </w:r>
          </w:p>
        </w:tc>
        <w:tc>
          <w:tcPr>
            <w:tcW w:type="dxa" w:w="1560"/>
          </w:tcPr>
          <w:p>
            <w:pPr>
              <w:spacing w:line="240" w:lineRule="auto" w:after="0"/>
            </w:pPr>
            <w:r>
              <w:rPr>
                <w:rFonts w:ascii="Times New Roman" w:hAnsi="Times New Roman"/>
                <w:sz w:val="15"/>
              </w:rPr>
            </w:r>
            <w:r>
              <w:rPr>
                <w:rFonts w:ascii="Times New Roman" w:hAnsi="Times New Roman"/>
                <w:sz w:val="15"/>
              </w:rPr>
              <w:t>1.25 (1.08–1.45), P=0.003</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A</w:t>
            </w:r>
          </w:p>
        </w:tc>
        <w:tc>
          <w:tcPr>
            <w:tcW w:type="dxa" w:w="1560"/>
          </w:tcPr>
          <w:p>
            <w:pPr>
              <w:spacing w:line="240" w:lineRule="auto" w:after="0"/>
            </w:pPr>
            <w:r>
              <w:rPr>
                <w:rFonts w:ascii="Times New Roman" w:hAnsi="Times New Roman"/>
                <w:sz w:val="15"/>
              </w:rPr>
            </w:r>
            <w:r>
              <w:rPr>
                <w:rFonts w:ascii="Times New Roman" w:hAnsi="Times New Roman"/>
                <w:sz w:val="15"/>
              </w:rPr>
              <w:t>Subdistribution HR</w:t>
            </w:r>
          </w:p>
        </w:tc>
        <w:tc>
          <w:tcPr>
            <w:tcW w:type="dxa" w:w="1560"/>
          </w:tcPr>
          <w:p>
            <w:pPr>
              <w:spacing w:line="240" w:lineRule="auto" w:after="0"/>
            </w:pPr>
            <w:r>
              <w:rPr>
                <w:rFonts w:ascii="Times New Roman" w:hAnsi="Times New Roman"/>
                <w:sz w:val="15"/>
              </w:rPr>
            </w:r>
            <w:r>
              <w:rPr>
                <w:rFonts w:ascii="Times New Roman" w:hAnsi="Times New Roman"/>
                <w:sz w:val="15"/>
              </w:rPr>
              <w:t>1.16 (0.79–1.69)</w:t>
            </w:r>
          </w:p>
        </w:tc>
        <w:tc>
          <w:tcPr>
            <w:tcW w:type="dxa" w:w="1560"/>
          </w:tcPr>
          <w:p>
            <w:pPr>
              <w:spacing w:line="240" w:lineRule="auto" w:after="0"/>
            </w:pPr>
            <w:r>
              <w:rPr>
                <w:rFonts w:ascii="Times New Roman" w:hAnsi="Times New Roman"/>
                <w:sz w:val="15"/>
              </w:rPr>
            </w:r>
            <w:r>
              <w:rPr>
                <w:rFonts w:ascii="Times New Roman" w:hAnsi="Times New Roman"/>
                <w:sz w:val="15"/>
              </w:rPr>
              <w:t>1.48 (1.04–2.10)</w:t>
            </w:r>
          </w:p>
        </w:tc>
        <w:tc>
          <w:tcPr>
            <w:tcW w:type="dxa" w:w="1560"/>
          </w:tcPr>
          <w:p>
            <w:pPr>
              <w:spacing w:line="240" w:lineRule="auto" w:after="0"/>
            </w:pPr>
            <w:r>
              <w:rPr>
                <w:rFonts w:ascii="Times New Roman" w:hAnsi="Times New Roman"/>
                <w:sz w:val="15"/>
              </w:rPr>
            </w:r>
            <w:r>
              <w:rPr>
                <w:rFonts w:ascii="Times New Roman" w:hAnsi="Times New Roman"/>
                <w:sz w:val="15"/>
              </w:rPr>
              <w:t>2.12 (1.21–3.70)</w:t>
            </w:r>
          </w:p>
        </w:tc>
        <w:tc>
          <w:tcPr>
            <w:tcW w:type="dxa" w:w="1560"/>
          </w:tcPr>
          <w:p>
            <w:pPr>
              <w:spacing w:line="240" w:lineRule="auto" w:after="0"/>
            </w:pPr>
            <w:r>
              <w:rPr>
                <w:rFonts w:ascii="Times New Roman" w:hAnsi="Times New Roman"/>
                <w:sz w:val="15"/>
              </w:rPr>
            </w:r>
            <w:r>
              <w:rPr>
                <w:rFonts w:ascii="Times New Roman" w:hAnsi="Times New Roman"/>
                <w:sz w:val="15"/>
              </w:rPr>
              <w:t>1.25 (1.08–1.45), P=0.004</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B</w:t>
            </w:r>
          </w:p>
        </w:tc>
        <w:tc>
          <w:tcPr>
            <w:tcW w:type="dxa" w:w="1560"/>
          </w:tcPr>
          <w:p>
            <w:pPr>
              <w:spacing w:line="240" w:lineRule="auto" w:after="0"/>
            </w:pPr>
            <w:r>
              <w:rPr>
                <w:rFonts w:ascii="Times New Roman" w:hAnsi="Times New Roman"/>
                <w:sz w:val="15"/>
              </w:rPr>
            </w:r>
            <w:r>
              <w:rPr>
                <w:rFonts w:ascii="Times New Roman" w:hAnsi="Times New Roman"/>
                <w:sz w:val="15"/>
              </w:rPr>
              <w:t>Cause-specific HR</w:t>
            </w:r>
          </w:p>
        </w:tc>
        <w:tc>
          <w:tcPr>
            <w:tcW w:type="dxa" w:w="1560"/>
          </w:tcPr>
          <w:p>
            <w:pPr>
              <w:spacing w:line="240" w:lineRule="auto" w:after="0"/>
            </w:pPr>
            <w:r>
              <w:rPr>
                <w:rFonts w:ascii="Times New Roman" w:hAnsi="Times New Roman"/>
                <w:sz w:val="15"/>
              </w:rPr>
            </w:r>
            <w:r>
              <w:rPr>
                <w:rFonts w:ascii="Times New Roman" w:hAnsi="Times New Roman"/>
                <w:sz w:val="15"/>
              </w:rPr>
              <w:t>1.17 (0.80–1.70)</w:t>
            </w:r>
          </w:p>
        </w:tc>
        <w:tc>
          <w:tcPr>
            <w:tcW w:type="dxa" w:w="1560"/>
          </w:tcPr>
          <w:p>
            <w:pPr>
              <w:spacing w:line="240" w:lineRule="auto" w:after="0"/>
            </w:pPr>
            <w:r>
              <w:rPr>
                <w:rFonts w:ascii="Times New Roman" w:hAnsi="Times New Roman"/>
                <w:sz w:val="15"/>
              </w:rPr>
            </w:r>
            <w:r>
              <w:rPr>
                <w:rFonts w:ascii="Times New Roman" w:hAnsi="Times New Roman"/>
                <w:sz w:val="15"/>
              </w:rPr>
              <w:t>1.49 (1.05–2.11)</w:t>
            </w:r>
          </w:p>
        </w:tc>
        <w:tc>
          <w:tcPr>
            <w:tcW w:type="dxa" w:w="1560"/>
          </w:tcPr>
          <w:p>
            <w:pPr>
              <w:spacing w:line="240" w:lineRule="auto" w:after="0"/>
            </w:pPr>
            <w:r>
              <w:rPr>
                <w:rFonts w:ascii="Times New Roman" w:hAnsi="Times New Roman"/>
                <w:sz w:val="15"/>
              </w:rPr>
            </w:r>
            <w:r>
              <w:rPr>
                <w:rFonts w:ascii="Times New Roman" w:hAnsi="Times New Roman"/>
                <w:sz w:val="15"/>
              </w:rPr>
              <w:t>2.16 (1.24–3.79)</w:t>
            </w:r>
          </w:p>
        </w:tc>
        <w:tc>
          <w:tcPr>
            <w:tcW w:type="dxa" w:w="1560"/>
          </w:tcPr>
          <w:p>
            <w:pPr>
              <w:spacing w:line="240" w:lineRule="auto" w:after="0"/>
            </w:pPr>
            <w:r>
              <w:rPr>
                <w:rFonts w:ascii="Times New Roman" w:hAnsi="Times New Roman"/>
                <w:sz w:val="15"/>
              </w:rPr>
            </w:r>
            <w:r>
              <w:rPr>
                <w:rFonts w:ascii="Times New Roman" w:hAnsi="Times New Roman"/>
                <w:sz w:val="15"/>
              </w:rPr>
              <w:t>1.26 (1.08–1.46), P=0.003</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B</w:t>
            </w:r>
          </w:p>
        </w:tc>
        <w:tc>
          <w:tcPr>
            <w:tcW w:type="dxa" w:w="1560"/>
          </w:tcPr>
          <w:p>
            <w:pPr>
              <w:spacing w:line="240" w:lineRule="auto" w:after="0"/>
            </w:pPr>
            <w:r>
              <w:rPr>
                <w:rFonts w:ascii="Times New Roman" w:hAnsi="Times New Roman"/>
                <w:sz w:val="15"/>
              </w:rPr>
            </w:r>
            <w:r>
              <w:rPr>
                <w:rFonts w:ascii="Times New Roman" w:hAnsi="Times New Roman"/>
                <w:sz w:val="15"/>
              </w:rPr>
              <w:t>Subdistribution HR</w:t>
            </w:r>
          </w:p>
        </w:tc>
        <w:tc>
          <w:tcPr>
            <w:tcW w:type="dxa" w:w="1560"/>
          </w:tcPr>
          <w:p>
            <w:pPr>
              <w:spacing w:line="240" w:lineRule="auto" w:after="0"/>
            </w:pPr>
            <w:r>
              <w:rPr>
                <w:rFonts w:ascii="Times New Roman" w:hAnsi="Times New Roman"/>
                <w:sz w:val="15"/>
              </w:rPr>
            </w:r>
            <w:r>
              <w:rPr>
                <w:rFonts w:ascii="Times New Roman" w:hAnsi="Times New Roman"/>
                <w:sz w:val="15"/>
              </w:rPr>
              <w:t>1.17 (0.80–1.71)</w:t>
            </w:r>
          </w:p>
        </w:tc>
        <w:tc>
          <w:tcPr>
            <w:tcW w:type="dxa" w:w="1560"/>
          </w:tcPr>
          <w:p>
            <w:pPr>
              <w:spacing w:line="240" w:lineRule="auto" w:after="0"/>
            </w:pPr>
            <w:r>
              <w:rPr>
                <w:rFonts w:ascii="Times New Roman" w:hAnsi="Times New Roman"/>
                <w:sz w:val="15"/>
              </w:rPr>
            </w:r>
            <w:r>
              <w:rPr>
                <w:rFonts w:ascii="Times New Roman" w:hAnsi="Times New Roman"/>
                <w:sz w:val="15"/>
              </w:rPr>
              <w:t>1.50 (1.05–2.12)</w:t>
            </w:r>
          </w:p>
        </w:tc>
        <w:tc>
          <w:tcPr>
            <w:tcW w:type="dxa" w:w="1560"/>
          </w:tcPr>
          <w:p>
            <w:pPr>
              <w:spacing w:line="240" w:lineRule="auto" w:after="0"/>
            </w:pPr>
            <w:r>
              <w:rPr>
                <w:rFonts w:ascii="Times New Roman" w:hAnsi="Times New Roman"/>
                <w:sz w:val="15"/>
              </w:rPr>
            </w:r>
            <w:r>
              <w:rPr>
                <w:rFonts w:ascii="Times New Roman" w:hAnsi="Times New Roman"/>
                <w:b/>
                <w:sz w:val="15"/>
              </w:rPr>
              <w:t>2.17 (1.24–3.80)</w:t>
            </w:r>
          </w:p>
        </w:tc>
        <w:tc>
          <w:tcPr>
            <w:tcW w:type="dxa" w:w="1560"/>
          </w:tcPr>
          <w:p>
            <w:pPr>
              <w:spacing w:line="240" w:lineRule="auto" w:after="0"/>
            </w:pPr>
            <w:r>
              <w:rPr>
                <w:rFonts w:ascii="Times New Roman" w:hAnsi="Times New Roman"/>
                <w:sz w:val="15"/>
              </w:rPr>
            </w:r>
            <w:r>
              <w:rPr>
                <w:rFonts w:ascii="Times New Roman" w:hAnsi="Times New Roman"/>
                <w:sz w:val="15"/>
              </w:rPr>
              <w:t>1.26 (1.08–1.46), P=0.003</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C</w:t>
            </w:r>
          </w:p>
        </w:tc>
        <w:tc>
          <w:tcPr>
            <w:tcW w:type="dxa" w:w="1560"/>
          </w:tcPr>
          <w:p>
            <w:pPr>
              <w:spacing w:line="240" w:lineRule="auto" w:after="0"/>
            </w:pPr>
            <w:r>
              <w:rPr>
                <w:rFonts w:ascii="Times New Roman" w:hAnsi="Times New Roman"/>
                <w:sz w:val="15"/>
              </w:rPr>
            </w:r>
            <w:r>
              <w:rPr>
                <w:rFonts w:ascii="Times New Roman" w:hAnsi="Times New Roman"/>
                <w:sz w:val="15"/>
              </w:rPr>
              <w:t>Cause-specific HR</w:t>
            </w:r>
          </w:p>
        </w:tc>
        <w:tc>
          <w:tcPr>
            <w:tcW w:type="dxa" w:w="1560"/>
          </w:tcPr>
          <w:p>
            <w:pPr>
              <w:spacing w:line="240" w:lineRule="auto" w:after="0"/>
            </w:pPr>
            <w:r>
              <w:rPr>
                <w:rFonts w:ascii="Times New Roman" w:hAnsi="Times New Roman"/>
                <w:sz w:val="15"/>
              </w:rPr>
            </w:r>
            <w:r>
              <w:rPr>
                <w:rFonts w:ascii="Times New Roman" w:hAnsi="Times New Roman"/>
                <w:sz w:val="15"/>
              </w:rPr>
              <w:t>1.16 (0.79–1.69)</w:t>
            </w:r>
          </w:p>
        </w:tc>
        <w:tc>
          <w:tcPr>
            <w:tcW w:type="dxa" w:w="1560"/>
          </w:tcPr>
          <w:p>
            <w:pPr>
              <w:spacing w:line="240" w:lineRule="auto" w:after="0"/>
            </w:pPr>
            <w:r>
              <w:rPr>
                <w:rFonts w:ascii="Times New Roman" w:hAnsi="Times New Roman"/>
                <w:sz w:val="15"/>
              </w:rPr>
            </w:r>
            <w:r>
              <w:rPr>
                <w:rFonts w:ascii="Times New Roman" w:hAnsi="Times New Roman"/>
                <w:sz w:val="15"/>
              </w:rPr>
              <w:t>1.48 (1.04–2.10)</w:t>
            </w:r>
          </w:p>
        </w:tc>
        <w:tc>
          <w:tcPr>
            <w:tcW w:type="dxa" w:w="1560"/>
          </w:tcPr>
          <w:p>
            <w:pPr>
              <w:spacing w:line="240" w:lineRule="auto" w:after="0"/>
            </w:pPr>
            <w:r>
              <w:rPr>
                <w:rFonts w:ascii="Times New Roman" w:hAnsi="Times New Roman"/>
                <w:sz w:val="15"/>
              </w:rPr>
            </w:r>
            <w:r>
              <w:rPr>
                <w:rFonts w:ascii="Times New Roman" w:hAnsi="Times New Roman"/>
                <w:sz w:val="15"/>
              </w:rPr>
              <w:t>2.13 (1.22–3.74)</w:t>
            </w:r>
          </w:p>
        </w:tc>
        <w:tc>
          <w:tcPr>
            <w:tcW w:type="dxa" w:w="1560"/>
          </w:tcPr>
          <w:p>
            <w:pPr>
              <w:spacing w:line="240" w:lineRule="auto" w:after="0"/>
            </w:pPr>
            <w:r>
              <w:rPr>
                <w:rFonts w:ascii="Times New Roman" w:hAnsi="Times New Roman"/>
                <w:sz w:val="15"/>
              </w:rPr>
            </w:r>
            <w:r>
              <w:rPr>
                <w:rFonts w:ascii="Times New Roman" w:hAnsi="Times New Roman"/>
                <w:sz w:val="15"/>
              </w:rPr>
              <w:t>1.25 (1.08–1.45), P=0.003</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C</w:t>
            </w:r>
          </w:p>
        </w:tc>
        <w:tc>
          <w:tcPr>
            <w:tcW w:type="dxa" w:w="1560"/>
          </w:tcPr>
          <w:p>
            <w:pPr>
              <w:spacing w:line="240" w:lineRule="auto" w:after="0"/>
            </w:pPr>
            <w:r>
              <w:rPr>
                <w:rFonts w:ascii="Times New Roman" w:hAnsi="Times New Roman"/>
                <w:sz w:val="15"/>
              </w:rPr>
            </w:r>
            <w:r>
              <w:rPr>
                <w:rFonts w:ascii="Times New Roman" w:hAnsi="Times New Roman"/>
                <w:sz w:val="15"/>
              </w:rPr>
              <w:t>Subdistribution HR</w:t>
            </w:r>
          </w:p>
        </w:tc>
        <w:tc>
          <w:tcPr>
            <w:tcW w:type="dxa" w:w="1560"/>
          </w:tcPr>
          <w:p>
            <w:pPr>
              <w:spacing w:line="240" w:lineRule="auto" w:after="0"/>
            </w:pPr>
            <w:r>
              <w:rPr>
                <w:rFonts w:ascii="Times New Roman" w:hAnsi="Times New Roman"/>
                <w:sz w:val="15"/>
              </w:rPr>
            </w:r>
            <w:r>
              <w:rPr>
                <w:rFonts w:ascii="Times New Roman" w:hAnsi="Times New Roman"/>
                <w:sz w:val="15"/>
              </w:rPr>
              <w:t>1.17 (0.80–1.70)</w:t>
            </w:r>
          </w:p>
        </w:tc>
        <w:tc>
          <w:tcPr>
            <w:tcW w:type="dxa" w:w="1560"/>
          </w:tcPr>
          <w:p>
            <w:pPr>
              <w:spacing w:line="240" w:lineRule="auto" w:after="0"/>
            </w:pPr>
            <w:r>
              <w:rPr>
                <w:rFonts w:ascii="Times New Roman" w:hAnsi="Times New Roman"/>
                <w:sz w:val="15"/>
              </w:rPr>
            </w:r>
            <w:r>
              <w:rPr>
                <w:rFonts w:ascii="Times New Roman" w:hAnsi="Times New Roman"/>
                <w:sz w:val="15"/>
              </w:rPr>
              <w:t>1.49 (1.05–2.11)</w:t>
            </w:r>
          </w:p>
        </w:tc>
        <w:tc>
          <w:tcPr>
            <w:tcW w:type="dxa" w:w="1560"/>
          </w:tcPr>
          <w:p>
            <w:pPr>
              <w:spacing w:line="240" w:lineRule="auto" w:after="0"/>
            </w:pPr>
            <w:r>
              <w:rPr>
                <w:rFonts w:ascii="Times New Roman" w:hAnsi="Times New Roman"/>
                <w:sz w:val="15"/>
              </w:rPr>
            </w:r>
            <w:r>
              <w:rPr>
                <w:rFonts w:ascii="Times New Roman" w:hAnsi="Times New Roman"/>
                <w:b/>
                <w:sz w:val="15"/>
              </w:rPr>
              <w:t>2.18 (1.25–3.82)</w:t>
            </w:r>
          </w:p>
        </w:tc>
        <w:tc>
          <w:tcPr>
            <w:tcW w:type="dxa" w:w="1560"/>
          </w:tcPr>
          <w:p>
            <w:pPr>
              <w:spacing w:line="240" w:lineRule="auto" w:after="0"/>
            </w:pPr>
            <w:r>
              <w:rPr>
                <w:rFonts w:ascii="Times New Roman" w:hAnsi="Times New Roman"/>
                <w:sz w:val="15"/>
              </w:rPr>
            </w:r>
            <w:r>
              <w:rPr>
                <w:rFonts w:ascii="Times New Roman" w:hAnsi="Times New Roman"/>
                <w:sz w:val="15"/>
              </w:rPr>
              <w:t>1.26 (1.08–1.46), P=0.003</w:t>
            </w:r>
          </w:p>
        </w:tc>
      </w:tr>
    </w:tbl>
    <w:p/>
    <w:p>
      <w:pPr>
        <w:jc w:val="left"/>
      </w:pPr>
      <w:r>
        <w:t>The top-stratum estimate spans 2.12 to 2.18 across all six fits and every interval excludes 1. The cause-specific estimates under A and C are identical to three decimal places, which is the expected behaviour and serves as an implementation check: a cause-specific model censors competing events, so relabelling a censored observation as competing cannot change it.</w:t>
      </w:r>
    </w:p>
    <w:p>
      <w:pPr>
        <w:jc w:val="left"/>
      </w:pPr>
      <w:r>
        <w:t>Day-5 cumulative incidence is similarly stable.</w:t>
      </w:r>
    </w:p>
    <w:tbl>
      <w:tblPr>
        <w:tblStyle w:val="TableGrid"/>
        <w:tblW w:type="auto" w:w="0"/>
        <w:jc w:val="center"/>
        <w:tblLook w:firstColumn="1" w:firstRow="1" w:lastColumn="0" w:lastRow="0" w:noHBand="0" w:noVBand="1" w:val="04A0"/>
      </w:tblPr>
      <w:tblGrid>
        <w:gridCol w:w="2340"/>
        <w:gridCol w:w="2340"/>
        <w:gridCol w:w="2340"/>
        <w:gridCol w:w="2340"/>
      </w:tblGrid>
      <w:tr>
        <w:trPr>
          <w:tblHeader w:val="true"/>
          <w:cantSplit/>
        </w:trPr>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Lactate stratum</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A, as published</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B, discharge competing</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C, all censoring competing</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≤1.9</w:t>
            </w:r>
          </w:p>
        </w:tc>
        <w:tc>
          <w:tcPr>
            <w:tcW w:type="dxa" w:w="2340"/>
          </w:tcPr>
          <w:p>
            <w:pPr>
              <w:spacing w:line="240" w:lineRule="auto" w:after="0"/>
            </w:pPr>
            <w:r>
              <w:rPr>
                <w:rFonts w:ascii="Times New Roman" w:hAnsi="Times New Roman"/>
                <w:sz w:val="15"/>
              </w:rPr>
            </w:r>
            <w:r>
              <w:rPr>
                <w:rFonts w:ascii="Times New Roman" w:hAnsi="Times New Roman"/>
                <w:sz w:val="15"/>
              </w:rPr>
              <w:t>9.0% (6.8–11.1)</w:t>
            </w:r>
          </w:p>
        </w:tc>
        <w:tc>
          <w:tcPr>
            <w:tcW w:type="dxa" w:w="2340"/>
          </w:tcPr>
          <w:p>
            <w:pPr>
              <w:spacing w:line="240" w:lineRule="auto" w:after="0"/>
            </w:pPr>
            <w:r>
              <w:rPr>
                <w:rFonts w:ascii="Times New Roman" w:hAnsi="Times New Roman"/>
                <w:sz w:val="15"/>
              </w:rPr>
            </w:r>
            <w:r>
              <w:rPr>
                <w:rFonts w:ascii="Times New Roman" w:hAnsi="Times New Roman"/>
                <w:sz w:val="15"/>
              </w:rPr>
              <w:t>8.7% (6.6–10.7)</w:t>
            </w:r>
          </w:p>
        </w:tc>
        <w:tc>
          <w:tcPr>
            <w:tcW w:type="dxa" w:w="2340"/>
          </w:tcPr>
          <w:p>
            <w:pPr>
              <w:spacing w:line="240" w:lineRule="auto" w:after="0"/>
            </w:pPr>
            <w:r>
              <w:rPr>
                <w:rFonts w:ascii="Times New Roman" w:hAnsi="Times New Roman"/>
                <w:sz w:val="15"/>
              </w:rPr>
            </w:r>
            <w:r>
              <w:rPr>
                <w:rFonts w:ascii="Times New Roman" w:hAnsi="Times New Roman"/>
                <w:sz w:val="15"/>
              </w:rPr>
              <w:t>8.5% (6.5–10.6)</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2.1–3.0</w:t>
            </w:r>
          </w:p>
        </w:tc>
        <w:tc>
          <w:tcPr>
            <w:tcW w:type="dxa" w:w="2340"/>
          </w:tcPr>
          <w:p>
            <w:pPr>
              <w:spacing w:line="240" w:lineRule="auto" w:after="0"/>
            </w:pPr>
            <w:r>
              <w:rPr>
                <w:rFonts w:ascii="Times New Roman" w:hAnsi="Times New Roman"/>
                <w:sz w:val="15"/>
              </w:rPr>
            </w:r>
            <w:r>
              <w:rPr>
                <w:rFonts w:ascii="Times New Roman" w:hAnsi="Times New Roman"/>
                <w:sz w:val="15"/>
              </w:rPr>
              <w:t>9.9% (7.1–12.6)</w:t>
            </w:r>
          </w:p>
        </w:tc>
        <w:tc>
          <w:tcPr>
            <w:tcW w:type="dxa" w:w="2340"/>
          </w:tcPr>
          <w:p>
            <w:pPr>
              <w:spacing w:line="240" w:lineRule="auto" w:after="0"/>
            </w:pPr>
            <w:r>
              <w:rPr>
                <w:rFonts w:ascii="Times New Roman" w:hAnsi="Times New Roman"/>
                <w:sz w:val="15"/>
              </w:rPr>
            </w:r>
            <w:r>
              <w:rPr>
                <w:rFonts w:ascii="Times New Roman" w:hAnsi="Times New Roman"/>
                <w:sz w:val="15"/>
              </w:rPr>
              <w:t>9.6% (6.9–12.3)</w:t>
            </w:r>
          </w:p>
        </w:tc>
        <w:tc>
          <w:tcPr>
            <w:tcW w:type="dxa" w:w="2340"/>
          </w:tcPr>
          <w:p>
            <w:pPr>
              <w:spacing w:line="240" w:lineRule="auto" w:after="0"/>
            </w:pPr>
            <w:r>
              <w:rPr>
                <w:rFonts w:ascii="Times New Roman" w:hAnsi="Times New Roman"/>
                <w:sz w:val="15"/>
              </w:rPr>
            </w:r>
            <w:r>
              <w:rPr>
                <w:rFonts w:ascii="Times New Roman" w:hAnsi="Times New Roman"/>
                <w:sz w:val="15"/>
              </w:rPr>
              <w:t>9.5% (6.8–12.1)</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3.8–5.9</w:t>
            </w:r>
          </w:p>
        </w:tc>
        <w:tc>
          <w:tcPr>
            <w:tcW w:type="dxa" w:w="2340"/>
          </w:tcPr>
          <w:p>
            <w:pPr>
              <w:spacing w:line="240" w:lineRule="auto" w:after="0"/>
            </w:pPr>
            <w:r>
              <w:rPr>
                <w:rFonts w:ascii="Times New Roman" w:hAnsi="Times New Roman"/>
                <w:sz w:val="15"/>
              </w:rPr>
            </w:r>
            <w:r>
              <w:rPr>
                <w:rFonts w:ascii="Times New Roman" w:hAnsi="Times New Roman"/>
                <w:sz w:val="15"/>
              </w:rPr>
              <w:t>12.5% (9.7–15.4)</w:t>
            </w:r>
          </w:p>
        </w:tc>
        <w:tc>
          <w:tcPr>
            <w:tcW w:type="dxa" w:w="2340"/>
          </w:tcPr>
          <w:p>
            <w:pPr>
              <w:spacing w:line="240" w:lineRule="auto" w:after="0"/>
            </w:pPr>
            <w:r>
              <w:rPr>
                <w:rFonts w:ascii="Times New Roman" w:hAnsi="Times New Roman"/>
                <w:sz w:val="15"/>
              </w:rPr>
            </w:r>
            <w:r>
              <w:rPr>
                <w:rFonts w:ascii="Times New Roman" w:hAnsi="Times New Roman"/>
                <w:sz w:val="15"/>
              </w:rPr>
              <w:t>12.3% (9.5–15.1)</w:t>
            </w:r>
          </w:p>
        </w:tc>
        <w:tc>
          <w:tcPr>
            <w:tcW w:type="dxa" w:w="2340"/>
          </w:tcPr>
          <w:p>
            <w:pPr>
              <w:spacing w:line="240" w:lineRule="auto" w:after="0"/>
            </w:pPr>
            <w:r>
              <w:rPr>
                <w:rFonts w:ascii="Times New Roman" w:hAnsi="Times New Roman"/>
                <w:sz w:val="15"/>
              </w:rPr>
            </w:r>
            <w:r>
              <w:rPr>
                <w:rFonts w:ascii="Times New Roman" w:hAnsi="Times New Roman"/>
                <w:sz w:val="15"/>
              </w:rPr>
              <w:t>12.0% (9.3–14.8)</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8.6 (capped)</w:t>
            </w:r>
          </w:p>
        </w:tc>
        <w:tc>
          <w:tcPr>
            <w:tcW w:type="dxa" w:w="2340"/>
          </w:tcPr>
          <w:p>
            <w:pPr>
              <w:spacing w:line="240" w:lineRule="auto" w:after="0"/>
            </w:pPr>
            <w:r>
              <w:rPr>
                <w:rFonts w:ascii="Times New Roman" w:hAnsi="Times New Roman"/>
                <w:sz w:val="15"/>
              </w:rPr>
            </w:r>
            <w:r>
              <w:rPr>
                <w:rFonts w:ascii="Times New Roman" w:hAnsi="Times New Roman"/>
                <w:sz w:val="15"/>
              </w:rPr>
              <w:t>15.6% (8.6–22.6)</w:t>
            </w:r>
          </w:p>
        </w:tc>
        <w:tc>
          <w:tcPr>
            <w:tcW w:type="dxa" w:w="2340"/>
          </w:tcPr>
          <w:p>
            <w:pPr>
              <w:spacing w:line="240" w:lineRule="auto" w:after="0"/>
            </w:pPr>
            <w:r>
              <w:rPr>
                <w:rFonts w:ascii="Times New Roman" w:hAnsi="Times New Roman"/>
                <w:sz w:val="15"/>
              </w:rPr>
            </w:r>
            <w:r>
              <w:rPr>
                <w:rFonts w:ascii="Times New Roman" w:hAnsi="Times New Roman"/>
                <w:sz w:val="15"/>
              </w:rPr>
              <w:t>15.6% (8.6–22.6)</w:t>
            </w:r>
          </w:p>
        </w:tc>
        <w:tc>
          <w:tcPr>
            <w:tcW w:type="dxa" w:w="2340"/>
          </w:tcPr>
          <w:p>
            <w:pPr>
              <w:spacing w:line="240" w:lineRule="auto" w:after="0"/>
            </w:pPr>
            <w:r>
              <w:rPr>
                <w:rFonts w:ascii="Times New Roman" w:hAnsi="Times New Roman"/>
                <w:sz w:val="15"/>
              </w:rPr>
            </w:r>
            <w:r>
              <w:rPr>
                <w:rFonts w:ascii="Times New Roman" w:hAnsi="Times New Roman"/>
                <w:sz w:val="15"/>
              </w:rPr>
              <w:t>15.5% (8.5–22.5)</w:t>
            </w:r>
          </w:p>
        </w:tc>
      </w:tr>
    </w:tbl>
    <w:p/>
    <w:p>
      <w:pPr>
        <w:jc w:val="left"/>
      </w:pPr>
      <w:r>
        <w:t>The lower bound sits within 0.53 percentage points of the primary estimate in every stratum, and within 0.05 in the top stratum, so the ordering of the curves does not depend on how discharge is handled.</w:t>
      </w:r>
    </w:p>
    <w:p>
      <w:pPr>
        <w:jc w:val="left"/>
      </w:pPr>
      <w:r>
        <w:rPr>
          <w:b/>
        </w:rPr>
        <w:t>We retain variant A as primary.</w:t>
      </w:r>
      <w:r>
        <w:t xml:space="preserve"> Discharge is not a competing event for AKI in any biological sense; it is a mechanism by which the outcome stops being detectable. Treating it as competing changes the estimand to the cumulative incidence of AKI among patients who remain hospitalised, which is not the quantity the study is about. Variants B and C are reported as bounds, not as alternative answers to the same question.</w:t>
      </w:r>
    </w:p>
    <w:p>
      <w:pPr>
        <w:pStyle w:val="Heading3"/>
        <w:keepNext/>
        <w:spacing w:line="276" w:lineRule="auto" w:before="200" w:after="80"/>
      </w:pPr>
      <w:r>
        <w:rPr>
          <w:rFonts w:ascii="Times New Roman" w:hAnsi="Times New Roman"/>
          <w:color w:val="000000"/>
        </w:rPr>
        <w:t>12b.3 Numbers at risk, and why day 5</w:t>
      </w:r>
    </w:p>
    <w:p>
      <w:pPr>
        <w:jc w:val="left"/>
      </w:pPr>
      <w:r>
        <w:t>Cumulative incidence is truncated at day 5 throughout the manuscript. The risk sets behind that decision:</w:t>
      </w:r>
    </w:p>
    <w:tbl>
      <w:tblPr>
        <w:tblStyle w:val="TableGrid"/>
        <w:tblW w:type="auto" w:w="0"/>
        <w:jc w:val="center"/>
        <w:tblLook w:firstColumn="1" w:firstRow="1" w:lastColumn="0" w:lastRow="0" w:noHBand="0" w:noVBand="1" w:val="04A0"/>
      </w:tblPr>
      <w:tblGrid>
        <w:gridCol w:w="1170"/>
        <w:gridCol w:w="1170"/>
        <w:gridCol w:w="1170"/>
        <w:gridCol w:w="1170"/>
        <w:gridCol w:w="1170"/>
        <w:gridCol w:w="1170"/>
        <w:gridCol w:w="1170"/>
        <w:gridCol w:w="1170"/>
      </w:tblGrid>
      <w:tr>
        <w:trPr>
          <w:tblHeader w:val="true"/>
          <w:cantSplit/>
        </w:trPr>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Lactate stratum</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n</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Day 1</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Day 2</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Day 3</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Day 4</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Day 5</w:t>
            </w:r>
          </w:p>
        </w:tc>
        <w:tc>
          <w:tcPr>
            <w:tcW w:type="dxa" w:w="1170"/>
            <w:shd w:val="clear" w:fill="E8E8E8"/>
          </w:tcPr>
          <w:p>
            <w:pPr>
              <w:spacing w:line="240" w:lineRule="auto" w:after="0"/>
            </w:pPr>
            <w:r>
              <w:rPr>
                <w:rFonts w:ascii="Times New Roman" w:hAnsi="Times New Roman"/>
                <w:b/>
                <w:sz w:val="15"/>
              </w:rPr>
            </w:r>
            <w:r>
              <w:rPr>
                <w:rFonts w:ascii="Times New Roman" w:hAnsi="Times New Roman"/>
                <w:b/>
                <w:sz w:val="15"/>
              </w:rPr>
              <w:t>Day 5.5</w:t>
            </w:r>
          </w:p>
        </w:tc>
      </w:tr>
      <w:tr>
        <w:trPr>
          <w:cantSplit/>
        </w:trPr>
        <w:tc>
          <w:tcPr>
            <w:tcW w:type="dxa" w:w="1170"/>
          </w:tcPr>
          <w:p>
            <w:pPr>
              <w:spacing w:line="240" w:lineRule="auto" w:after="0"/>
            </w:pPr>
            <w:r>
              <w:rPr>
                <w:rFonts w:ascii="Times New Roman" w:hAnsi="Times New Roman"/>
                <w:sz w:val="15"/>
              </w:rPr>
            </w:r>
            <w:r>
              <w:rPr>
                <w:rFonts w:ascii="Times New Roman" w:hAnsi="Times New Roman"/>
                <w:sz w:val="15"/>
              </w:rPr>
              <w:t>≤1.9</w:t>
            </w:r>
          </w:p>
        </w:tc>
        <w:tc>
          <w:tcPr>
            <w:tcW w:type="dxa" w:w="1170"/>
          </w:tcPr>
          <w:p>
            <w:pPr>
              <w:spacing w:line="240" w:lineRule="auto" w:after="0"/>
            </w:pPr>
            <w:r>
              <w:rPr>
                <w:rFonts w:ascii="Times New Roman" w:hAnsi="Times New Roman"/>
                <w:sz w:val="15"/>
              </w:rPr>
            </w:r>
            <w:r>
              <w:rPr>
                <w:rFonts w:ascii="Times New Roman" w:hAnsi="Times New Roman"/>
                <w:sz w:val="15"/>
              </w:rPr>
              <w:t>714</w:t>
            </w:r>
          </w:p>
        </w:tc>
        <w:tc>
          <w:tcPr>
            <w:tcW w:type="dxa" w:w="1170"/>
          </w:tcPr>
          <w:p>
            <w:pPr>
              <w:spacing w:line="240" w:lineRule="auto" w:after="0"/>
            </w:pPr>
            <w:r>
              <w:rPr>
                <w:rFonts w:ascii="Times New Roman" w:hAnsi="Times New Roman"/>
                <w:sz w:val="15"/>
              </w:rPr>
            </w:r>
            <w:r>
              <w:rPr>
                <w:rFonts w:ascii="Times New Roman" w:hAnsi="Times New Roman"/>
                <w:sz w:val="15"/>
              </w:rPr>
              <w:t>663 (92.9%)</w:t>
            </w:r>
          </w:p>
        </w:tc>
        <w:tc>
          <w:tcPr>
            <w:tcW w:type="dxa" w:w="1170"/>
          </w:tcPr>
          <w:p>
            <w:pPr>
              <w:spacing w:line="240" w:lineRule="auto" w:after="0"/>
            </w:pPr>
            <w:r>
              <w:rPr>
                <w:rFonts w:ascii="Times New Roman" w:hAnsi="Times New Roman"/>
                <w:sz w:val="15"/>
              </w:rPr>
            </w:r>
            <w:r>
              <w:rPr>
                <w:rFonts w:ascii="Times New Roman" w:hAnsi="Times New Roman"/>
                <w:sz w:val="15"/>
              </w:rPr>
              <w:t>620 (86.8%)</w:t>
            </w:r>
          </w:p>
        </w:tc>
        <w:tc>
          <w:tcPr>
            <w:tcW w:type="dxa" w:w="1170"/>
          </w:tcPr>
          <w:p>
            <w:pPr>
              <w:spacing w:line="240" w:lineRule="auto" w:after="0"/>
            </w:pPr>
            <w:r>
              <w:rPr>
                <w:rFonts w:ascii="Times New Roman" w:hAnsi="Times New Roman"/>
                <w:sz w:val="15"/>
              </w:rPr>
            </w:r>
            <w:r>
              <w:rPr>
                <w:rFonts w:ascii="Times New Roman" w:hAnsi="Times New Roman"/>
                <w:sz w:val="15"/>
              </w:rPr>
              <w:t>594 (83.2%)</w:t>
            </w:r>
          </w:p>
        </w:tc>
        <w:tc>
          <w:tcPr>
            <w:tcW w:type="dxa" w:w="1170"/>
          </w:tcPr>
          <w:p>
            <w:pPr>
              <w:spacing w:line="240" w:lineRule="auto" w:after="0"/>
            </w:pPr>
            <w:r>
              <w:rPr>
                <w:rFonts w:ascii="Times New Roman" w:hAnsi="Times New Roman"/>
                <w:sz w:val="15"/>
              </w:rPr>
            </w:r>
            <w:r>
              <w:rPr>
                <w:rFonts w:ascii="Times New Roman" w:hAnsi="Times New Roman"/>
                <w:sz w:val="15"/>
              </w:rPr>
              <w:t>450 (63.0%)</w:t>
            </w:r>
          </w:p>
        </w:tc>
        <w:tc>
          <w:tcPr>
            <w:tcW w:type="dxa" w:w="1170"/>
          </w:tcPr>
          <w:p>
            <w:pPr>
              <w:spacing w:line="240" w:lineRule="auto" w:after="0"/>
            </w:pPr>
            <w:r>
              <w:rPr>
                <w:rFonts w:ascii="Times New Roman" w:hAnsi="Times New Roman"/>
                <w:sz w:val="15"/>
              </w:rPr>
            </w:r>
            <w:r>
              <w:rPr>
                <w:rFonts w:ascii="Times New Roman" w:hAnsi="Times New Roman"/>
                <w:sz w:val="15"/>
              </w:rPr>
              <w:t>365 (51.1%)</w:t>
            </w:r>
          </w:p>
        </w:tc>
        <w:tc>
          <w:tcPr>
            <w:tcW w:type="dxa" w:w="1170"/>
          </w:tcPr>
          <w:p>
            <w:pPr>
              <w:spacing w:line="240" w:lineRule="auto" w:after="0"/>
            </w:pPr>
            <w:r>
              <w:rPr>
                <w:rFonts w:ascii="Times New Roman" w:hAnsi="Times New Roman"/>
                <w:sz w:val="15"/>
              </w:rPr>
            </w:r>
            <w:r>
              <w:rPr>
                <w:rFonts w:ascii="Times New Roman" w:hAnsi="Times New Roman"/>
                <w:sz w:val="15"/>
              </w:rPr>
              <w:t>339 (47.5%)</w:t>
            </w:r>
          </w:p>
        </w:tc>
      </w:tr>
      <w:tr>
        <w:trPr>
          <w:cantSplit/>
        </w:trPr>
        <w:tc>
          <w:tcPr>
            <w:tcW w:type="dxa" w:w="1170"/>
          </w:tcPr>
          <w:p>
            <w:pPr>
              <w:spacing w:line="240" w:lineRule="auto" w:after="0"/>
            </w:pPr>
            <w:r>
              <w:rPr>
                <w:rFonts w:ascii="Times New Roman" w:hAnsi="Times New Roman"/>
                <w:sz w:val="15"/>
              </w:rPr>
            </w:r>
            <w:r>
              <w:rPr>
                <w:rFonts w:ascii="Times New Roman" w:hAnsi="Times New Roman"/>
                <w:sz w:val="15"/>
              </w:rPr>
              <w:t>2.1–3.0</w:t>
            </w:r>
          </w:p>
        </w:tc>
        <w:tc>
          <w:tcPr>
            <w:tcW w:type="dxa" w:w="1170"/>
          </w:tcPr>
          <w:p>
            <w:pPr>
              <w:spacing w:line="240" w:lineRule="auto" w:after="0"/>
            </w:pPr>
            <w:r>
              <w:rPr>
                <w:rFonts w:ascii="Times New Roman" w:hAnsi="Times New Roman"/>
                <w:sz w:val="15"/>
              </w:rPr>
            </w:r>
            <w:r>
              <w:rPr>
                <w:rFonts w:ascii="Times New Roman" w:hAnsi="Times New Roman"/>
                <w:sz w:val="15"/>
              </w:rPr>
              <w:t>476</w:t>
            </w:r>
          </w:p>
        </w:tc>
        <w:tc>
          <w:tcPr>
            <w:tcW w:type="dxa" w:w="1170"/>
          </w:tcPr>
          <w:p>
            <w:pPr>
              <w:spacing w:line="240" w:lineRule="auto" w:after="0"/>
            </w:pPr>
            <w:r>
              <w:rPr>
                <w:rFonts w:ascii="Times New Roman" w:hAnsi="Times New Roman"/>
                <w:sz w:val="15"/>
              </w:rPr>
            </w:r>
            <w:r>
              <w:rPr>
                <w:rFonts w:ascii="Times New Roman" w:hAnsi="Times New Roman"/>
                <w:sz w:val="15"/>
              </w:rPr>
              <w:t>435 (91.4%)</w:t>
            </w:r>
          </w:p>
        </w:tc>
        <w:tc>
          <w:tcPr>
            <w:tcW w:type="dxa" w:w="1170"/>
          </w:tcPr>
          <w:p>
            <w:pPr>
              <w:spacing w:line="240" w:lineRule="auto" w:after="0"/>
            </w:pPr>
            <w:r>
              <w:rPr>
                <w:rFonts w:ascii="Times New Roman" w:hAnsi="Times New Roman"/>
                <w:sz w:val="15"/>
              </w:rPr>
            </w:r>
            <w:r>
              <w:rPr>
                <w:rFonts w:ascii="Times New Roman" w:hAnsi="Times New Roman"/>
                <w:sz w:val="15"/>
              </w:rPr>
              <w:t>408 (85.7%)</w:t>
            </w:r>
          </w:p>
        </w:tc>
        <w:tc>
          <w:tcPr>
            <w:tcW w:type="dxa" w:w="1170"/>
          </w:tcPr>
          <w:p>
            <w:pPr>
              <w:spacing w:line="240" w:lineRule="auto" w:after="0"/>
            </w:pPr>
            <w:r>
              <w:rPr>
                <w:rFonts w:ascii="Times New Roman" w:hAnsi="Times New Roman"/>
                <w:sz w:val="15"/>
              </w:rPr>
            </w:r>
            <w:r>
              <w:rPr>
                <w:rFonts w:ascii="Times New Roman" w:hAnsi="Times New Roman"/>
                <w:sz w:val="15"/>
              </w:rPr>
              <w:t>377 (79.2%)</w:t>
            </w:r>
          </w:p>
        </w:tc>
        <w:tc>
          <w:tcPr>
            <w:tcW w:type="dxa" w:w="1170"/>
          </w:tcPr>
          <w:p>
            <w:pPr>
              <w:spacing w:line="240" w:lineRule="auto" w:after="0"/>
            </w:pPr>
            <w:r>
              <w:rPr>
                <w:rFonts w:ascii="Times New Roman" w:hAnsi="Times New Roman"/>
                <w:sz w:val="15"/>
              </w:rPr>
            </w:r>
            <w:r>
              <w:rPr>
                <w:rFonts w:ascii="Times New Roman" w:hAnsi="Times New Roman"/>
                <w:sz w:val="15"/>
              </w:rPr>
              <w:t>310 (65.1%)</w:t>
            </w:r>
          </w:p>
        </w:tc>
        <w:tc>
          <w:tcPr>
            <w:tcW w:type="dxa" w:w="1170"/>
          </w:tcPr>
          <w:p>
            <w:pPr>
              <w:spacing w:line="240" w:lineRule="auto" w:after="0"/>
            </w:pPr>
            <w:r>
              <w:rPr>
                <w:rFonts w:ascii="Times New Roman" w:hAnsi="Times New Roman"/>
                <w:sz w:val="15"/>
              </w:rPr>
            </w:r>
            <w:r>
              <w:rPr>
                <w:rFonts w:ascii="Times New Roman" w:hAnsi="Times New Roman"/>
                <w:sz w:val="15"/>
              </w:rPr>
              <w:t>245 (51.5%)</w:t>
            </w:r>
          </w:p>
        </w:tc>
        <w:tc>
          <w:tcPr>
            <w:tcW w:type="dxa" w:w="1170"/>
          </w:tcPr>
          <w:p>
            <w:pPr>
              <w:spacing w:line="240" w:lineRule="auto" w:after="0"/>
            </w:pPr>
            <w:r>
              <w:rPr>
                <w:rFonts w:ascii="Times New Roman" w:hAnsi="Times New Roman"/>
                <w:sz w:val="15"/>
              </w:rPr>
            </w:r>
            <w:r>
              <w:rPr>
                <w:rFonts w:ascii="Times New Roman" w:hAnsi="Times New Roman"/>
                <w:sz w:val="15"/>
              </w:rPr>
              <w:t>228 (47.9%)</w:t>
            </w:r>
          </w:p>
        </w:tc>
      </w:tr>
      <w:tr>
        <w:trPr>
          <w:cantSplit/>
        </w:trPr>
        <w:tc>
          <w:tcPr>
            <w:tcW w:type="dxa" w:w="1170"/>
          </w:tcPr>
          <w:p>
            <w:pPr>
              <w:spacing w:line="240" w:lineRule="auto" w:after="0"/>
            </w:pPr>
            <w:r>
              <w:rPr>
                <w:rFonts w:ascii="Times New Roman" w:hAnsi="Times New Roman"/>
                <w:sz w:val="15"/>
              </w:rPr>
            </w:r>
            <w:r>
              <w:rPr>
                <w:rFonts w:ascii="Times New Roman" w:hAnsi="Times New Roman"/>
                <w:sz w:val="15"/>
              </w:rPr>
              <w:t>3.8–5.9</w:t>
            </w:r>
          </w:p>
        </w:tc>
        <w:tc>
          <w:tcPr>
            <w:tcW w:type="dxa" w:w="1170"/>
          </w:tcPr>
          <w:p>
            <w:pPr>
              <w:spacing w:line="240" w:lineRule="auto" w:after="0"/>
            </w:pPr>
            <w:r>
              <w:rPr>
                <w:rFonts w:ascii="Times New Roman" w:hAnsi="Times New Roman"/>
                <w:sz w:val="15"/>
              </w:rPr>
            </w:r>
            <w:r>
              <w:rPr>
                <w:rFonts w:ascii="Times New Roman" w:hAnsi="Times New Roman"/>
                <w:sz w:val="15"/>
              </w:rPr>
              <w:t>541</w:t>
            </w:r>
          </w:p>
        </w:tc>
        <w:tc>
          <w:tcPr>
            <w:tcW w:type="dxa" w:w="1170"/>
          </w:tcPr>
          <w:p>
            <w:pPr>
              <w:spacing w:line="240" w:lineRule="auto" w:after="0"/>
            </w:pPr>
            <w:r>
              <w:rPr>
                <w:rFonts w:ascii="Times New Roman" w:hAnsi="Times New Roman"/>
                <w:sz w:val="15"/>
              </w:rPr>
            </w:r>
            <w:r>
              <w:rPr>
                <w:rFonts w:ascii="Times New Roman" w:hAnsi="Times New Roman"/>
                <w:sz w:val="15"/>
              </w:rPr>
              <w:t>476 (88.0%)</w:t>
            </w:r>
          </w:p>
        </w:tc>
        <w:tc>
          <w:tcPr>
            <w:tcW w:type="dxa" w:w="1170"/>
          </w:tcPr>
          <w:p>
            <w:pPr>
              <w:spacing w:line="240" w:lineRule="auto" w:after="0"/>
            </w:pPr>
            <w:r>
              <w:rPr>
                <w:rFonts w:ascii="Times New Roman" w:hAnsi="Times New Roman"/>
                <w:sz w:val="15"/>
              </w:rPr>
            </w:r>
            <w:r>
              <w:rPr>
                <w:rFonts w:ascii="Times New Roman" w:hAnsi="Times New Roman"/>
                <w:sz w:val="15"/>
              </w:rPr>
              <w:t>442 (81.7%)</w:t>
            </w:r>
          </w:p>
        </w:tc>
        <w:tc>
          <w:tcPr>
            <w:tcW w:type="dxa" w:w="1170"/>
          </w:tcPr>
          <w:p>
            <w:pPr>
              <w:spacing w:line="240" w:lineRule="auto" w:after="0"/>
            </w:pPr>
            <w:r>
              <w:rPr>
                <w:rFonts w:ascii="Times New Roman" w:hAnsi="Times New Roman"/>
                <w:sz w:val="15"/>
              </w:rPr>
            </w:r>
            <w:r>
              <w:rPr>
                <w:rFonts w:ascii="Times New Roman" w:hAnsi="Times New Roman"/>
                <w:sz w:val="15"/>
              </w:rPr>
              <w:t>410 (75.8%)</w:t>
            </w:r>
          </w:p>
        </w:tc>
        <w:tc>
          <w:tcPr>
            <w:tcW w:type="dxa" w:w="1170"/>
          </w:tcPr>
          <w:p>
            <w:pPr>
              <w:spacing w:line="240" w:lineRule="auto" w:after="0"/>
            </w:pPr>
            <w:r>
              <w:rPr>
                <w:rFonts w:ascii="Times New Roman" w:hAnsi="Times New Roman"/>
                <w:sz w:val="15"/>
              </w:rPr>
            </w:r>
            <w:r>
              <w:rPr>
                <w:rFonts w:ascii="Times New Roman" w:hAnsi="Times New Roman"/>
                <w:sz w:val="15"/>
              </w:rPr>
              <w:t>343 (63.4%)</w:t>
            </w:r>
          </w:p>
        </w:tc>
        <w:tc>
          <w:tcPr>
            <w:tcW w:type="dxa" w:w="1170"/>
          </w:tcPr>
          <w:p>
            <w:pPr>
              <w:spacing w:line="240" w:lineRule="auto" w:after="0"/>
            </w:pPr>
            <w:r>
              <w:rPr>
                <w:rFonts w:ascii="Times New Roman" w:hAnsi="Times New Roman"/>
                <w:sz w:val="15"/>
              </w:rPr>
            </w:r>
            <w:r>
              <w:rPr>
                <w:rFonts w:ascii="Times New Roman" w:hAnsi="Times New Roman"/>
                <w:sz w:val="15"/>
              </w:rPr>
              <w:t>259 (47.9%)</w:t>
            </w:r>
          </w:p>
        </w:tc>
        <w:tc>
          <w:tcPr>
            <w:tcW w:type="dxa" w:w="1170"/>
          </w:tcPr>
          <w:p>
            <w:pPr>
              <w:spacing w:line="240" w:lineRule="auto" w:after="0"/>
            </w:pPr>
            <w:r>
              <w:rPr>
                <w:rFonts w:ascii="Times New Roman" w:hAnsi="Times New Roman"/>
                <w:sz w:val="15"/>
              </w:rPr>
            </w:r>
            <w:r>
              <w:rPr>
                <w:rFonts w:ascii="Times New Roman" w:hAnsi="Times New Roman"/>
                <w:sz w:val="15"/>
              </w:rPr>
              <w:t>238 (44.0%)</w:t>
            </w:r>
          </w:p>
        </w:tc>
      </w:tr>
      <w:tr>
        <w:trPr>
          <w:cantSplit/>
        </w:trPr>
        <w:tc>
          <w:tcPr>
            <w:tcW w:type="dxa" w:w="1170"/>
          </w:tcPr>
          <w:p>
            <w:pPr>
              <w:spacing w:line="240" w:lineRule="auto" w:after="0"/>
            </w:pPr>
            <w:r>
              <w:rPr>
                <w:rFonts w:ascii="Times New Roman" w:hAnsi="Times New Roman"/>
                <w:sz w:val="15"/>
              </w:rPr>
            </w:r>
            <w:r>
              <w:rPr>
                <w:rFonts w:ascii="Times New Roman" w:hAnsi="Times New Roman"/>
                <w:sz w:val="15"/>
              </w:rPr>
              <w:t>8.6 (capped)</w:t>
            </w:r>
          </w:p>
        </w:tc>
        <w:tc>
          <w:tcPr>
            <w:tcW w:type="dxa" w:w="1170"/>
          </w:tcPr>
          <w:p>
            <w:pPr>
              <w:spacing w:line="240" w:lineRule="auto" w:after="0"/>
            </w:pPr>
            <w:r>
              <w:rPr>
                <w:rFonts w:ascii="Times New Roman" w:hAnsi="Times New Roman"/>
                <w:sz w:val="15"/>
              </w:rPr>
            </w:r>
            <w:r>
              <w:rPr>
                <w:rFonts w:ascii="Times New Roman" w:hAnsi="Times New Roman"/>
                <w:sz w:val="15"/>
              </w:rPr>
              <w:t>103</w:t>
            </w:r>
          </w:p>
        </w:tc>
        <w:tc>
          <w:tcPr>
            <w:tcW w:type="dxa" w:w="1170"/>
          </w:tcPr>
          <w:p>
            <w:pPr>
              <w:spacing w:line="240" w:lineRule="auto" w:after="0"/>
            </w:pPr>
            <w:r>
              <w:rPr>
                <w:rFonts w:ascii="Times New Roman" w:hAnsi="Times New Roman"/>
                <w:sz w:val="15"/>
              </w:rPr>
            </w:r>
            <w:r>
              <w:rPr>
                <w:rFonts w:ascii="Times New Roman" w:hAnsi="Times New Roman"/>
                <w:sz w:val="15"/>
              </w:rPr>
              <w:t>88 (85.4%)</w:t>
            </w:r>
          </w:p>
        </w:tc>
        <w:tc>
          <w:tcPr>
            <w:tcW w:type="dxa" w:w="1170"/>
          </w:tcPr>
          <w:p>
            <w:pPr>
              <w:spacing w:line="240" w:lineRule="auto" w:after="0"/>
            </w:pPr>
            <w:r>
              <w:rPr>
                <w:rFonts w:ascii="Times New Roman" w:hAnsi="Times New Roman"/>
                <w:sz w:val="15"/>
              </w:rPr>
            </w:r>
            <w:r>
              <w:rPr>
                <w:rFonts w:ascii="Times New Roman" w:hAnsi="Times New Roman"/>
                <w:sz w:val="15"/>
              </w:rPr>
              <w:t>83 (80.6%)</w:t>
            </w:r>
          </w:p>
        </w:tc>
        <w:tc>
          <w:tcPr>
            <w:tcW w:type="dxa" w:w="1170"/>
          </w:tcPr>
          <w:p>
            <w:pPr>
              <w:spacing w:line="240" w:lineRule="auto" w:after="0"/>
            </w:pPr>
            <w:r>
              <w:rPr>
                <w:rFonts w:ascii="Times New Roman" w:hAnsi="Times New Roman"/>
                <w:sz w:val="15"/>
              </w:rPr>
            </w:r>
            <w:r>
              <w:rPr>
                <w:rFonts w:ascii="Times New Roman" w:hAnsi="Times New Roman"/>
                <w:sz w:val="15"/>
              </w:rPr>
              <w:t>78 (75.7%)</w:t>
            </w:r>
          </w:p>
        </w:tc>
        <w:tc>
          <w:tcPr>
            <w:tcW w:type="dxa" w:w="1170"/>
          </w:tcPr>
          <w:p>
            <w:pPr>
              <w:spacing w:line="240" w:lineRule="auto" w:after="0"/>
            </w:pPr>
            <w:r>
              <w:rPr>
                <w:rFonts w:ascii="Times New Roman" w:hAnsi="Times New Roman"/>
                <w:sz w:val="15"/>
              </w:rPr>
            </w:r>
            <w:r>
              <w:rPr>
                <w:rFonts w:ascii="Times New Roman" w:hAnsi="Times New Roman"/>
                <w:sz w:val="15"/>
              </w:rPr>
              <w:t>68 (66.0%)</w:t>
            </w:r>
          </w:p>
        </w:tc>
        <w:tc>
          <w:tcPr>
            <w:tcW w:type="dxa" w:w="1170"/>
          </w:tcPr>
          <w:p>
            <w:pPr>
              <w:spacing w:line="240" w:lineRule="auto" w:after="0"/>
            </w:pPr>
            <w:r>
              <w:rPr>
                <w:rFonts w:ascii="Times New Roman" w:hAnsi="Times New Roman"/>
                <w:sz w:val="15"/>
              </w:rPr>
            </w:r>
            <w:r>
              <w:rPr>
                <w:rFonts w:ascii="Times New Roman" w:hAnsi="Times New Roman"/>
                <w:sz w:val="15"/>
              </w:rPr>
              <w:t>54 (52.4%)</w:t>
            </w:r>
          </w:p>
        </w:tc>
        <w:tc>
          <w:tcPr>
            <w:tcW w:type="dxa" w:w="1170"/>
          </w:tcPr>
          <w:p>
            <w:pPr>
              <w:spacing w:line="240" w:lineRule="auto" w:after="0"/>
            </w:pPr>
            <w:r>
              <w:rPr>
                <w:rFonts w:ascii="Times New Roman" w:hAnsi="Times New Roman"/>
                <w:sz w:val="15"/>
              </w:rPr>
            </w:r>
            <w:r>
              <w:rPr>
                <w:rFonts w:ascii="Times New Roman" w:hAnsi="Times New Roman"/>
                <w:sz w:val="15"/>
              </w:rPr>
              <w:t>50 (48.5%)</w:t>
            </w:r>
          </w:p>
        </w:tc>
      </w:tr>
    </w:tbl>
    <w:p/>
    <w:p>
      <w:pPr>
        <w:jc w:val="left"/>
      </w:pPr>
      <w:r>
        <w:t>Day 5 is the last horizon at which roughly half of each stratum remains at risk. The table stops at day 5.5 rather than day 6 for an arithmetic reason worth stating: the 7-day renal window closes exactly 6.00 days after the landmark and no patient reaches it, the longest observed follow-up being 5.99 days. A day-6 column would read zero in every stratum without that meaning anything.</w:t>
      </w:r>
    </w:p>
    <w:p>
      <w:pPr>
        <w:jc w:val="left"/>
      </w:pPr>
      <w:r>
        <w:t xml:space="preserve">Observation ends in the final 12 hours before the window closes for 855 of the 1,834 patients at risk (46.6%). Of those, 846 (46.1% of the risk set) are censored rather than reaching an event, so the collapse is a loss of testing and not a burst of late cases. This is the instability described in the manuscript Discussion, and it is why cumulative incidence is read at day 5. Counts are in </w:t>
      </w:r>
      <w:r>
        <w:rPr>
          <w:rFonts w:ascii="Consolas" w:hAnsi="Consolas"/>
          <w:sz w:val="18"/>
        </w:rPr>
        <w:t>af6_window_tail_collapse.csv</w:t>
      </w:r>
      <w:r>
        <w:t>.</w:t>
      </w:r>
    </w:p>
    <w:p>
      <w:pPr>
        <w:pStyle w:val="Heading2"/>
        <w:keepNext/>
        <w:spacing w:line="276" w:lineRule="auto" w:before="200" w:after="80"/>
      </w:pPr>
      <w:r>
        <w:rPr>
          <w:rFonts w:ascii="Times New Roman" w:hAnsi="Times New Roman"/>
          <w:color w:val="000000"/>
        </w:rPr>
        <w:t>13. Reproduction</w:t>
      </w:r>
    </w:p>
    <w:p>
      <w:pPr>
        <w:spacing w:line="240" w:lineRule="auto"/>
      </w:pPr>
      <w:r>
        <w:rPr>
          <w:rFonts w:ascii="Consolas" w:hAnsi="Consolas"/>
          <w:sz w:val="17"/>
        </w:rPr>
        <w:t>cd "...\analysis"</w:t>
        <w:br/>
        <w:t>C:\Python314\python.exe gate16_mortality_on_primary_cohort.py --gate7-dir results\gate7 `</w:t>
        <w:br/>
        <w:t xml:space="preserve">    --output-dir results\manuscript_v3 --cohort primary --prefix af6</w:t>
        <w:br/>
        <w:t>C:\Python314\python.exe gate16_mortality_on_primary_cohort.py --gate7-dir results\gate7 `</w:t>
        <w:br/>
        <w:t xml:space="preserve">    --gate1-dir results\gate1 --output-dir results\manuscript_v3 --cohort all --prefix af6all</w:t>
        <w:br/>
        <w:t>C:\Python314\python.exe gate17_observation_sensitivity_primary.py --gate7-dir results\gate7 `</w:t>
        <w:br/>
        <w:t xml:space="preserve">    --output-dir results\manuscript_v3</w:t>
        <w:br/>
        <w:t>C:\Python314\python.exe gate11_incremental_corrected.py --gate7-dir results\gate7 `</w:t>
        <w:br/>
        <w:t xml:space="preserve">    --output-dir results\manuscript_v3 --replicates 500</w:t>
        <w:br/>
        <w:t>C:\Python314\python.exe gate23_discharge_competing_risk.py `</w:t>
        <w:br/>
        <w:t xml:space="preserve">    --cohort results\gate7\primary_cohort.csv.gz --output-dir results\manuscript_v3</w:t>
        <w:br/>
        <w:t>C:\Python314\python.exe gate24_time_weighted_lactate.py --data-dir &lt;INSPIRE v1.4.2 directory&gt; `</w:t>
        <w:br/>
        <w:t xml:space="preserve">    --cohort results\gate7\primary_cohort.csv.gz --output-dir results\manuscript_v3</w:t>
      </w:r>
    </w:p>
    <w:p>
      <w:pPr>
        <w:jc w:val="left"/>
      </w:pPr>
      <w:r>
        <w:t xml:space="preserve">Section 12a is the only analysis in this file that reads the restricted source tables again rather than the derived cohort, because a time-weighted average needs every lactate value and its timestamp. It halts if the recomputed peak or draw count disagrees with the published exposure, so the alternative summaries are verified against the primary one before any estimate is produced. It writes </w:t>
      </w:r>
      <w:r>
        <w:rPr>
          <w:rFonts w:ascii="Consolas" w:hAnsi="Consolas"/>
          <w:sz w:val="18"/>
        </w:rPr>
        <w:t>af6_twa_exposures.csv</w:t>
      </w:r>
      <w:r>
        <w:t xml:space="preserve">, </w:t>
      </w:r>
      <w:r>
        <w:rPr>
          <w:rFonts w:ascii="Consolas" w:hAnsi="Consolas"/>
          <w:sz w:val="18"/>
        </w:rPr>
        <w:t>af6_twa_reconstruction_quality.csv</w:t>
      </w:r>
      <w:r>
        <w:t xml:space="preserve">, </w:t>
      </w:r>
      <w:r>
        <w:rPr>
          <w:rFonts w:ascii="Consolas" w:hAnsi="Consolas"/>
          <w:sz w:val="18"/>
        </w:rPr>
        <w:t>af6_twa_entanglement.csv</w:t>
      </w:r>
      <w:r>
        <w:t xml:space="preserve">, </w:t>
      </w:r>
      <w:r>
        <w:rPr>
          <w:rFonts w:ascii="Consolas" w:hAnsi="Consolas"/>
          <w:sz w:val="18"/>
        </w:rPr>
        <w:t>af6_twa_sampling_by_quartile.csv</w:t>
      </w:r>
      <w:r>
        <w:t xml:space="preserve">, </w:t>
      </w:r>
      <w:r>
        <w:rPr>
          <w:rFonts w:ascii="Consolas" w:hAnsi="Consolas"/>
          <w:sz w:val="18"/>
        </w:rPr>
        <w:t>af6_twa_estimates.csv</w:t>
      </w:r>
      <w:r>
        <w:t xml:space="preserve"> and </w:t>
      </w:r>
      <w:r>
        <w:rPr>
          <w:rFonts w:ascii="Consolas" w:hAnsi="Consolas"/>
          <w:sz w:val="18"/>
        </w:rPr>
        <w:t>af6_twa_estimates_dense.csv</w:t>
      </w:r>
      <w:r>
        <w:t>.</w:t>
      </w:r>
    </w:p>
    <w:p>
      <w:pPr>
        <w:jc w:val="left"/>
      </w:pPr>
      <w:r>
        <w:t xml:space="preserve">Section 12b writes </w:t>
      </w:r>
      <w:r>
        <w:rPr>
          <w:rFonts w:ascii="Consolas" w:hAnsi="Consolas"/>
          <w:sz w:val="18"/>
        </w:rPr>
        <w:t>af6_censoring_composition.csv</w:t>
      </w:r>
      <w:r>
        <w:t xml:space="preserve">, </w:t>
      </w:r>
      <w:r>
        <w:rPr>
          <w:rFonts w:ascii="Consolas" w:hAnsi="Consolas"/>
          <w:sz w:val="18"/>
        </w:rPr>
        <w:t>af6_discharge_variant_counts.csv</w:t>
      </w:r>
      <w:r>
        <w:t xml:space="preserve">, </w:t>
      </w:r>
      <w:r>
        <w:rPr>
          <w:rFonts w:ascii="Consolas" w:hAnsi="Consolas"/>
          <w:sz w:val="18"/>
        </w:rPr>
        <w:t>af6_discharge_competing_estimates.csv</w:t>
      </w:r>
      <w:r>
        <w:t xml:space="preserve">, </w:t>
      </w:r>
      <w:r>
        <w:rPr>
          <w:rFonts w:ascii="Consolas" w:hAnsi="Consolas"/>
          <w:sz w:val="18"/>
        </w:rPr>
        <w:t>af6_discharge_competing_cif.csv</w:t>
      </w:r>
      <w:r>
        <w:t xml:space="preserve"> and </w:t>
      </w:r>
      <w:r>
        <w:rPr>
          <w:rFonts w:ascii="Consolas" w:hAnsi="Consolas"/>
          <w:sz w:val="18"/>
        </w:rPr>
        <w:t>af6_risk_set_by_horizon.csv</w:t>
      </w:r>
      <w:r>
        <w:t xml:space="preserve">, with the console log in </w:t>
      </w:r>
      <w:r>
        <w:rPr>
          <w:rFonts w:ascii="Consolas" w:hAnsi="Consolas"/>
          <w:sz w:val="18"/>
        </w:rPr>
        <w:t>af6_discharge_console.txt</w:t>
      </w:r>
      <w:r>
        <w:t>.</w:t>
      </w:r>
    </w:p>
    <w:p>
      <w:pPr>
        <w:jc w:val="left"/>
      </w:pPr>
      <w:r>
        <w:t xml:space="preserve">Console logs are saved alongside the CSV outputs in </w:t>
      </w:r>
      <w:r>
        <w:rPr>
          <w:rFonts w:ascii="Consolas" w:hAnsi="Consolas"/>
          <w:sz w:val="18"/>
        </w:rPr>
        <w:t>analysis/results/manuscript_v3/</w:t>
      </w:r>
      <w:r>
        <w:t>.</w:t>
      </w:r>
    </w:p>
    <w:sectPr w:rsidR="00FC693F" w:rsidRPr="0006063C" w:rsidSect="00034616">
      <w:footerReference w:type="default" r:id="rId9"/>
      <w:pgSz w:w="12240" w:h="15840"/>
      <w:pgMar w:top="1440" w:right="1440" w:bottom="1440" w:left="1440" w:header="720" w:footer="720" w:gutter="0"/>
      <w:cols w:space="720"/>
      <w:docGrid w:linePitch="360"/>
      <w:lnNumType w:countBy="5" w:start="1" w:restart="continuou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t xml:space="preserve">Page </w:t>
    </w:r>
    <w:r>
      <w:rPr>
        <w:rFonts w:ascii="Times New Roman" w:hAnsi="Times New Roman"/>
        <w:sz w:val="18"/>
      </w:rPr>
      <w:fldChar w:fldCharType="begin"/>
      <w:instrText xml:space="preserve">PAGE</w:instrText>
      <w:fldChar w:fldCharType="separate"/>
      <w:fldChar w:fldCharType="end"/>
    </w:r>
    <w:r>
      <w:rPr>
        <w:rFonts w:ascii="Times New Roman" w:hAnsi="Times New Roman"/>
        <w:sz w:val="18"/>
      </w:rPr>
      <w:t xml:space="preserve"> of </w:t>
    </w:r>
    <w:r>
      <w:rPr>
        <w:rFonts w:ascii="Times New Roman" w:hAnsi="Times New Roman"/>
        <w:sz w:val="18"/>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480"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6: mortality and sensitivity analyses</dc:title>
  <dc:subject>Deeply revised manuscript</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