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line="276" w:lineRule="auto" w:before="200" w:after="80"/>
        <w:jc w:val="center"/>
      </w:pPr>
      <w:r>
        <w:rPr>
          <w:rFonts w:ascii="Times New Roman" w:hAnsi="Times New Roman"/>
          <w:b/>
          <w:color w:val="000000"/>
          <w:sz w:val="28"/>
        </w:rPr>
        <w:t>Additional file 3. Time-origin distribution, repeat-operation diagnostics, and source-data checks</w:t>
      </w:r>
    </w:p>
    <w:p>
      <w:pPr>
        <w:jc w:val="left"/>
      </w:pPr>
      <w:r>
        <w:t xml:space="preserve">Manuscript: </w:t>
      </w:r>
      <w:r>
        <w:rPr>
          <w:i/>
        </w:rPr>
        <w:t>Exposure–outcome window overlap in biomarker studies: a simulation study and reporting checklist</w:t>
      </w:r>
      <w:r>
        <w:t>.</w:t>
      </w:r>
    </w:p>
    <w:p>
      <w:pPr>
        <w:jc w:val="left"/>
      </w:pPr>
      <w:r>
        <w:t xml:space="preserve">Source outputs: </w:t>
      </w:r>
      <w:r>
        <w:rPr>
          <w:rFonts w:ascii="Consolas" w:hAnsi="Consolas"/>
          <w:sz w:val="18"/>
        </w:rPr>
        <w:t>analysis/results/gate1/</w:t>
      </w:r>
      <w:r>
        <w:t xml:space="preserve">, </w:t>
      </w:r>
      <w:r>
        <w:rPr>
          <w:rFonts w:ascii="Consolas" w:hAnsi="Consolas"/>
          <w:sz w:val="18"/>
        </w:rPr>
        <w:t>analysis/results/gate6/</w:t>
      </w:r>
      <w:r>
        <w:t xml:space="preserve">, </w:t>
      </w:r>
      <w:r>
        <w:rPr>
          <w:rFonts w:ascii="Consolas" w:hAnsi="Consolas"/>
          <w:sz w:val="18"/>
        </w:rPr>
        <w:t>analysis/results/gate7/</w:t>
      </w:r>
      <w:r>
        <w:t xml:space="preserve">, </w:t>
      </w:r>
      <w:r>
        <w:rPr>
          <w:rFonts w:ascii="Consolas" w:hAnsi="Consolas"/>
          <w:sz w:val="18"/>
        </w:rPr>
        <w:t>analysis/results/manuscript_v4/</w:t>
      </w:r>
      <w:r>
        <w:t>.</w:t>
      </w:r>
    </w:p>
    <w:p>
      <w:pPr>
        <w:jc w:val="left"/>
      </w:pPr>
      <w:r>
        <w:t xml:space="preserve">Code: </w:t>
      </w:r>
      <w:r>
        <w:rPr>
          <w:rFonts w:ascii="Consolas" w:hAnsi="Consolas"/>
          <w:sz w:val="18"/>
        </w:rPr>
        <w:t>landmark_audit.py</w:t>
      </w:r>
      <w:r>
        <w:t xml:space="preserve">, </w:t>
      </w:r>
      <w:r>
        <w:rPr>
          <w:rFonts w:ascii="Consolas" w:hAnsi="Consolas"/>
          <w:sz w:val="18"/>
        </w:rPr>
        <w:t>gate6_review2_diagnostics.py</w:t>
      </w:r>
      <w:r>
        <w:t xml:space="preserve">, </w:t>
      </w:r>
      <w:r>
        <w:rPr>
          <w:rFonts w:ascii="Consolas" w:hAnsi="Consolas"/>
          <w:sz w:val="18"/>
        </w:rPr>
        <w:t>gate7_corrected_primary.py</w:t>
      </w:r>
      <w:r>
        <w:t xml:space="preserve">, </w:t>
      </w:r>
      <w:r>
        <w:rPr>
          <w:rFonts w:ascii="Consolas" w:hAnsi="Consolas"/>
          <w:sz w:val="18"/>
        </w:rPr>
        <w:t>gate25_targeted_reviewer_sensitivities.py</w:t>
      </w:r>
      <w:r>
        <w:t>.</w:t>
      </w:r>
    </w:p>
    <w:p>
      <w:pPr>
        <w:pStyle w:val="Heading2"/>
        <w:keepNext/>
        <w:spacing w:line="276" w:lineRule="auto" w:before="200" w:after="80"/>
      </w:pPr>
      <w:r>
        <w:rPr>
          <w:rFonts w:ascii="Times New Roman" w:hAnsi="Times New Roman"/>
          <w:color w:val="000000"/>
        </w:rPr>
        <w:t>1. Source-data integrity</w:t>
      </w:r>
    </w:p>
    <w:p>
      <w:pPr>
        <w:jc w:val="left"/>
      </w:pPr>
      <w:r>
        <w:t xml:space="preserve">The SHA-256 checksums of </w:t>
      </w:r>
      <w:r>
        <w:rPr>
          <w:rFonts w:ascii="Consolas" w:hAnsi="Consolas"/>
          <w:sz w:val="18"/>
        </w:rPr>
        <w:t>operations.csv.gz</w:t>
      </w:r>
      <w:r>
        <w:t xml:space="preserve"> and </w:t>
      </w:r>
      <w:r>
        <w:rPr>
          <w:rFonts w:ascii="Consolas" w:hAnsi="Consolas"/>
          <w:sz w:val="18"/>
        </w:rPr>
        <w:t>labs.csv.gz</w:t>
      </w:r>
      <w:r>
        <w:t xml:space="preserve"> were verified against the official </w:t>
      </w:r>
      <w:r>
        <w:rPr>
          <w:rFonts w:ascii="Consolas" w:hAnsi="Consolas"/>
          <w:sz w:val="18"/>
        </w:rPr>
        <w:t>SHA256SUMS.txt</w:t>
      </w:r>
      <w:r>
        <w:t xml:space="preserve"> distributed with INSPIRE v1.4.2 and matched exactly. No file was modified.</w:t>
      </w:r>
    </w:p>
    <w:p>
      <w:pPr>
        <w:jc w:val="left"/>
      </w:pPr>
      <w:r>
        <w:t>Two source-labelling features required handling before any analysis produced meaningful output, and both fail silently rather than raising an error. They are documented here because any other group analysing INSPIRE will meet them.</w:t>
      </w:r>
    </w:p>
    <w:tbl>
      <w:tblPr>
        <w:tblStyle w:val="TableGrid"/>
        <w:tblW w:type="auto" w:w="0"/>
        <w:jc w:val="center"/>
        <w:tblLook w:firstColumn="1" w:firstRow="1" w:lastColumn="0" w:lastRow="0" w:noHBand="0" w:noVBand="1" w:val="04A0"/>
      </w:tblPr>
      <w:tblGrid>
        <w:gridCol w:w="4680"/>
        <w:gridCol w:w="4680"/>
      </w:tblGrid>
      <w:tr>
        <w:trPr>
          <w:tblHeader w:val="true"/>
          <w:cantSplit/>
        </w:trPr>
        <w:tc>
          <w:tcPr>
            <w:tcW w:type="dxa" w:w="4680"/>
            <w:shd w:val="clear" w:fill="E8E8E8"/>
          </w:tcPr>
          <w:p>
            <w:pPr>
              <w:spacing w:line="240" w:lineRule="auto" w:after="0"/>
            </w:pPr>
            <w:r>
              <w:rPr>
                <w:rFonts w:ascii="Times New Roman" w:hAnsi="Times New Roman"/>
                <w:b/>
                <w:sz w:val="15"/>
              </w:rPr>
            </w:r>
            <w:r>
              <w:rPr>
                <w:rFonts w:ascii="Times New Roman" w:hAnsi="Times New Roman"/>
                <w:b/>
                <w:sz w:val="15"/>
              </w:rPr>
              <w:t>Feature</w:t>
            </w:r>
          </w:p>
        </w:tc>
        <w:tc>
          <w:tcPr>
            <w:tcW w:type="dxa" w:w="4680"/>
            <w:shd w:val="clear" w:fill="E8E8E8"/>
          </w:tcPr>
          <w:p>
            <w:pPr>
              <w:spacing w:line="240" w:lineRule="auto" w:after="0"/>
            </w:pPr>
            <w:r>
              <w:rPr>
                <w:rFonts w:ascii="Times New Roman" w:hAnsi="Times New Roman"/>
                <w:b/>
                <w:sz w:val="15"/>
              </w:rPr>
            </w:r>
            <w:r>
              <w:rPr>
                <w:rFonts w:ascii="Times New Roman" w:hAnsi="Times New Roman"/>
                <w:b/>
                <w:sz w:val="15"/>
              </w:rPr>
              <w:t>What the code must do</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 xml:space="preserve">The lactate analyte is spelt </w:t>
            </w:r>
            <w:r>
              <w:rPr>
                <w:rFonts w:ascii="Times New Roman" w:hAnsi="Times New Roman"/>
                <w:b/>
                <w:sz w:val="15"/>
              </w:rPr>
              <w:t>`lacate`</w:t>
            </w:r>
            <w:r>
              <w:rPr>
                <w:rFonts w:ascii="Times New Roman" w:hAnsi="Times New Roman"/>
                <w:sz w:val="15"/>
              </w:rPr>
              <w:t xml:space="preserve"> in </w:t>
            </w:r>
            <w:r>
              <w:rPr>
                <w:rFonts w:ascii="Times New Roman" w:hAnsi="Times New Roman"/>
                <w:sz w:val="15"/>
              </w:rPr>
              <w:t>parameters.csv</w:t>
            </w:r>
            <w:r>
              <w:rPr>
                <w:rFonts w:ascii="Times New Roman" w:hAnsi="Times New Roman"/>
                <w:sz w:val="15"/>
              </w:rPr>
              <w:t xml:space="preserve"> and in all 220,198 laboratory rows carrying it. Querying </w:t>
            </w:r>
            <w:r>
              <w:rPr>
                <w:rFonts w:ascii="Times New Roman" w:hAnsi="Times New Roman"/>
                <w:sz w:val="15"/>
              </w:rPr>
              <w:t>lactate</w:t>
            </w:r>
            <w:r>
              <w:rPr>
                <w:rFonts w:ascii="Times New Roman" w:hAnsi="Times New Roman"/>
                <w:sz w:val="15"/>
              </w:rPr>
              <w:t xml:space="preserve"> returns no rows.</w:t>
            </w:r>
          </w:p>
        </w:tc>
        <w:tc>
          <w:tcPr>
            <w:tcW w:type="dxa" w:w="4680"/>
          </w:tcPr>
          <w:p>
            <w:pPr>
              <w:spacing w:line="240" w:lineRule="auto" w:after="0"/>
            </w:pPr>
            <w:r>
              <w:rPr>
                <w:rFonts w:ascii="Times New Roman" w:hAnsi="Times New Roman"/>
                <w:sz w:val="15"/>
              </w:rPr>
            </w:r>
            <w:r>
              <w:rPr>
                <w:rFonts w:ascii="Times New Roman" w:hAnsi="Times New Roman"/>
                <w:sz w:val="15"/>
              </w:rPr>
              <w:t>The reader maps the source label onto a canonical name and raises if a requested analyte matches nothing.</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department</w:t>
            </w:r>
            <w:r>
              <w:rPr>
                <w:rFonts w:ascii="Times New Roman" w:hAnsi="Times New Roman"/>
                <w:sz w:val="15"/>
              </w:rPr>
              <w:t xml:space="preserve"> holds abbreviations, so the cardiac cohort is </w:t>
            </w:r>
            <w:r>
              <w:rPr>
                <w:rFonts w:ascii="Times New Roman" w:hAnsi="Times New Roman"/>
                <w:b/>
                <w:sz w:val="15"/>
              </w:rPr>
              <w:t>`CTS`</w:t>
            </w:r>
            <w:r>
              <w:rPr>
                <w:rFonts w:ascii="Times New Roman" w:hAnsi="Times New Roman"/>
                <w:sz w:val="15"/>
              </w:rPr>
              <w:t xml:space="preserve"> (Cardio-Thoracic Surgery). A spelt-out match on </w:t>
            </w:r>
            <w:r>
              <w:rPr>
                <w:rFonts w:ascii="Times New Roman" w:hAnsi="Times New Roman"/>
                <w:sz w:val="15"/>
              </w:rPr>
              <w:t>cardio</w:t>
            </w:r>
            <w:r>
              <w:rPr>
                <w:rFonts w:ascii="Times New Roman" w:hAnsi="Times New Roman"/>
                <w:sz w:val="15"/>
              </w:rPr>
              <w:t xml:space="preserve"> selects nothing.</w:t>
            </w:r>
          </w:p>
        </w:tc>
        <w:tc>
          <w:tcPr>
            <w:tcW w:type="dxa" w:w="4680"/>
          </w:tcPr>
          <w:p>
            <w:pPr>
              <w:spacing w:line="240" w:lineRule="auto" w:after="0"/>
            </w:pPr>
            <w:r>
              <w:rPr>
                <w:rFonts w:ascii="Times New Roman" w:hAnsi="Times New Roman"/>
                <w:sz w:val="15"/>
              </w:rPr>
            </w:r>
            <w:r>
              <w:rPr>
                <w:rFonts w:ascii="Times New Roman" w:hAnsi="Times New Roman"/>
                <w:sz w:val="15"/>
              </w:rPr>
              <w:t>The filter raises if it selects zero rows, and prints the observed department labels.</w:t>
            </w:r>
          </w:p>
        </w:tc>
      </w:tr>
    </w:tbl>
    <w:p/>
    <w:p>
      <w:pPr>
        <w:jc w:val="left"/>
      </w:pPr>
      <w:r>
        <w:t>Internal consistency of the timing fields was verified in all 2,512 source-population operations: no operation had bypass separation before bypass initiation, none had end of surgery before bypass separation, and no bypass duration was negative.</w:t>
      </w:r>
    </w:p>
    <w:p>
      <w:pPr>
        <w:pStyle w:val="Heading2"/>
        <w:keepNext/>
        <w:spacing w:line="276" w:lineRule="auto" w:before="200" w:after="80"/>
      </w:pPr>
      <w:r>
        <w:rPr>
          <w:rFonts w:ascii="Times New Roman" w:hAnsi="Times New Roman"/>
          <w:color w:val="000000"/>
        </w:rPr>
        <w:t>2. Distribution of the interval between the two candidate time origins</w:t>
      </w:r>
    </w:p>
    <w:p>
      <w:pPr>
        <w:jc w:val="left"/>
      </w:pPr>
      <w:r>
        <w:t>Separation from cardiopulmonary bypass always preceded end of surgery. The interval, in minutes, across 2,512 operations:</w:t>
      </w:r>
    </w:p>
    <w:tbl>
      <w:tblPr>
        <w:tblStyle w:val="TableGrid"/>
        <w:tblW w:type="auto" w:w="0"/>
        <w:jc w:val="center"/>
        <w:tblLook w:firstColumn="1" w:firstRow="1" w:lastColumn="0" w:lastRow="0" w:noHBand="0" w:noVBand="1" w:val="04A0"/>
      </w:tblPr>
      <w:tblGrid>
        <w:gridCol w:w="3120"/>
        <w:gridCol w:w="3120"/>
        <w:gridCol w:w="3120"/>
      </w:tblGrid>
      <w:tr>
        <w:trPr>
          <w:tblHeader w:val="true"/>
          <w:cantSplit/>
        </w:trPr>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Statistic</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End of surgery minus CPB separation</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CPB duration</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Mean (SD)</w:t>
            </w:r>
          </w:p>
        </w:tc>
        <w:tc>
          <w:tcPr>
            <w:tcW w:type="dxa" w:w="3120"/>
          </w:tcPr>
          <w:p>
            <w:pPr>
              <w:spacing w:line="240" w:lineRule="auto" w:after="0"/>
            </w:pPr>
            <w:r>
              <w:rPr>
                <w:rFonts w:ascii="Times New Roman" w:hAnsi="Times New Roman"/>
                <w:sz w:val="15"/>
              </w:rPr>
            </w:r>
            <w:r>
              <w:rPr>
                <w:rFonts w:ascii="Times New Roman" w:hAnsi="Times New Roman"/>
                <w:sz w:val="15"/>
              </w:rPr>
              <w:t>116.0 (62.9)</w:t>
            </w:r>
          </w:p>
        </w:tc>
        <w:tc>
          <w:tcPr>
            <w:tcW w:type="dxa" w:w="3120"/>
          </w:tcPr>
          <w:p>
            <w:pPr>
              <w:spacing w:line="240" w:lineRule="auto" w:after="0"/>
            </w:pPr>
            <w:r>
              <w:rPr>
                <w:rFonts w:ascii="Times New Roman" w:hAnsi="Times New Roman"/>
                <w:sz w:val="15"/>
              </w:rPr>
            </w:r>
            <w:r>
              <w:rPr>
                <w:rFonts w:ascii="Times New Roman" w:hAnsi="Times New Roman"/>
                <w:sz w:val="15"/>
              </w:rPr>
              <w:t>198.0 (71.4)</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Minimum</w:t>
            </w:r>
          </w:p>
        </w:tc>
        <w:tc>
          <w:tcPr>
            <w:tcW w:type="dxa" w:w="3120"/>
          </w:tcPr>
          <w:p>
            <w:pPr>
              <w:spacing w:line="240" w:lineRule="auto" w:after="0"/>
            </w:pPr>
            <w:r>
              <w:rPr>
                <w:rFonts w:ascii="Times New Roman" w:hAnsi="Times New Roman"/>
                <w:sz w:val="15"/>
              </w:rPr>
            </w:r>
            <w:r>
              <w:rPr>
                <w:rFonts w:ascii="Times New Roman" w:hAnsi="Times New Roman"/>
                <w:sz w:val="15"/>
              </w:rPr>
              <w:t>10</w:t>
            </w:r>
          </w:p>
        </w:tc>
        <w:tc>
          <w:tcPr>
            <w:tcW w:type="dxa" w:w="3120"/>
          </w:tcPr>
          <w:p>
            <w:pPr>
              <w:spacing w:line="240" w:lineRule="auto" w:after="0"/>
            </w:pPr>
            <w:r>
              <w:rPr>
                <w:rFonts w:ascii="Times New Roman" w:hAnsi="Times New Roman"/>
                <w:sz w:val="15"/>
              </w:rPr>
            </w:r>
            <w:r>
              <w:rPr>
                <w:rFonts w:ascii="Times New Roman" w:hAnsi="Times New Roman"/>
                <w:sz w:val="15"/>
              </w:rPr>
              <w:t>15</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1st percentile</w:t>
            </w:r>
          </w:p>
        </w:tc>
        <w:tc>
          <w:tcPr>
            <w:tcW w:type="dxa" w:w="3120"/>
          </w:tcPr>
          <w:p>
            <w:pPr>
              <w:spacing w:line="240" w:lineRule="auto" w:after="0"/>
            </w:pPr>
            <w:r>
              <w:rPr>
                <w:rFonts w:ascii="Times New Roman" w:hAnsi="Times New Roman"/>
                <w:sz w:val="15"/>
              </w:rPr>
            </w:r>
            <w:r>
              <w:rPr>
                <w:rFonts w:ascii="Times New Roman" w:hAnsi="Times New Roman"/>
                <w:sz w:val="15"/>
              </w:rPr>
              <w:t>40</w:t>
            </w:r>
          </w:p>
        </w:tc>
        <w:tc>
          <w:tcPr>
            <w:tcW w:type="dxa" w:w="3120"/>
          </w:tcPr>
          <w:p>
            <w:pPr>
              <w:spacing w:line="240" w:lineRule="auto" w:after="0"/>
            </w:pPr>
            <w:r>
              <w:rPr>
                <w:rFonts w:ascii="Times New Roman" w:hAnsi="Times New Roman"/>
                <w:sz w:val="15"/>
              </w:rPr>
            </w:r>
            <w:r>
              <w:rPr>
                <w:rFonts w:ascii="Times New Roman" w:hAnsi="Times New Roman"/>
                <w:sz w:val="15"/>
              </w:rPr>
              <w:t>55</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5th percentile</w:t>
            </w:r>
          </w:p>
        </w:tc>
        <w:tc>
          <w:tcPr>
            <w:tcW w:type="dxa" w:w="3120"/>
          </w:tcPr>
          <w:p>
            <w:pPr>
              <w:spacing w:line="240" w:lineRule="auto" w:after="0"/>
            </w:pPr>
            <w:r>
              <w:rPr>
                <w:rFonts w:ascii="Times New Roman" w:hAnsi="Times New Roman"/>
                <w:sz w:val="15"/>
              </w:rPr>
            </w:r>
            <w:r>
              <w:rPr>
                <w:rFonts w:ascii="Times New Roman" w:hAnsi="Times New Roman"/>
                <w:sz w:val="15"/>
              </w:rPr>
              <w:t>55</w:t>
            </w:r>
          </w:p>
        </w:tc>
        <w:tc>
          <w:tcPr>
            <w:tcW w:type="dxa" w:w="3120"/>
          </w:tcPr>
          <w:p>
            <w:pPr>
              <w:spacing w:line="240" w:lineRule="auto" w:after="0"/>
            </w:pPr>
            <w:r>
              <w:rPr>
                <w:rFonts w:ascii="Times New Roman" w:hAnsi="Times New Roman"/>
                <w:sz w:val="15"/>
              </w:rPr>
            </w:r>
            <w:r>
              <w:rPr>
                <w:rFonts w:ascii="Times New Roman" w:hAnsi="Times New Roman"/>
                <w:sz w:val="15"/>
              </w:rPr>
              <w:t>90</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25th percentile</w:t>
            </w:r>
          </w:p>
        </w:tc>
        <w:tc>
          <w:tcPr>
            <w:tcW w:type="dxa" w:w="3120"/>
          </w:tcPr>
          <w:p>
            <w:pPr>
              <w:spacing w:line="240" w:lineRule="auto" w:after="0"/>
            </w:pPr>
            <w:r>
              <w:rPr>
                <w:rFonts w:ascii="Times New Roman" w:hAnsi="Times New Roman"/>
                <w:sz w:val="15"/>
              </w:rPr>
            </w:r>
            <w:r>
              <w:rPr>
                <w:rFonts w:ascii="Times New Roman" w:hAnsi="Times New Roman"/>
                <w:sz w:val="15"/>
              </w:rPr>
              <w:t>75</w:t>
            </w:r>
          </w:p>
        </w:tc>
        <w:tc>
          <w:tcPr>
            <w:tcW w:type="dxa" w:w="3120"/>
          </w:tcPr>
          <w:p>
            <w:pPr>
              <w:spacing w:line="240" w:lineRule="auto" w:after="0"/>
            </w:pPr>
            <w:r>
              <w:rPr>
                <w:rFonts w:ascii="Times New Roman" w:hAnsi="Times New Roman"/>
                <w:sz w:val="15"/>
              </w:rPr>
            </w:r>
            <w:r>
              <w:rPr>
                <w:rFonts w:ascii="Times New Roman" w:hAnsi="Times New Roman"/>
                <w:sz w:val="15"/>
              </w:rPr>
              <w:t>150</w:t>
            </w:r>
          </w:p>
        </w:tc>
      </w:tr>
      <w:tr>
        <w:trPr>
          <w:cantSplit/>
        </w:trPr>
        <w:tc>
          <w:tcPr>
            <w:tcW w:type="dxa" w:w="3120"/>
          </w:tcPr>
          <w:p>
            <w:pPr>
              <w:spacing w:line="240" w:lineRule="auto" w:after="0"/>
            </w:pPr>
            <w:r>
              <w:rPr>
                <w:rFonts w:ascii="Times New Roman" w:hAnsi="Times New Roman"/>
                <w:sz w:val="15"/>
              </w:rPr>
            </w:r>
            <w:r>
              <w:rPr>
                <w:rFonts w:ascii="Times New Roman" w:hAnsi="Times New Roman"/>
                <w:b/>
                <w:sz w:val="15"/>
              </w:rPr>
              <w:t>Median</w:t>
            </w:r>
          </w:p>
        </w:tc>
        <w:tc>
          <w:tcPr>
            <w:tcW w:type="dxa" w:w="3120"/>
          </w:tcPr>
          <w:p>
            <w:pPr>
              <w:spacing w:line="240" w:lineRule="auto" w:after="0"/>
            </w:pPr>
            <w:r>
              <w:rPr>
                <w:rFonts w:ascii="Times New Roman" w:hAnsi="Times New Roman"/>
                <w:sz w:val="15"/>
              </w:rPr>
            </w:r>
            <w:r>
              <w:rPr>
                <w:rFonts w:ascii="Times New Roman" w:hAnsi="Times New Roman"/>
                <w:b/>
                <w:sz w:val="15"/>
              </w:rPr>
              <w:t>100</w:t>
            </w:r>
          </w:p>
        </w:tc>
        <w:tc>
          <w:tcPr>
            <w:tcW w:type="dxa" w:w="3120"/>
          </w:tcPr>
          <w:p>
            <w:pPr>
              <w:spacing w:line="240" w:lineRule="auto" w:after="0"/>
            </w:pPr>
            <w:r>
              <w:rPr>
                <w:rFonts w:ascii="Times New Roman" w:hAnsi="Times New Roman"/>
                <w:sz w:val="15"/>
              </w:rPr>
            </w:r>
            <w:r>
              <w:rPr>
                <w:rFonts w:ascii="Times New Roman" w:hAnsi="Times New Roman"/>
                <w:b/>
                <w:sz w:val="15"/>
              </w:rPr>
              <w:t>195</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75th percentile</w:t>
            </w:r>
          </w:p>
        </w:tc>
        <w:tc>
          <w:tcPr>
            <w:tcW w:type="dxa" w:w="3120"/>
          </w:tcPr>
          <w:p>
            <w:pPr>
              <w:spacing w:line="240" w:lineRule="auto" w:after="0"/>
            </w:pPr>
            <w:r>
              <w:rPr>
                <w:rFonts w:ascii="Times New Roman" w:hAnsi="Times New Roman"/>
                <w:sz w:val="15"/>
              </w:rPr>
            </w:r>
            <w:r>
              <w:rPr>
                <w:rFonts w:ascii="Times New Roman" w:hAnsi="Times New Roman"/>
                <w:sz w:val="15"/>
              </w:rPr>
              <w:t>135</w:t>
            </w:r>
          </w:p>
        </w:tc>
        <w:tc>
          <w:tcPr>
            <w:tcW w:type="dxa" w:w="3120"/>
          </w:tcPr>
          <w:p>
            <w:pPr>
              <w:spacing w:line="240" w:lineRule="auto" w:after="0"/>
            </w:pPr>
            <w:r>
              <w:rPr>
                <w:rFonts w:ascii="Times New Roman" w:hAnsi="Times New Roman"/>
                <w:sz w:val="15"/>
              </w:rPr>
            </w:r>
            <w:r>
              <w:rPr>
                <w:rFonts w:ascii="Times New Roman" w:hAnsi="Times New Roman"/>
                <w:sz w:val="15"/>
              </w:rPr>
              <w:t>245</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95th percentile</w:t>
            </w:r>
          </w:p>
        </w:tc>
        <w:tc>
          <w:tcPr>
            <w:tcW w:type="dxa" w:w="3120"/>
          </w:tcPr>
          <w:p>
            <w:pPr>
              <w:spacing w:line="240" w:lineRule="auto" w:after="0"/>
            </w:pPr>
            <w:r>
              <w:rPr>
                <w:rFonts w:ascii="Times New Roman" w:hAnsi="Times New Roman"/>
                <w:sz w:val="15"/>
              </w:rPr>
            </w:r>
            <w:r>
              <w:rPr>
                <w:rFonts w:ascii="Times New Roman" w:hAnsi="Times New Roman"/>
                <w:sz w:val="15"/>
              </w:rPr>
              <w:t>240</w:t>
            </w:r>
          </w:p>
        </w:tc>
        <w:tc>
          <w:tcPr>
            <w:tcW w:type="dxa" w:w="3120"/>
          </w:tcPr>
          <w:p>
            <w:pPr>
              <w:spacing w:line="240" w:lineRule="auto" w:after="0"/>
            </w:pPr>
            <w:r>
              <w:rPr>
                <w:rFonts w:ascii="Times New Roman" w:hAnsi="Times New Roman"/>
                <w:sz w:val="15"/>
              </w:rPr>
            </w:r>
            <w:r>
              <w:rPr>
                <w:rFonts w:ascii="Times New Roman" w:hAnsi="Times New Roman"/>
                <w:sz w:val="15"/>
              </w:rPr>
              <w:t>320</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99th percentile</w:t>
            </w:r>
          </w:p>
        </w:tc>
        <w:tc>
          <w:tcPr>
            <w:tcW w:type="dxa" w:w="3120"/>
          </w:tcPr>
          <w:p>
            <w:pPr>
              <w:spacing w:line="240" w:lineRule="auto" w:after="0"/>
            </w:pPr>
            <w:r>
              <w:rPr>
                <w:rFonts w:ascii="Times New Roman" w:hAnsi="Times New Roman"/>
                <w:sz w:val="15"/>
              </w:rPr>
            </w:r>
            <w:r>
              <w:rPr>
                <w:rFonts w:ascii="Times New Roman" w:hAnsi="Times New Roman"/>
                <w:sz w:val="15"/>
              </w:rPr>
              <w:t>354</w:t>
            </w:r>
          </w:p>
        </w:tc>
        <w:tc>
          <w:tcPr>
            <w:tcW w:type="dxa" w:w="3120"/>
          </w:tcPr>
          <w:p>
            <w:pPr>
              <w:spacing w:line="240" w:lineRule="auto" w:after="0"/>
            </w:pPr>
            <w:r>
              <w:rPr>
                <w:rFonts w:ascii="Times New Roman" w:hAnsi="Times New Roman"/>
                <w:sz w:val="15"/>
              </w:rPr>
            </w:r>
            <w:r>
              <w:rPr>
                <w:rFonts w:ascii="Times New Roman" w:hAnsi="Times New Roman"/>
                <w:sz w:val="15"/>
              </w:rPr>
              <w:t>379</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Maximum</w:t>
            </w:r>
          </w:p>
        </w:tc>
        <w:tc>
          <w:tcPr>
            <w:tcW w:type="dxa" w:w="3120"/>
          </w:tcPr>
          <w:p>
            <w:pPr>
              <w:spacing w:line="240" w:lineRule="auto" w:after="0"/>
            </w:pPr>
            <w:r>
              <w:rPr>
                <w:rFonts w:ascii="Times New Roman" w:hAnsi="Times New Roman"/>
                <w:sz w:val="15"/>
              </w:rPr>
            </w:r>
            <w:r>
              <w:rPr>
                <w:rFonts w:ascii="Times New Roman" w:hAnsi="Times New Roman"/>
                <w:sz w:val="15"/>
              </w:rPr>
              <w:t>620</w:t>
            </w:r>
          </w:p>
        </w:tc>
        <w:tc>
          <w:tcPr>
            <w:tcW w:type="dxa" w:w="3120"/>
          </w:tcPr>
          <w:p>
            <w:pPr>
              <w:spacing w:line="240" w:lineRule="auto" w:after="0"/>
            </w:pPr>
            <w:r>
              <w:rPr>
                <w:rFonts w:ascii="Times New Roman" w:hAnsi="Times New Roman"/>
                <w:sz w:val="15"/>
              </w:rPr>
            </w:r>
            <w:r>
              <w:rPr>
                <w:rFonts w:ascii="Times New Roman" w:hAnsi="Times New Roman"/>
                <w:sz w:val="15"/>
              </w:rPr>
              <w:t>595</w:t>
            </w:r>
          </w:p>
        </w:tc>
      </w:tr>
    </w:tbl>
    <w:p/>
    <w:p>
      <w:pPr>
        <w:jc w:val="left"/>
      </w:pPr>
      <w:r>
        <w:t>The two instants are separated by a median of 100 minutes and by more than four hours in 5% of operations. Anchoring the exposure window to one and the outcome window to the other places them in different coordinate systems, which is why the manuscript uses a single origin throughout.</w:t>
      </w:r>
    </w:p>
    <w:p>
      <w:pPr>
        <w:jc w:val="left"/>
      </w:pPr>
      <w:r>
        <w:t>This distribution is retained in the supplement because it describes a data property rather than the central estimand. The main Figure 3 reports the final cohort flow.</w:t>
      </w:r>
    </w:p>
    <w:p>
      <w:pPr>
        <w:pStyle w:val="Heading2"/>
        <w:keepNext/>
        <w:spacing w:line="276" w:lineRule="auto" w:before="200" w:after="80"/>
      </w:pPr>
      <w:r>
        <w:rPr>
          <w:rFonts w:ascii="Times New Roman" w:hAnsi="Times New Roman"/>
          <w:color w:val="000000"/>
        </w:rPr>
        <w:t>3. Reclassification of renal events across the three clocks</w:t>
      </w:r>
    </w:p>
    <w:p>
      <w:pPr>
        <w:jc w:val="left"/>
      </w:pPr>
      <w:r>
        <w:t>Each clock was applied to the same operations and the resulting concurrent-versus-newly-detected classification compared.</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trPr>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Clock A</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Clock B</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Eligible under both</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Class changed</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 changed</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Concurrent → newly detected</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Newly detected → concurrent</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Unified CPB</w:t>
            </w:r>
          </w:p>
        </w:tc>
        <w:tc>
          <w:tcPr>
            <w:tcW w:type="dxa" w:w="1337"/>
          </w:tcPr>
          <w:p>
            <w:pPr>
              <w:spacing w:line="240" w:lineRule="auto" w:after="0"/>
            </w:pPr>
            <w:r>
              <w:rPr>
                <w:rFonts w:ascii="Times New Roman" w:hAnsi="Times New Roman"/>
                <w:sz w:val="15"/>
              </w:rPr>
            </w:r>
            <w:r>
              <w:rPr>
                <w:rFonts w:ascii="Times New Roman" w:hAnsi="Times New Roman"/>
                <w:sz w:val="15"/>
              </w:rPr>
              <w:t>Manuscript hybrid</w:t>
            </w:r>
          </w:p>
        </w:tc>
        <w:tc>
          <w:tcPr>
            <w:tcW w:type="dxa" w:w="1337"/>
          </w:tcPr>
          <w:p>
            <w:pPr>
              <w:spacing w:line="240" w:lineRule="auto" w:after="0"/>
            </w:pPr>
            <w:r>
              <w:rPr>
                <w:rFonts w:ascii="Times New Roman" w:hAnsi="Times New Roman"/>
                <w:sz w:val="15"/>
              </w:rPr>
            </w:r>
            <w:r>
              <w:rPr>
                <w:rFonts w:ascii="Times New Roman" w:hAnsi="Times New Roman"/>
                <w:sz w:val="15"/>
              </w:rPr>
              <w:t>2,468</w:t>
            </w:r>
          </w:p>
        </w:tc>
        <w:tc>
          <w:tcPr>
            <w:tcW w:type="dxa" w:w="1337"/>
          </w:tcPr>
          <w:p>
            <w:pPr>
              <w:spacing w:line="240" w:lineRule="auto" w:after="0"/>
            </w:pPr>
            <w:r>
              <w:rPr>
                <w:rFonts w:ascii="Times New Roman" w:hAnsi="Times New Roman"/>
                <w:sz w:val="15"/>
              </w:rPr>
            </w:r>
            <w:r>
              <w:rPr>
                <w:rFonts w:ascii="Times New Roman" w:hAnsi="Times New Roman"/>
                <w:sz w:val="15"/>
              </w:rPr>
              <w:t>4</w:t>
            </w:r>
          </w:p>
        </w:tc>
        <w:tc>
          <w:tcPr>
            <w:tcW w:type="dxa" w:w="1337"/>
          </w:tcPr>
          <w:p>
            <w:pPr>
              <w:spacing w:line="240" w:lineRule="auto" w:after="0"/>
            </w:pPr>
            <w:r>
              <w:rPr>
                <w:rFonts w:ascii="Times New Roman" w:hAnsi="Times New Roman"/>
                <w:sz w:val="15"/>
              </w:rPr>
            </w:r>
            <w:r>
              <w:rPr>
                <w:rFonts w:ascii="Times New Roman" w:hAnsi="Times New Roman"/>
                <w:sz w:val="15"/>
              </w:rPr>
              <w:t>0.16</w:t>
            </w:r>
          </w:p>
        </w:tc>
        <w:tc>
          <w:tcPr>
            <w:tcW w:type="dxa" w:w="1337"/>
          </w:tcPr>
          <w:p>
            <w:pPr>
              <w:spacing w:line="240" w:lineRule="auto" w:after="0"/>
            </w:pPr>
            <w:r>
              <w:rPr>
                <w:rFonts w:ascii="Times New Roman" w:hAnsi="Times New Roman"/>
                <w:sz w:val="15"/>
              </w:rPr>
            </w:r>
            <w:r>
              <w:rPr>
                <w:rFonts w:ascii="Times New Roman" w:hAnsi="Times New Roman"/>
                <w:sz w:val="15"/>
              </w:rPr>
              <w:t>0</w:t>
            </w:r>
          </w:p>
        </w:tc>
        <w:tc>
          <w:tcPr>
            <w:tcW w:type="dxa" w:w="1337"/>
          </w:tcPr>
          <w:p>
            <w:pPr>
              <w:spacing w:line="240" w:lineRule="auto" w:after="0"/>
            </w:pPr>
            <w:r>
              <w:rPr>
                <w:rFonts w:ascii="Times New Roman" w:hAnsi="Times New Roman"/>
                <w:sz w:val="15"/>
              </w:rPr>
            </w:r>
            <w:r>
              <w:rPr>
                <w:rFonts w:ascii="Times New Roman" w:hAnsi="Times New Roman"/>
                <w:sz w:val="15"/>
              </w:rPr>
              <w:t>0</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Unified CPB</w:t>
            </w:r>
          </w:p>
        </w:tc>
        <w:tc>
          <w:tcPr>
            <w:tcW w:type="dxa" w:w="1337"/>
          </w:tcPr>
          <w:p>
            <w:pPr>
              <w:spacing w:line="240" w:lineRule="auto" w:after="0"/>
            </w:pPr>
            <w:r>
              <w:rPr>
                <w:rFonts w:ascii="Times New Roman" w:hAnsi="Times New Roman"/>
                <w:sz w:val="15"/>
              </w:rPr>
            </w:r>
            <w:r>
              <w:rPr>
                <w:rFonts w:ascii="Times New Roman" w:hAnsi="Times New Roman"/>
                <w:sz w:val="15"/>
              </w:rPr>
              <w:t>Unified end of surgery</w:t>
            </w:r>
          </w:p>
        </w:tc>
        <w:tc>
          <w:tcPr>
            <w:tcW w:type="dxa" w:w="1337"/>
          </w:tcPr>
          <w:p>
            <w:pPr>
              <w:spacing w:line="240" w:lineRule="auto" w:after="0"/>
            </w:pPr>
            <w:r>
              <w:rPr>
                <w:rFonts w:ascii="Times New Roman" w:hAnsi="Times New Roman"/>
                <w:sz w:val="15"/>
              </w:rPr>
            </w:r>
            <w:r>
              <w:rPr>
                <w:rFonts w:ascii="Times New Roman" w:hAnsi="Times New Roman"/>
                <w:sz w:val="15"/>
              </w:rPr>
              <w:t>1,658</w:t>
            </w:r>
          </w:p>
        </w:tc>
        <w:tc>
          <w:tcPr>
            <w:tcW w:type="dxa" w:w="1337"/>
          </w:tcPr>
          <w:p>
            <w:pPr>
              <w:spacing w:line="240" w:lineRule="auto" w:after="0"/>
            </w:pPr>
            <w:r>
              <w:rPr>
                <w:rFonts w:ascii="Times New Roman" w:hAnsi="Times New Roman"/>
                <w:sz w:val="15"/>
              </w:rPr>
            </w:r>
            <w:r>
              <w:rPr>
                <w:rFonts w:ascii="Times New Roman" w:hAnsi="Times New Roman"/>
                <w:sz w:val="15"/>
              </w:rPr>
              <w:t>14</w:t>
            </w:r>
          </w:p>
        </w:tc>
        <w:tc>
          <w:tcPr>
            <w:tcW w:type="dxa" w:w="1337"/>
          </w:tcPr>
          <w:p>
            <w:pPr>
              <w:spacing w:line="240" w:lineRule="auto" w:after="0"/>
            </w:pPr>
            <w:r>
              <w:rPr>
                <w:rFonts w:ascii="Times New Roman" w:hAnsi="Times New Roman"/>
                <w:sz w:val="15"/>
              </w:rPr>
            </w:r>
            <w:r>
              <w:rPr>
                <w:rFonts w:ascii="Times New Roman" w:hAnsi="Times New Roman"/>
                <w:sz w:val="15"/>
              </w:rPr>
              <w:t>0.84</w:t>
            </w:r>
          </w:p>
        </w:tc>
        <w:tc>
          <w:tcPr>
            <w:tcW w:type="dxa" w:w="1337"/>
          </w:tcPr>
          <w:p>
            <w:pPr>
              <w:spacing w:line="240" w:lineRule="auto" w:after="0"/>
            </w:pPr>
            <w:r>
              <w:rPr>
                <w:rFonts w:ascii="Times New Roman" w:hAnsi="Times New Roman"/>
                <w:sz w:val="15"/>
              </w:rPr>
            </w:r>
            <w:r>
              <w:rPr>
                <w:rFonts w:ascii="Times New Roman" w:hAnsi="Times New Roman"/>
                <w:sz w:val="15"/>
              </w:rPr>
              <w:t>0</w:t>
            </w:r>
          </w:p>
        </w:tc>
        <w:tc>
          <w:tcPr>
            <w:tcW w:type="dxa" w:w="1337"/>
          </w:tcPr>
          <w:p>
            <w:pPr>
              <w:spacing w:line="240" w:lineRule="auto" w:after="0"/>
            </w:pPr>
            <w:r>
              <w:rPr>
                <w:rFonts w:ascii="Times New Roman" w:hAnsi="Times New Roman"/>
                <w:sz w:val="15"/>
              </w:rPr>
            </w:r>
            <w:r>
              <w:rPr>
                <w:rFonts w:ascii="Times New Roman" w:hAnsi="Times New Roman"/>
                <w:sz w:val="15"/>
              </w:rPr>
              <w:t>11</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Unified end of surgery</w:t>
            </w:r>
          </w:p>
        </w:tc>
        <w:tc>
          <w:tcPr>
            <w:tcW w:type="dxa" w:w="1337"/>
          </w:tcPr>
          <w:p>
            <w:pPr>
              <w:spacing w:line="240" w:lineRule="auto" w:after="0"/>
            </w:pPr>
            <w:r>
              <w:rPr>
                <w:rFonts w:ascii="Times New Roman" w:hAnsi="Times New Roman"/>
                <w:sz w:val="15"/>
              </w:rPr>
            </w:r>
            <w:r>
              <w:rPr>
                <w:rFonts w:ascii="Times New Roman" w:hAnsi="Times New Roman"/>
                <w:sz w:val="15"/>
              </w:rPr>
              <w:t>Manuscript hybrid</w:t>
            </w:r>
          </w:p>
        </w:tc>
        <w:tc>
          <w:tcPr>
            <w:tcW w:type="dxa" w:w="1337"/>
          </w:tcPr>
          <w:p>
            <w:pPr>
              <w:spacing w:line="240" w:lineRule="auto" w:after="0"/>
            </w:pPr>
            <w:r>
              <w:rPr>
                <w:rFonts w:ascii="Times New Roman" w:hAnsi="Times New Roman"/>
                <w:sz w:val="15"/>
              </w:rPr>
            </w:r>
            <w:r>
              <w:rPr>
                <w:rFonts w:ascii="Times New Roman" w:hAnsi="Times New Roman"/>
                <w:sz w:val="15"/>
              </w:rPr>
              <w:t>1,658</w:t>
            </w:r>
          </w:p>
        </w:tc>
        <w:tc>
          <w:tcPr>
            <w:tcW w:type="dxa" w:w="1337"/>
          </w:tcPr>
          <w:p>
            <w:pPr>
              <w:spacing w:line="240" w:lineRule="auto" w:after="0"/>
            </w:pPr>
            <w:r>
              <w:rPr>
                <w:rFonts w:ascii="Times New Roman" w:hAnsi="Times New Roman"/>
                <w:sz w:val="15"/>
              </w:rPr>
            </w:r>
            <w:r>
              <w:rPr>
                <w:rFonts w:ascii="Times New Roman" w:hAnsi="Times New Roman"/>
                <w:sz w:val="15"/>
              </w:rPr>
              <w:t>11</w:t>
            </w:r>
          </w:p>
        </w:tc>
        <w:tc>
          <w:tcPr>
            <w:tcW w:type="dxa" w:w="1337"/>
          </w:tcPr>
          <w:p>
            <w:pPr>
              <w:spacing w:line="240" w:lineRule="auto" w:after="0"/>
            </w:pPr>
            <w:r>
              <w:rPr>
                <w:rFonts w:ascii="Times New Roman" w:hAnsi="Times New Roman"/>
                <w:sz w:val="15"/>
              </w:rPr>
            </w:r>
            <w:r>
              <w:rPr>
                <w:rFonts w:ascii="Times New Roman" w:hAnsi="Times New Roman"/>
                <w:sz w:val="15"/>
              </w:rPr>
              <w:t>0.66</w:t>
            </w:r>
          </w:p>
        </w:tc>
        <w:tc>
          <w:tcPr>
            <w:tcW w:type="dxa" w:w="1337"/>
          </w:tcPr>
          <w:p>
            <w:pPr>
              <w:spacing w:line="240" w:lineRule="auto" w:after="0"/>
            </w:pPr>
            <w:r>
              <w:rPr>
                <w:rFonts w:ascii="Times New Roman" w:hAnsi="Times New Roman"/>
                <w:sz w:val="15"/>
              </w:rPr>
            </w:r>
            <w:r>
              <w:rPr>
                <w:rFonts w:ascii="Times New Roman" w:hAnsi="Times New Roman"/>
                <w:sz w:val="15"/>
              </w:rPr>
              <w:t>11</w:t>
            </w:r>
          </w:p>
        </w:tc>
        <w:tc>
          <w:tcPr>
            <w:tcW w:type="dxa" w:w="1337"/>
          </w:tcPr>
          <w:p>
            <w:pPr>
              <w:spacing w:line="240" w:lineRule="auto" w:after="0"/>
            </w:pPr>
            <w:r>
              <w:rPr>
                <w:rFonts w:ascii="Times New Roman" w:hAnsi="Times New Roman"/>
                <w:sz w:val="15"/>
              </w:rPr>
            </w:r>
            <w:r>
              <w:rPr>
                <w:rFonts w:ascii="Times New Roman" w:hAnsi="Times New Roman"/>
                <w:sz w:val="15"/>
              </w:rPr>
              <w:t>0</w:t>
            </w:r>
          </w:p>
        </w:tc>
      </w:tr>
    </w:tbl>
    <w:p/>
    <w:p>
      <w:pPr>
        <w:jc w:val="left"/>
      </w:pPr>
      <w:r>
        <w:t>The hybrid clock used in earlier work differs from a fully unified bypass clock in 4 of 2,468 operations, and in none of those does an event move between the concurrent and newly detected categories. The reconciliation is therefore a matter of correct labelling rather than of recomputation.</w:t>
      </w:r>
    </w:p>
    <w:p>
      <w:pPr>
        <w:jc w:val="left"/>
      </w:pPr>
      <w:r>
        <w:rPr>
          <w:b/>
        </w:rPr>
        <w:t>The end-of-surgery clock is not an equivalent alternative.</w:t>
      </w:r>
      <w:r>
        <w:t xml:space="preserve"> Only 1,658 operations are eligible under it, against 2,468 under the bypass clock, because for 810 operations every lactate result falls between bypass separation and end of surgery and is therefore outside an exposure window anchored to the later instant. That anchor changes the population rather than the clock, and comparisons against it are not comparisons of the same estimand.</w:t>
      </w:r>
    </w:p>
    <w:p>
      <w:pPr>
        <w:pStyle w:val="Heading2"/>
        <w:keepNext/>
        <w:spacing w:line="276" w:lineRule="auto" w:before="200" w:after="80"/>
      </w:pPr>
      <w:r>
        <w:rPr>
          <w:rFonts w:ascii="Times New Roman" w:hAnsi="Times New Roman"/>
          <w:color w:val="000000"/>
        </w:rPr>
        <w:t>4. Repeat operations and episode overlap</w:t>
      </w:r>
    </w:p>
    <w:p>
      <w:pPr>
        <w:jc w:val="left"/>
      </w:pPr>
      <w:r>
        <w:t>Among 2,468 eligible operations from 2,365 patients, 98 patients contributed more than one operation, for 103 additional operations.</w:t>
      </w:r>
    </w:p>
    <w:tbl>
      <w:tblPr>
        <w:tblStyle w:val="TableGrid"/>
        <w:tblW w:type="auto" w:w="0"/>
        <w:jc w:val="center"/>
        <w:tblLook w:firstColumn="1" w:firstRow="1" w:lastColumn="0" w:lastRow="0" w:noHBand="0" w:noVBand="1" w:val="04A0"/>
      </w:tblPr>
      <w:tblGrid>
        <w:gridCol w:w="4680"/>
        <w:gridCol w:w="4680"/>
      </w:tblGrid>
      <w:tr>
        <w:trPr>
          <w:tblHeader w:val="true"/>
          <w:cantSplit/>
        </w:trPr>
        <w:tc>
          <w:tcPr>
            <w:tcW w:type="dxa" w:w="4680"/>
            <w:shd w:val="clear" w:fill="E8E8E8"/>
          </w:tcPr>
          <w:p>
            <w:pPr>
              <w:spacing w:line="240" w:lineRule="auto" w:after="0"/>
            </w:pPr>
            <w:r>
              <w:rPr>
                <w:rFonts w:ascii="Times New Roman" w:hAnsi="Times New Roman"/>
                <w:b/>
                <w:sz w:val="15"/>
              </w:rPr>
            </w:r>
            <w:r>
              <w:rPr>
                <w:rFonts w:ascii="Times New Roman" w:hAnsi="Times New Roman"/>
                <w:b/>
                <w:sz w:val="15"/>
              </w:rPr>
              <w:t>Diagnostic</w:t>
            </w:r>
          </w:p>
        </w:tc>
        <w:tc>
          <w:tcPr>
            <w:tcW w:type="dxa" w:w="4680"/>
            <w:shd w:val="clear" w:fill="E8E8E8"/>
          </w:tcPr>
          <w:p>
            <w:pPr>
              <w:spacing w:line="240" w:lineRule="auto" w:after="0"/>
            </w:pPr>
            <w:r>
              <w:rPr>
                <w:rFonts w:ascii="Times New Roman" w:hAnsi="Times New Roman"/>
                <w:b/>
                <w:sz w:val="15"/>
              </w:rPr>
            </w:r>
            <w:r>
              <w:rPr>
                <w:rFonts w:ascii="Times New Roman" w:hAnsi="Times New Roman"/>
                <w:b/>
                <w:sz w:val="15"/>
              </w:rPr>
              <w:t>Value</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Patients with more than one eligible operation</w:t>
            </w:r>
          </w:p>
        </w:tc>
        <w:tc>
          <w:tcPr>
            <w:tcW w:type="dxa" w:w="4680"/>
          </w:tcPr>
          <w:p>
            <w:pPr>
              <w:spacing w:line="240" w:lineRule="auto" w:after="0"/>
            </w:pPr>
            <w:r>
              <w:rPr>
                <w:rFonts w:ascii="Times New Roman" w:hAnsi="Times New Roman"/>
                <w:sz w:val="15"/>
              </w:rPr>
            </w:r>
            <w:r>
              <w:rPr>
                <w:rFonts w:ascii="Times New Roman" w:hAnsi="Times New Roman"/>
                <w:sz w:val="15"/>
              </w:rPr>
              <w:t>98</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Additional operations beyond one per patient</w:t>
            </w:r>
          </w:p>
        </w:tc>
        <w:tc>
          <w:tcPr>
            <w:tcW w:type="dxa" w:w="4680"/>
          </w:tcPr>
          <w:p>
            <w:pPr>
              <w:spacing w:line="240" w:lineRule="auto" w:after="0"/>
            </w:pPr>
            <w:r>
              <w:rPr>
                <w:rFonts w:ascii="Times New Roman" w:hAnsi="Times New Roman"/>
                <w:sz w:val="15"/>
              </w:rPr>
            </w:r>
            <w:r>
              <w:rPr>
                <w:rFonts w:ascii="Times New Roman" w:hAnsi="Times New Roman"/>
                <w:sz w:val="15"/>
              </w:rPr>
              <w:t>103</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Adjacent operation pairs separated by ≤2 days</w:t>
            </w:r>
          </w:p>
        </w:tc>
        <w:tc>
          <w:tcPr>
            <w:tcW w:type="dxa" w:w="4680"/>
          </w:tcPr>
          <w:p>
            <w:pPr>
              <w:spacing w:line="240" w:lineRule="auto" w:after="0"/>
            </w:pPr>
            <w:r>
              <w:rPr>
                <w:rFonts w:ascii="Times New Roman" w:hAnsi="Times New Roman"/>
                <w:sz w:val="15"/>
              </w:rPr>
            </w:r>
            <w:r>
              <w:rPr>
                <w:rFonts w:ascii="Times New Roman" w:hAnsi="Times New Roman"/>
                <w:sz w:val="15"/>
              </w:rPr>
              <w:t>18</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Adjacent operation pairs separated by ≤7 days</w:t>
            </w:r>
          </w:p>
        </w:tc>
        <w:tc>
          <w:tcPr>
            <w:tcW w:type="dxa" w:w="4680"/>
          </w:tcPr>
          <w:p>
            <w:pPr>
              <w:spacing w:line="240" w:lineRule="auto" w:after="0"/>
            </w:pPr>
            <w:r>
              <w:rPr>
                <w:rFonts w:ascii="Times New Roman" w:hAnsi="Times New Roman"/>
                <w:sz w:val="15"/>
              </w:rPr>
            </w:r>
            <w:r>
              <w:rPr>
                <w:rFonts w:ascii="Times New Roman" w:hAnsi="Times New Roman"/>
                <w:sz w:val="15"/>
              </w:rPr>
              <w:t>22</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Shortest interval between two eligible operations</w:t>
            </w:r>
          </w:p>
        </w:tc>
        <w:tc>
          <w:tcPr>
            <w:tcW w:type="dxa" w:w="4680"/>
          </w:tcPr>
          <w:p>
            <w:pPr>
              <w:spacing w:line="240" w:lineRule="auto" w:after="0"/>
            </w:pPr>
            <w:r>
              <w:rPr>
                <w:rFonts w:ascii="Times New Roman" w:hAnsi="Times New Roman"/>
                <w:sz w:val="15"/>
              </w:rPr>
            </w:r>
            <w:r>
              <w:rPr>
                <w:rFonts w:ascii="Times New Roman" w:hAnsi="Times New Roman"/>
                <w:sz w:val="15"/>
              </w:rPr>
              <w:t>4.5 hours</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90-day death outcome rows in the all-operations cohort</w:t>
            </w:r>
          </w:p>
        </w:tc>
        <w:tc>
          <w:tcPr>
            <w:tcW w:type="dxa" w:w="4680"/>
          </w:tcPr>
          <w:p>
            <w:pPr>
              <w:spacing w:line="240" w:lineRule="auto" w:after="0"/>
            </w:pPr>
            <w:r>
              <w:rPr>
                <w:rFonts w:ascii="Times New Roman" w:hAnsi="Times New Roman"/>
                <w:sz w:val="15"/>
              </w:rPr>
            </w:r>
            <w:r>
              <w:rPr>
                <w:rFonts w:ascii="Times New Roman" w:hAnsi="Times New Roman"/>
                <w:sz w:val="15"/>
              </w:rPr>
              <w:t>105</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Distinct patients contributing those rows</w:t>
            </w:r>
          </w:p>
        </w:tc>
        <w:tc>
          <w:tcPr>
            <w:tcW w:type="dxa" w:w="4680"/>
          </w:tcPr>
          <w:p>
            <w:pPr>
              <w:spacing w:line="240" w:lineRule="auto" w:after="0"/>
            </w:pPr>
            <w:r>
              <w:rPr>
                <w:rFonts w:ascii="Times New Roman" w:hAnsi="Times New Roman"/>
                <w:sz w:val="15"/>
              </w:rPr>
            </w:r>
            <w:r>
              <w:rPr>
                <w:rFonts w:ascii="Times New Roman" w:hAnsi="Times New Roman"/>
                <w:sz w:val="15"/>
              </w:rPr>
              <w:t>100</w:t>
            </w:r>
          </w:p>
        </w:tc>
      </w:tr>
      <w:tr>
        <w:trPr>
          <w:cantSplit/>
        </w:trPr>
        <w:tc>
          <w:tcPr>
            <w:tcW w:type="dxa" w:w="4680"/>
          </w:tcPr>
          <w:p>
            <w:pPr>
              <w:spacing w:line="240" w:lineRule="auto" w:after="0"/>
            </w:pPr>
            <w:r>
              <w:rPr>
                <w:rFonts w:ascii="Times New Roman" w:hAnsi="Times New Roman"/>
                <w:sz w:val="15"/>
              </w:rPr>
            </w:r>
            <w:r>
              <w:rPr>
                <w:rFonts w:ascii="Times New Roman" w:hAnsi="Times New Roman"/>
                <w:b/>
                <w:sz w:val="15"/>
              </w:rPr>
              <w:t>Deaths attributable to two operations</w:t>
            </w:r>
          </w:p>
        </w:tc>
        <w:tc>
          <w:tcPr>
            <w:tcW w:type="dxa" w:w="4680"/>
          </w:tcPr>
          <w:p>
            <w:pPr>
              <w:spacing w:line="240" w:lineRule="auto" w:after="0"/>
            </w:pPr>
            <w:r>
              <w:rPr>
                <w:rFonts w:ascii="Times New Roman" w:hAnsi="Times New Roman"/>
                <w:sz w:val="15"/>
              </w:rPr>
            </w:r>
            <w:r>
              <w:rPr>
                <w:rFonts w:ascii="Times New Roman" w:hAnsi="Times New Roman"/>
                <w:b/>
                <w:sz w:val="15"/>
              </w:rPr>
              <w:t>5</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First operations whose 7-day renal window contains a subsequent eligible operation</w:t>
            </w:r>
          </w:p>
        </w:tc>
        <w:tc>
          <w:tcPr>
            <w:tcW w:type="dxa" w:w="4680"/>
          </w:tcPr>
          <w:p>
            <w:pPr>
              <w:spacing w:line="240" w:lineRule="auto" w:after="0"/>
            </w:pPr>
            <w:r>
              <w:rPr>
                <w:rFonts w:ascii="Times New Roman" w:hAnsi="Times New Roman"/>
                <w:sz w:val="15"/>
              </w:rPr>
            </w:r>
            <w:r>
              <w:rPr>
                <w:rFonts w:ascii="Times New Roman" w:hAnsi="Times New Roman"/>
                <w:sz w:val="15"/>
              </w:rPr>
              <w:t>21</w:t>
            </w:r>
          </w:p>
        </w:tc>
      </w:tr>
    </w:tbl>
    <w:p/>
    <w:p>
      <w:pPr>
        <w:jc w:val="left"/>
      </w:pPr>
      <w:r>
        <w:t>Because laboratory records are linked at patient level while windows are defined per operation, two operations 4.5 hours apart share the same lactate and creatinine values. The 24-hour exposure window of the first operation can contain measurements taken during the second. For five patients a single death is counted as an outcome for two operations, and those two operations may fall in different lactate strata.</w:t>
      </w:r>
    </w:p>
    <w:p>
      <w:pPr>
        <w:jc w:val="left"/>
      </w:pPr>
      <w:r>
        <w:t>This is ambiguous attribution of exposure and outcome, not merely correlated errors, and it is why the manuscript's primary unit is the patient's first eligible operation rather than the operation. The restriction costs 103 of 2,468 records (4.2%).</w:t>
      </w:r>
    </w:p>
    <w:p>
      <w:pPr>
        <w:jc w:val="left"/>
      </w:pPr>
      <w:r>
        <w:t xml:space="preserve">The 21 first operations whose renal window contains a subsequent operation remain in the primary cohort. Their operation identifiers are listed in </w:t>
      </w:r>
      <w:r>
        <w:rPr>
          <w:rFonts w:ascii="Consolas" w:hAnsi="Consolas"/>
          <w:sz w:val="18"/>
        </w:rPr>
        <w:t>analysis/results/gate7/primary_cohort.csv.gz</w:t>
      </w:r>
      <w:r>
        <w:t xml:space="preserve"> under the flag </w:t>
      </w:r>
      <w:r>
        <w:rPr>
          <w:rFonts w:ascii="Consolas" w:hAnsi="Consolas"/>
          <w:sz w:val="18"/>
        </w:rPr>
        <w:t>window_overlaps_next</w:t>
      </w:r>
      <w:r>
        <w:t>. The completed exclusion analysis is reported in Section 6.1.</w:t>
      </w:r>
    </w:p>
    <w:p>
      <w:pPr>
        <w:pStyle w:val="Heading2"/>
        <w:keepNext/>
        <w:spacing w:line="276" w:lineRule="auto" w:before="200" w:after="80"/>
      </w:pPr>
      <w:r>
        <w:rPr>
          <w:rFonts w:ascii="Times New Roman" w:hAnsi="Times New Roman"/>
          <w:color w:val="000000"/>
        </w:rPr>
        <w:t>5. Discretisation of the exposure and the outcome</w:t>
      </w:r>
    </w:p>
    <w:p>
      <w:pPr>
        <w:jc w:val="left"/>
      </w:pPr>
      <w:r>
        <w:t>INSPIRE de-identifies laboratory values by mapping them onto a coarse grid. This is a property of the data release, not of the assay.</w:t>
      </w:r>
    </w:p>
    <w:p>
      <w:pPr>
        <w:jc w:val="left"/>
      </w:pPr>
      <w:r>
        <w:rPr>
          <w:b/>
        </w:rPr>
        <w:t>Lactate: 17 distinct values, top-coded at 8.6 mmol/L.</w:t>
      </w:r>
    </w:p>
    <w:p>
      <w:pPr>
        <w:jc w:val="left"/>
      </w:pPr>
      <w:r>
        <w:rPr>
          <w:rFonts w:ascii="Consolas" w:hAnsi="Consolas"/>
          <w:sz w:val="18"/>
        </w:rPr>
        <w:t>0.5  0.6  0.8  0.9  1.1  1.2  1.3  1.4  1.5  1.7  1.9  2.1  2.5  3.0  3.8  5.9  8.6</w:t>
      </w:r>
    </w:p>
    <w:p>
      <w:pPr>
        <w:jc w:val="left"/>
      </w:pPr>
      <w:r>
        <w:t>The four analysis strata (≤1.9, 2.1–3.0, 3.8–5.9, 8.6) were chosen to respect this grid. Because the top category is top-coded it is a mixture of all patients above the cap, so its effect estimate is an average over that mixture rather than a bound on any specific contrast.</w:t>
      </w:r>
    </w:p>
    <w:p>
      <w:pPr>
        <w:jc w:val="left"/>
      </w:pPr>
      <w:r>
        <w:rPr>
          <w:b/>
        </w:rPr>
        <w:t>Creatinine: 21 distinct values, top-coded at 5.54 mg/dL.</w:t>
      </w:r>
    </w:p>
    <w:p>
      <w:pPr>
        <w:jc w:val="left"/>
      </w:pPr>
      <w:r>
        <w:rPr>
          <w:rFonts w:ascii="Consolas" w:hAnsi="Consolas"/>
          <w:sz w:val="18"/>
        </w:rPr>
        <w:t>0.41 0.47 0.53 0.58 0.61 0.65 0.68 0.71 0.74 0.77 0.80 0.84 0.88 0.92 0.98 1.05 1.15 1.33 1.68 3.03 5.54</w:t>
      </w:r>
    </w:p>
    <w:p>
      <w:pPr>
        <w:jc w:val="left"/>
      </w:pPr>
      <w:r>
        <w:t>Spacing is approximately 0.03 mg/dL between 0.68 and 0.80 but widens to 0.18 between 1.15 and 1.33, 0.35 between 1.33 and 1.68, and 1.35 between 1.68 and 3.03.</w:t>
      </w:r>
    </w:p>
    <w:p>
      <w:pPr>
        <w:pStyle w:val="Heading3"/>
        <w:keepNext/>
        <w:spacing w:line="276" w:lineRule="auto" w:before="200" w:after="80"/>
      </w:pPr>
      <w:r>
        <w:rPr>
          <w:rFonts w:ascii="Times New Roman" w:hAnsi="Times New Roman"/>
          <w:color w:val="000000"/>
        </w:rPr>
        <w:t>5.1 What the grid does to the absolute-rise criterion, and where the cohort sits on it</w:t>
      </w:r>
    </w:p>
    <w:p>
      <w:pPr>
        <w:jc w:val="left"/>
      </w:pPr>
      <w:r>
        <w:t>KDIGO asks for a rise of 0.3 mg/dL. On a discretised grid the smallest rise a patient can actually record is the distance from their baseline to the next representable value at or above baseline + 0.3, which is at least 0.3 and often considerably more. The table below gives that effective threshold at every grid point together with the number of patients whose baseline sits there, so that the burden of the distortion can be weighed rather than only its range.</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trPr>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Baseline (mg/dL)</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Patients, n (%)</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KDIGO target</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Nearest attainable</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Effective rise required</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Inflation</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0.41</w:t>
            </w:r>
          </w:p>
        </w:tc>
        <w:tc>
          <w:tcPr>
            <w:tcW w:type="dxa" w:w="1560"/>
          </w:tcPr>
          <w:p>
            <w:pPr>
              <w:spacing w:line="240" w:lineRule="auto" w:after="0"/>
            </w:pPr>
            <w:r>
              <w:rPr>
                <w:rFonts w:ascii="Times New Roman" w:hAnsi="Times New Roman"/>
                <w:sz w:val="15"/>
              </w:rPr>
            </w:r>
            <w:r>
              <w:rPr>
                <w:rFonts w:ascii="Times New Roman" w:hAnsi="Times New Roman"/>
                <w:sz w:val="15"/>
              </w:rPr>
              <w:t>9 (0.4)</w:t>
            </w:r>
          </w:p>
        </w:tc>
        <w:tc>
          <w:tcPr>
            <w:tcW w:type="dxa" w:w="1560"/>
          </w:tcPr>
          <w:p>
            <w:pPr>
              <w:spacing w:line="240" w:lineRule="auto" w:after="0"/>
            </w:pPr>
            <w:r>
              <w:rPr>
                <w:rFonts w:ascii="Times New Roman" w:hAnsi="Times New Roman"/>
                <w:sz w:val="15"/>
              </w:rPr>
            </w:r>
            <w:r>
              <w:rPr>
                <w:rFonts w:ascii="Times New Roman" w:hAnsi="Times New Roman"/>
                <w:sz w:val="15"/>
              </w:rPr>
              <w:t>0.71</w:t>
            </w:r>
          </w:p>
        </w:tc>
        <w:tc>
          <w:tcPr>
            <w:tcW w:type="dxa" w:w="1560"/>
          </w:tcPr>
          <w:p>
            <w:pPr>
              <w:spacing w:line="240" w:lineRule="auto" w:after="0"/>
            </w:pPr>
            <w:r>
              <w:rPr>
                <w:rFonts w:ascii="Times New Roman" w:hAnsi="Times New Roman"/>
                <w:sz w:val="15"/>
              </w:rPr>
            </w:r>
            <w:r>
              <w:rPr>
                <w:rFonts w:ascii="Times New Roman" w:hAnsi="Times New Roman"/>
                <w:sz w:val="15"/>
              </w:rPr>
              <w:t>0.71</w:t>
            </w:r>
          </w:p>
        </w:tc>
        <w:tc>
          <w:tcPr>
            <w:tcW w:type="dxa" w:w="1560"/>
          </w:tcPr>
          <w:p>
            <w:pPr>
              <w:spacing w:line="240" w:lineRule="auto" w:after="0"/>
            </w:pPr>
            <w:r>
              <w:rPr>
                <w:rFonts w:ascii="Times New Roman" w:hAnsi="Times New Roman"/>
                <w:sz w:val="15"/>
              </w:rPr>
            </w:r>
            <w:r>
              <w:rPr>
                <w:rFonts w:ascii="Times New Roman" w:hAnsi="Times New Roman"/>
                <w:sz w:val="15"/>
              </w:rPr>
              <w:t>0.30</w:t>
            </w:r>
          </w:p>
        </w:tc>
        <w:tc>
          <w:tcPr>
            <w:tcW w:type="dxa" w:w="1560"/>
          </w:tcPr>
          <w:p>
            <w:pPr>
              <w:spacing w:line="240" w:lineRule="auto" w:after="0"/>
            </w:pPr>
            <w:r>
              <w:rPr>
                <w:rFonts w:ascii="Times New Roman" w:hAnsi="Times New Roman"/>
                <w:sz w:val="15"/>
              </w:rPr>
            </w:r>
            <w:r>
              <w:rPr>
                <w:rFonts w:ascii="Times New Roman" w:hAnsi="Times New Roman"/>
                <w:sz w:val="15"/>
              </w:rPr>
              <w:t>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0.47</w:t>
            </w:r>
          </w:p>
        </w:tc>
        <w:tc>
          <w:tcPr>
            <w:tcW w:type="dxa" w:w="1560"/>
          </w:tcPr>
          <w:p>
            <w:pPr>
              <w:spacing w:line="240" w:lineRule="auto" w:after="0"/>
            </w:pPr>
            <w:r>
              <w:rPr>
                <w:rFonts w:ascii="Times New Roman" w:hAnsi="Times New Roman"/>
                <w:sz w:val="15"/>
              </w:rPr>
            </w:r>
            <w:r>
              <w:rPr>
                <w:rFonts w:ascii="Times New Roman" w:hAnsi="Times New Roman"/>
                <w:sz w:val="15"/>
              </w:rPr>
              <w:t>34 (1.4)</w:t>
            </w:r>
          </w:p>
        </w:tc>
        <w:tc>
          <w:tcPr>
            <w:tcW w:type="dxa" w:w="1560"/>
          </w:tcPr>
          <w:p>
            <w:pPr>
              <w:spacing w:line="240" w:lineRule="auto" w:after="0"/>
            </w:pPr>
            <w:r>
              <w:rPr>
                <w:rFonts w:ascii="Times New Roman" w:hAnsi="Times New Roman"/>
                <w:sz w:val="15"/>
              </w:rPr>
            </w:r>
            <w:r>
              <w:rPr>
                <w:rFonts w:ascii="Times New Roman" w:hAnsi="Times New Roman"/>
                <w:sz w:val="15"/>
              </w:rPr>
              <w:t>0.77</w:t>
            </w:r>
          </w:p>
        </w:tc>
        <w:tc>
          <w:tcPr>
            <w:tcW w:type="dxa" w:w="1560"/>
          </w:tcPr>
          <w:p>
            <w:pPr>
              <w:spacing w:line="240" w:lineRule="auto" w:after="0"/>
            </w:pPr>
            <w:r>
              <w:rPr>
                <w:rFonts w:ascii="Times New Roman" w:hAnsi="Times New Roman"/>
                <w:sz w:val="15"/>
              </w:rPr>
            </w:r>
            <w:r>
              <w:rPr>
                <w:rFonts w:ascii="Times New Roman" w:hAnsi="Times New Roman"/>
                <w:sz w:val="15"/>
              </w:rPr>
              <w:t>0.77</w:t>
            </w:r>
          </w:p>
        </w:tc>
        <w:tc>
          <w:tcPr>
            <w:tcW w:type="dxa" w:w="1560"/>
          </w:tcPr>
          <w:p>
            <w:pPr>
              <w:spacing w:line="240" w:lineRule="auto" w:after="0"/>
            </w:pPr>
            <w:r>
              <w:rPr>
                <w:rFonts w:ascii="Times New Roman" w:hAnsi="Times New Roman"/>
                <w:sz w:val="15"/>
              </w:rPr>
            </w:r>
            <w:r>
              <w:rPr>
                <w:rFonts w:ascii="Times New Roman" w:hAnsi="Times New Roman"/>
                <w:sz w:val="15"/>
              </w:rPr>
              <w:t>0.30</w:t>
            </w:r>
          </w:p>
        </w:tc>
        <w:tc>
          <w:tcPr>
            <w:tcW w:type="dxa" w:w="1560"/>
          </w:tcPr>
          <w:p>
            <w:pPr>
              <w:spacing w:line="240" w:lineRule="auto" w:after="0"/>
            </w:pPr>
            <w:r>
              <w:rPr>
                <w:rFonts w:ascii="Times New Roman" w:hAnsi="Times New Roman"/>
                <w:sz w:val="15"/>
              </w:rPr>
            </w:r>
            <w:r>
              <w:rPr>
                <w:rFonts w:ascii="Times New Roman" w:hAnsi="Times New Roman"/>
                <w:sz w:val="15"/>
              </w:rPr>
              <w:t>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0.53</w:t>
            </w:r>
          </w:p>
        </w:tc>
        <w:tc>
          <w:tcPr>
            <w:tcW w:type="dxa" w:w="1560"/>
          </w:tcPr>
          <w:p>
            <w:pPr>
              <w:spacing w:line="240" w:lineRule="auto" w:after="0"/>
            </w:pPr>
            <w:r>
              <w:rPr>
                <w:rFonts w:ascii="Times New Roman" w:hAnsi="Times New Roman"/>
                <w:sz w:val="15"/>
              </w:rPr>
            </w:r>
            <w:r>
              <w:rPr>
                <w:rFonts w:ascii="Times New Roman" w:hAnsi="Times New Roman"/>
                <w:sz w:val="15"/>
              </w:rPr>
              <w:t>48 (2.0)</w:t>
            </w:r>
          </w:p>
        </w:tc>
        <w:tc>
          <w:tcPr>
            <w:tcW w:type="dxa" w:w="1560"/>
          </w:tcPr>
          <w:p>
            <w:pPr>
              <w:spacing w:line="240" w:lineRule="auto" w:after="0"/>
            </w:pPr>
            <w:r>
              <w:rPr>
                <w:rFonts w:ascii="Times New Roman" w:hAnsi="Times New Roman"/>
                <w:sz w:val="15"/>
              </w:rPr>
            </w:r>
            <w:r>
              <w:rPr>
                <w:rFonts w:ascii="Times New Roman" w:hAnsi="Times New Roman"/>
                <w:sz w:val="15"/>
              </w:rPr>
              <w:t>0.83</w:t>
            </w:r>
          </w:p>
        </w:tc>
        <w:tc>
          <w:tcPr>
            <w:tcW w:type="dxa" w:w="1560"/>
          </w:tcPr>
          <w:p>
            <w:pPr>
              <w:spacing w:line="240" w:lineRule="auto" w:after="0"/>
            </w:pPr>
            <w:r>
              <w:rPr>
                <w:rFonts w:ascii="Times New Roman" w:hAnsi="Times New Roman"/>
                <w:sz w:val="15"/>
              </w:rPr>
            </w:r>
            <w:r>
              <w:rPr>
                <w:rFonts w:ascii="Times New Roman" w:hAnsi="Times New Roman"/>
                <w:sz w:val="15"/>
              </w:rPr>
              <w:t>0.84</w:t>
            </w:r>
          </w:p>
        </w:tc>
        <w:tc>
          <w:tcPr>
            <w:tcW w:type="dxa" w:w="1560"/>
          </w:tcPr>
          <w:p>
            <w:pPr>
              <w:spacing w:line="240" w:lineRule="auto" w:after="0"/>
            </w:pPr>
            <w:r>
              <w:rPr>
                <w:rFonts w:ascii="Times New Roman" w:hAnsi="Times New Roman"/>
                <w:sz w:val="15"/>
              </w:rPr>
            </w:r>
            <w:r>
              <w:rPr>
                <w:rFonts w:ascii="Times New Roman" w:hAnsi="Times New Roman"/>
                <w:sz w:val="15"/>
              </w:rPr>
              <w:t>0.31</w:t>
            </w:r>
          </w:p>
        </w:tc>
        <w:tc>
          <w:tcPr>
            <w:tcW w:type="dxa" w:w="1560"/>
          </w:tcPr>
          <w:p>
            <w:pPr>
              <w:spacing w:line="240" w:lineRule="auto" w:after="0"/>
            </w:pPr>
            <w:r>
              <w:rPr>
                <w:rFonts w:ascii="Times New Roman" w:hAnsi="Times New Roman"/>
                <w:sz w:val="15"/>
              </w:rPr>
            </w:r>
            <w:r>
              <w:rPr>
                <w:rFonts w:ascii="Times New Roman" w:hAnsi="Times New Roman"/>
                <w:sz w:val="15"/>
              </w:rPr>
              <w:t>+3%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0.58</w:t>
            </w:r>
          </w:p>
        </w:tc>
        <w:tc>
          <w:tcPr>
            <w:tcW w:type="dxa" w:w="1560"/>
          </w:tcPr>
          <w:p>
            <w:pPr>
              <w:spacing w:line="240" w:lineRule="auto" w:after="0"/>
            </w:pPr>
            <w:r>
              <w:rPr>
                <w:rFonts w:ascii="Times New Roman" w:hAnsi="Times New Roman"/>
                <w:sz w:val="15"/>
              </w:rPr>
            </w:r>
            <w:r>
              <w:rPr>
                <w:rFonts w:ascii="Times New Roman" w:hAnsi="Times New Roman"/>
                <w:sz w:val="15"/>
              </w:rPr>
              <w:t>57 (2.4)</w:t>
            </w:r>
          </w:p>
        </w:tc>
        <w:tc>
          <w:tcPr>
            <w:tcW w:type="dxa" w:w="1560"/>
          </w:tcPr>
          <w:p>
            <w:pPr>
              <w:spacing w:line="240" w:lineRule="auto" w:after="0"/>
            </w:pPr>
            <w:r>
              <w:rPr>
                <w:rFonts w:ascii="Times New Roman" w:hAnsi="Times New Roman"/>
                <w:sz w:val="15"/>
              </w:rPr>
            </w:r>
            <w:r>
              <w:rPr>
                <w:rFonts w:ascii="Times New Roman" w:hAnsi="Times New Roman"/>
                <w:sz w:val="15"/>
              </w:rPr>
              <w:t>0.88</w:t>
            </w:r>
          </w:p>
        </w:tc>
        <w:tc>
          <w:tcPr>
            <w:tcW w:type="dxa" w:w="1560"/>
          </w:tcPr>
          <w:p>
            <w:pPr>
              <w:spacing w:line="240" w:lineRule="auto" w:after="0"/>
            </w:pPr>
            <w:r>
              <w:rPr>
                <w:rFonts w:ascii="Times New Roman" w:hAnsi="Times New Roman"/>
                <w:sz w:val="15"/>
              </w:rPr>
            </w:r>
            <w:r>
              <w:rPr>
                <w:rFonts w:ascii="Times New Roman" w:hAnsi="Times New Roman"/>
                <w:sz w:val="15"/>
              </w:rPr>
              <w:t>0.88</w:t>
            </w:r>
          </w:p>
        </w:tc>
        <w:tc>
          <w:tcPr>
            <w:tcW w:type="dxa" w:w="1560"/>
          </w:tcPr>
          <w:p>
            <w:pPr>
              <w:spacing w:line="240" w:lineRule="auto" w:after="0"/>
            </w:pPr>
            <w:r>
              <w:rPr>
                <w:rFonts w:ascii="Times New Roman" w:hAnsi="Times New Roman"/>
                <w:sz w:val="15"/>
              </w:rPr>
            </w:r>
            <w:r>
              <w:rPr>
                <w:rFonts w:ascii="Times New Roman" w:hAnsi="Times New Roman"/>
                <w:sz w:val="15"/>
              </w:rPr>
              <w:t>0.30</w:t>
            </w:r>
          </w:p>
        </w:tc>
        <w:tc>
          <w:tcPr>
            <w:tcW w:type="dxa" w:w="1560"/>
          </w:tcPr>
          <w:p>
            <w:pPr>
              <w:spacing w:line="240" w:lineRule="auto" w:after="0"/>
            </w:pPr>
            <w:r>
              <w:rPr>
                <w:rFonts w:ascii="Times New Roman" w:hAnsi="Times New Roman"/>
                <w:sz w:val="15"/>
              </w:rPr>
            </w:r>
            <w:r>
              <w:rPr>
                <w:rFonts w:ascii="Times New Roman" w:hAnsi="Times New Roman"/>
                <w:sz w:val="15"/>
              </w:rPr>
              <w:t>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0.61</w:t>
            </w:r>
          </w:p>
        </w:tc>
        <w:tc>
          <w:tcPr>
            <w:tcW w:type="dxa" w:w="1560"/>
          </w:tcPr>
          <w:p>
            <w:pPr>
              <w:spacing w:line="240" w:lineRule="auto" w:after="0"/>
            </w:pPr>
            <w:r>
              <w:rPr>
                <w:rFonts w:ascii="Times New Roman" w:hAnsi="Times New Roman"/>
                <w:sz w:val="15"/>
              </w:rPr>
            </w:r>
            <w:r>
              <w:rPr>
                <w:rFonts w:ascii="Times New Roman" w:hAnsi="Times New Roman"/>
                <w:sz w:val="15"/>
              </w:rPr>
              <w:t>57 (2.4)</w:t>
            </w:r>
          </w:p>
        </w:tc>
        <w:tc>
          <w:tcPr>
            <w:tcW w:type="dxa" w:w="1560"/>
          </w:tcPr>
          <w:p>
            <w:pPr>
              <w:spacing w:line="240" w:lineRule="auto" w:after="0"/>
            </w:pPr>
            <w:r>
              <w:rPr>
                <w:rFonts w:ascii="Times New Roman" w:hAnsi="Times New Roman"/>
                <w:sz w:val="15"/>
              </w:rPr>
            </w:r>
            <w:r>
              <w:rPr>
                <w:rFonts w:ascii="Times New Roman" w:hAnsi="Times New Roman"/>
                <w:sz w:val="15"/>
              </w:rPr>
              <w:t>0.91</w:t>
            </w:r>
          </w:p>
        </w:tc>
        <w:tc>
          <w:tcPr>
            <w:tcW w:type="dxa" w:w="1560"/>
          </w:tcPr>
          <w:p>
            <w:pPr>
              <w:spacing w:line="240" w:lineRule="auto" w:after="0"/>
            </w:pPr>
            <w:r>
              <w:rPr>
                <w:rFonts w:ascii="Times New Roman" w:hAnsi="Times New Roman"/>
                <w:sz w:val="15"/>
              </w:rPr>
            </w:r>
            <w:r>
              <w:rPr>
                <w:rFonts w:ascii="Times New Roman" w:hAnsi="Times New Roman"/>
                <w:sz w:val="15"/>
              </w:rPr>
              <w:t>0.92</w:t>
            </w:r>
          </w:p>
        </w:tc>
        <w:tc>
          <w:tcPr>
            <w:tcW w:type="dxa" w:w="1560"/>
          </w:tcPr>
          <w:p>
            <w:pPr>
              <w:spacing w:line="240" w:lineRule="auto" w:after="0"/>
            </w:pPr>
            <w:r>
              <w:rPr>
                <w:rFonts w:ascii="Times New Roman" w:hAnsi="Times New Roman"/>
                <w:sz w:val="15"/>
              </w:rPr>
            </w:r>
            <w:r>
              <w:rPr>
                <w:rFonts w:ascii="Times New Roman" w:hAnsi="Times New Roman"/>
                <w:sz w:val="15"/>
              </w:rPr>
              <w:t>0.31</w:t>
            </w:r>
          </w:p>
        </w:tc>
        <w:tc>
          <w:tcPr>
            <w:tcW w:type="dxa" w:w="1560"/>
          </w:tcPr>
          <w:p>
            <w:pPr>
              <w:spacing w:line="240" w:lineRule="auto" w:after="0"/>
            </w:pPr>
            <w:r>
              <w:rPr>
                <w:rFonts w:ascii="Times New Roman" w:hAnsi="Times New Roman"/>
                <w:sz w:val="15"/>
              </w:rPr>
            </w:r>
            <w:r>
              <w:rPr>
                <w:rFonts w:ascii="Times New Roman" w:hAnsi="Times New Roman"/>
                <w:sz w:val="15"/>
              </w:rPr>
              <w:t>+3%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0.65</w:t>
            </w:r>
          </w:p>
        </w:tc>
        <w:tc>
          <w:tcPr>
            <w:tcW w:type="dxa" w:w="1560"/>
          </w:tcPr>
          <w:p>
            <w:pPr>
              <w:spacing w:line="240" w:lineRule="auto" w:after="0"/>
            </w:pPr>
            <w:r>
              <w:rPr>
                <w:rFonts w:ascii="Times New Roman" w:hAnsi="Times New Roman"/>
                <w:sz w:val="15"/>
              </w:rPr>
            </w:r>
            <w:r>
              <w:rPr>
                <w:rFonts w:ascii="Times New Roman" w:hAnsi="Times New Roman"/>
                <w:sz w:val="15"/>
              </w:rPr>
              <w:t>91 (3.8)</w:t>
            </w:r>
          </w:p>
        </w:tc>
        <w:tc>
          <w:tcPr>
            <w:tcW w:type="dxa" w:w="1560"/>
          </w:tcPr>
          <w:p>
            <w:pPr>
              <w:spacing w:line="240" w:lineRule="auto" w:after="0"/>
            </w:pPr>
            <w:r>
              <w:rPr>
                <w:rFonts w:ascii="Times New Roman" w:hAnsi="Times New Roman"/>
                <w:sz w:val="15"/>
              </w:rPr>
            </w:r>
            <w:r>
              <w:rPr>
                <w:rFonts w:ascii="Times New Roman" w:hAnsi="Times New Roman"/>
                <w:sz w:val="15"/>
              </w:rPr>
              <w:t>0.95</w:t>
            </w:r>
          </w:p>
        </w:tc>
        <w:tc>
          <w:tcPr>
            <w:tcW w:type="dxa" w:w="1560"/>
          </w:tcPr>
          <w:p>
            <w:pPr>
              <w:spacing w:line="240" w:lineRule="auto" w:after="0"/>
            </w:pPr>
            <w:r>
              <w:rPr>
                <w:rFonts w:ascii="Times New Roman" w:hAnsi="Times New Roman"/>
                <w:sz w:val="15"/>
              </w:rPr>
            </w:r>
            <w:r>
              <w:rPr>
                <w:rFonts w:ascii="Times New Roman" w:hAnsi="Times New Roman"/>
                <w:sz w:val="15"/>
              </w:rPr>
              <w:t>0.98</w:t>
            </w:r>
          </w:p>
        </w:tc>
        <w:tc>
          <w:tcPr>
            <w:tcW w:type="dxa" w:w="1560"/>
          </w:tcPr>
          <w:p>
            <w:pPr>
              <w:spacing w:line="240" w:lineRule="auto" w:after="0"/>
            </w:pPr>
            <w:r>
              <w:rPr>
                <w:rFonts w:ascii="Times New Roman" w:hAnsi="Times New Roman"/>
                <w:sz w:val="15"/>
              </w:rPr>
            </w:r>
            <w:r>
              <w:rPr>
                <w:rFonts w:ascii="Times New Roman" w:hAnsi="Times New Roman"/>
                <w:sz w:val="15"/>
              </w:rPr>
              <w:t>0.33</w:t>
            </w:r>
          </w:p>
        </w:tc>
        <w:tc>
          <w:tcPr>
            <w:tcW w:type="dxa" w:w="1560"/>
          </w:tcPr>
          <w:p>
            <w:pPr>
              <w:spacing w:line="240" w:lineRule="auto" w:after="0"/>
            </w:pPr>
            <w:r>
              <w:rPr>
                <w:rFonts w:ascii="Times New Roman" w:hAnsi="Times New Roman"/>
                <w:sz w:val="15"/>
              </w:rPr>
            </w:r>
            <w:r>
              <w:rPr>
                <w:rFonts w:ascii="Times New Roman" w:hAnsi="Times New Roman"/>
                <w:sz w:val="15"/>
              </w:rPr>
              <w:t>+10%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0.68</w:t>
            </w:r>
          </w:p>
        </w:tc>
        <w:tc>
          <w:tcPr>
            <w:tcW w:type="dxa" w:w="1560"/>
          </w:tcPr>
          <w:p>
            <w:pPr>
              <w:spacing w:line="240" w:lineRule="auto" w:after="0"/>
            </w:pPr>
            <w:r>
              <w:rPr>
                <w:rFonts w:ascii="Times New Roman" w:hAnsi="Times New Roman"/>
                <w:sz w:val="15"/>
              </w:rPr>
            </w:r>
            <w:r>
              <w:rPr>
                <w:rFonts w:ascii="Times New Roman" w:hAnsi="Times New Roman"/>
                <w:sz w:val="15"/>
              </w:rPr>
              <w:t>96 (4.1)</w:t>
            </w:r>
          </w:p>
        </w:tc>
        <w:tc>
          <w:tcPr>
            <w:tcW w:type="dxa" w:w="1560"/>
          </w:tcPr>
          <w:p>
            <w:pPr>
              <w:spacing w:line="240" w:lineRule="auto" w:after="0"/>
            </w:pPr>
            <w:r>
              <w:rPr>
                <w:rFonts w:ascii="Times New Roman" w:hAnsi="Times New Roman"/>
                <w:sz w:val="15"/>
              </w:rPr>
            </w:r>
            <w:r>
              <w:rPr>
                <w:rFonts w:ascii="Times New Roman" w:hAnsi="Times New Roman"/>
                <w:sz w:val="15"/>
              </w:rPr>
              <w:t>0.98</w:t>
            </w:r>
          </w:p>
        </w:tc>
        <w:tc>
          <w:tcPr>
            <w:tcW w:type="dxa" w:w="1560"/>
          </w:tcPr>
          <w:p>
            <w:pPr>
              <w:spacing w:line="240" w:lineRule="auto" w:after="0"/>
            </w:pPr>
            <w:r>
              <w:rPr>
                <w:rFonts w:ascii="Times New Roman" w:hAnsi="Times New Roman"/>
                <w:sz w:val="15"/>
              </w:rPr>
            </w:r>
            <w:r>
              <w:rPr>
                <w:rFonts w:ascii="Times New Roman" w:hAnsi="Times New Roman"/>
                <w:sz w:val="15"/>
              </w:rPr>
              <w:t>0.98</w:t>
            </w:r>
          </w:p>
        </w:tc>
        <w:tc>
          <w:tcPr>
            <w:tcW w:type="dxa" w:w="1560"/>
          </w:tcPr>
          <w:p>
            <w:pPr>
              <w:spacing w:line="240" w:lineRule="auto" w:after="0"/>
            </w:pPr>
            <w:r>
              <w:rPr>
                <w:rFonts w:ascii="Times New Roman" w:hAnsi="Times New Roman"/>
                <w:sz w:val="15"/>
              </w:rPr>
            </w:r>
            <w:r>
              <w:rPr>
                <w:rFonts w:ascii="Times New Roman" w:hAnsi="Times New Roman"/>
                <w:sz w:val="15"/>
              </w:rPr>
              <w:t>0.30</w:t>
            </w:r>
          </w:p>
        </w:tc>
        <w:tc>
          <w:tcPr>
            <w:tcW w:type="dxa" w:w="1560"/>
          </w:tcPr>
          <w:p>
            <w:pPr>
              <w:spacing w:line="240" w:lineRule="auto" w:after="0"/>
            </w:pPr>
            <w:r>
              <w:rPr>
                <w:rFonts w:ascii="Times New Roman" w:hAnsi="Times New Roman"/>
                <w:sz w:val="15"/>
              </w:rPr>
            </w:r>
            <w:r>
              <w:rPr>
                <w:rFonts w:ascii="Times New Roman" w:hAnsi="Times New Roman"/>
                <w:sz w:val="15"/>
              </w:rPr>
              <w:t>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0.71</w:t>
            </w:r>
          </w:p>
        </w:tc>
        <w:tc>
          <w:tcPr>
            <w:tcW w:type="dxa" w:w="1560"/>
          </w:tcPr>
          <w:p>
            <w:pPr>
              <w:spacing w:line="240" w:lineRule="auto" w:after="0"/>
            </w:pPr>
            <w:r>
              <w:rPr>
                <w:rFonts w:ascii="Times New Roman" w:hAnsi="Times New Roman"/>
                <w:sz w:val="15"/>
              </w:rPr>
            </w:r>
            <w:r>
              <w:rPr>
                <w:rFonts w:ascii="Times New Roman" w:hAnsi="Times New Roman"/>
                <w:sz w:val="15"/>
              </w:rPr>
              <w:t>106 (4.5)</w:t>
            </w:r>
          </w:p>
        </w:tc>
        <w:tc>
          <w:tcPr>
            <w:tcW w:type="dxa" w:w="1560"/>
          </w:tcPr>
          <w:p>
            <w:pPr>
              <w:spacing w:line="240" w:lineRule="auto" w:after="0"/>
            </w:pPr>
            <w:r>
              <w:rPr>
                <w:rFonts w:ascii="Times New Roman" w:hAnsi="Times New Roman"/>
                <w:sz w:val="15"/>
              </w:rPr>
            </w:r>
            <w:r>
              <w:rPr>
                <w:rFonts w:ascii="Times New Roman" w:hAnsi="Times New Roman"/>
                <w:sz w:val="15"/>
              </w:rPr>
              <w:t>1.01</w:t>
            </w:r>
          </w:p>
        </w:tc>
        <w:tc>
          <w:tcPr>
            <w:tcW w:type="dxa" w:w="1560"/>
          </w:tcPr>
          <w:p>
            <w:pPr>
              <w:spacing w:line="240" w:lineRule="auto" w:after="0"/>
            </w:pPr>
            <w:r>
              <w:rPr>
                <w:rFonts w:ascii="Times New Roman" w:hAnsi="Times New Roman"/>
                <w:sz w:val="15"/>
              </w:rPr>
            </w:r>
            <w:r>
              <w:rPr>
                <w:rFonts w:ascii="Times New Roman" w:hAnsi="Times New Roman"/>
                <w:sz w:val="15"/>
              </w:rPr>
              <w:t>1.05</w:t>
            </w:r>
          </w:p>
        </w:tc>
        <w:tc>
          <w:tcPr>
            <w:tcW w:type="dxa" w:w="1560"/>
          </w:tcPr>
          <w:p>
            <w:pPr>
              <w:spacing w:line="240" w:lineRule="auto" w:after="0"/>
            </w:pPr>
            <w:r>
              <w:rPr>
                <w:rFonts w:ascii="Times New Roman" w:hAnsi="Times New Roman"/>
                <w:sz w:val="15"/>
              </w:rPr>
            </w:r>
            <w:r>
              <w:rPr>
                <w:rFonts w:ascii="Times New Roman" w:hAnsi="Times New Roman"/>
                <w:sz w:val="15"/>
              </w:rPr>
              <w:t>0.34</w:t>
            </w:r>
          </w:p>
        </w:tc>
        <w:tc>
          <w:tcPr>
            <w:tcW w:type="dxa" w:w="1560"/>
          </w:tcPr>
          <w:p>
            <w:pPr>
              <w:spacing w:line="240" w:lineRule="auto" w:after="0"/>
            </w:pPr>
            <w:r>
              <w:rPr>
                <w:rFonts w:ascii="Times New Roman" w:hAnsi="Times New Roman"/>
                <w:sz w:val="15"/>
              </w:rPr>
            </w:r>
            <w:r>
              <w:rPr>
                <w:rFonts w:ascii="Times New Roman" w:hAnsi="Times New Roman"/>
                <w:sz w:val="15"/>
              </w:rPr>
              <w:t>+13%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0.74</w:t>
            </w:r>
          </w:p>
        </w:tc>
        <w:tc>
          <w:tcPr>
            <w:tcW w:type="dxa" w:w="1560"/>
          </w:tcPr>
          <w:p>
            <w:pPr>
              <w:spacing w:line="240" w:lineRule="auto" w:after="0"/>
            </w:pPr>
            <w:r>
              <w:rPr>
                <w:rFonts w:ascii="Times New Roman" w:hAnsi="Times New Roman"/>
                <w:sz w:val="15"/>
              </w:rPr>
            </w:r>
            <w:r>
              <w:rPr>
                <w:rFonts w:ascii="Times New Roman" w:hAnsi="Times New Roman"/>
                <w:sz w:val="15"/>
              </w:rPr>
              <w:t>131 (5.5)</w:t>
            </w:r>
          </w:p>
        </w:tc>
        <w:tc>
          <w:tcPr>
            <w:tcW w:type="dxa" w:w="1560"/>
          </w:tcPr>
          <w:p>
            <w:pPr>
              <w:spacing w:line="240" w:lineRule="auto" w:after="0"/>
            </w:pPr>
            <w:r>
              <w:rPr>
                <w:rFonts w:ascii="Times New Roman" w:hAnsi="Times New Roman"/>
                <w:sz w:val="15"/>
              </w:rPr>
            </w:r>
            <w:r>
              <w:rPr>
                <w:rFonts w:ascii="Times New Roman" w:hAnsi="Times New Roman"/>
                <w:sz w:val="15"/>
              </w:rPr>
              <w:t>1.04</w:t>
            </w:r>
          </w:p>
        </w:tc>
        <w:tc>
          <w:tcPr>
            <w:tcW w:type="dxa" w:w="1560"/>
          </w:tcPr>
          <w:p>
            <w:pPr>
              <w:spacing w:line="240" w:lineRule="auto" w:after="0"/>
            </w:pPr>
            <w:r>
              <w:rPr>
                <w:rFonts w:ascii="Times New Roman" w:hAnsi="Times New Roman"/>
                <w:sz w:val="15"/>
              </w:rPr>
            </w:r>
            <w:r>
              <w:rPr>
                <w:rFonts w:ascii="Times New Roman" w:hAnsi="Times New Roman"/>
                <w:sz w:val="15"/>
              </w:rPr>
              <w:t>1.05</w:t>
            </w:r>
          </w:p>
        </w:tc>
        <w:tc>
          <w:tcPr>
            <w:tcW w:type="dxa" w:w="1560"/>
          </w:tcPr>
          <w:p>
            <w:pPr>
              <w:spacing w:line="240" w:lineRule="auto" w:after="0"/>
            </w:pPr>
            <w:r>
              <w:rPr>
                <w:rFonts w:ascii="Times New Roman" w:hAnsi="Times New Roman"/>
                <w:sz w:val="15"/>
              </w:rPr>
            </w:r>
            <w:r>
              <w:rPr>
                <w:rFonts w:ascii="Times New Roman" w:hAnsi="Times New Roman"/>
                <w:sz w:val="15"/>
              </w:rPr>
              <w:t>0.31</w:t>
            </w:r>
          </w:p>
        </w:tc>
        <w:tc>
          <w:tcPr>
            <w:tcW w:type="dxa" w:w="1560"/>
          </w:tcPr>
          <w:p>
            <w:pPr>
              <w:spacing w:line="240" w:lineRule="auto" w:after="0"/>
            </w:pPr>
            <w:r>
              <w:rPr>
                <w:rFonts w:ascii="Times New Roman" w:hAnsi="Times New Roman"/>
                <w:sz w:val="15"/>
              </w:rPr>
            </w:r>
            <w:r>
              <w:rPr>
                <w:rFonts w:ascii="Times New Roman" w:hAnsi="Times New Roman"/>
                <w:sz w:val="15"/>
              </w:rPr>
              <w:t>+3%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0.77</w:t>
            </w:r>
          </w:p>
        </w:tc>
        <w:tc>
          <w:tcPr>
            <w:tcW w:type="dxa" w:w="1560"/>
          </w:tcPr>
          <w:p>
            <w:pPr>
              <w:spacing w:line="240" w:lineRule="auto" w:after="0"/>
            </w:pPr>
            <w:r>
              <w:rPr>
                <w:rFonts w:ascii="Times New Roman" w:hAnsi="Times New Roman"/>
                <w:sz w:val="15"/>
              </w:rPr>
            </w:r>
            <w:r>
              <w:rPr>
                <w:rFonts w:ascii="Times New Roman" w:hAnsi="Times New Roman"/>
                <w:sz w:val="15"/>
              </w:rPr>
              <w:t>126 (5.3)</w:t>
            </w:r>
          </w:p>
        </w:tc>
        <w:tc>
          <w:tcPr>
            <w:tcW w:type="dxa" w:w="1560"/>
          </w:tcPr>
          <w:p>
            <w:pPr>
              <w:spacing w:line="240" w:lineRule="auto" w:after="0"/>
            </w:pPr>
            <w:r>
              <w:rPr>
                <w:rFonts w:ascii="Times New Roman" w:hAnsi="Times New Roman"/>
                <w:sz w:val="15"/>
              </w:rPr>
            </w:r>
            <w:r>
              <w:rPr>
                <w:rFonts w:ascii="Times New Roman" w:hAnsi="Times New Roman"/>
                <w:sz w:val="15"/>
              </w:rPr>
              <w:t>1.07</w:t>
            </w:r>
          </w:p>
        </w:tc>
        <w:tc>
          <w:tcPr>
            <w:tcW w:type="dxa" w:w="1560"/>
          </w:tcPr>
          <w:p>
            <w:pPr>
              <w:spacing w:line="240" w:lineRule="auto" w:after="0"/>
            </w:pPr>
            <w:r>
              <w:rPr>
                <w:rFonts w:ascii="Times New Roman" w:hAnsi="Times New Roman"/>
                <w:sz w:val="15"/>
              </w:rPr>
            </w:r>
            <w:r>
              <w:rPr>
                <w:rFonts w:ascii="Times New Roman" w:hAnsi="Times New Roman"/>
                <w:sz w:val="15"/>
              </w:rPr>
              <w:t>1.15</w:t>
            </w:r>
          </w:p>
        </w:tc>
        <w:tc>
          <w:tcPr>
            <w:tcW w:type="dxa" w:w="1560"/>
          </w:tcPr>
          <w:p>
            <w:pPr>
              <w:spacing w:line="240" w:lineRule="auto" w:after="0"/>
            </w:pPr>
            <w:r>
              <w:rPr>
                <w:rFonts w:ascii="Times New Roman" w:hAnsi="Times New Roman"/>
                <w:sz w:val="15"/>
              </w:rPr>
            </w:r>
            <w:r>
              <w:rPr>
                <w:rFonts w:ascii="Times New Roman" w:hAnsi="Times New Roman"/>
                <w:sz w:val="15"/>
              </w:rPr>
              <w:t>0.38</w:t>
            </w:r>
          </w:p>
        </w:tc>
        <w:tc>
          <w:tcPr>
            <w:tcW w:type="dxa" w:w="1560"/>
          </w:tcPr>
          <w:p>
            <w:pPr>
              <w:spacing w:line="240" w:lineRule="auto" w:after="0"/>
            </w:pPr>
            <w:r>
              <w:rPr>
                <w:rFonts w:ascii="Times New Roman" w:hAnsi="Times New Roman"/>
                <w:sz w:val="15"/>
              </w:rPr>
            </w:r>
            <w:r>
              <w:rPr>
                <w:rFonts w:ascii="Times New Roman" w:hAnsi="Times New Roman"/>
                <w:sz w:val="15"/>
              </w:rPr>
              <w:t>+27%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0.80</w:t>
            </w:r>
          </w:p>
        </w:tc>
        <w:tc>
          <w:tcPr>
            <w:tcW w:type="dxa" w:w="1560"/>
          </w:tcPr>
          <w:p>
            <w:pPr>
              <w:spacing w:line="240" w:lineRule="auto" w:after="0"/>
            </w:pPr>
            <w:r>
              <w:rPr>
                <w:rFonts w:ascii="Times New Roman" w:hAnsi="Times New Roman"/>
                <w:sz w:val="15"/>
              </w:rPr>
            </w:r>
            <w:r>
              <w:rPr>
                <w:rFonts w:ascii="Times New Roman" w:hAnsi="Times New Roman"/>
                <w:sz w:val="15"/>
              </w:rPr>
              <w:t>159 (6.7)</w:t>
            </w:r>
          </w:p>
        </w:tc>
        <w:tc>
          <w:tcPr>
            <w:tcW w:type="dxa" w:w="1560"/>
          </w:tcPr>
          <w:p>
            <w:pPr>
              <w:spacing w:line="240" w:lineRule="auto" w:after="0"/>
            </w:pPr>
            <w:r>
              <w:rPr>
                <w:rFonts w:ascii="Times New Roman" w:hAnsi="Times New Roman"/>
                <w:sz w:val="15"/>
              </w:rPr>
            </w:r>
            <w:r>
              <w:rPr>
                <w:rFonts w:ascii="Times New Roman" w:hAnsi="Times New Roman"/>
                <w:sz w:val="15"/>
              </w:rPr>
              <w:t>1.10</w:t>
            </w:r>
          </w:p>
        </w:tc>
        <w:tc>
          <w:tcPr>
            <w:tcW w:type="dxa" w:w="1560"/>
          </w:tcPr>
          <w:p>
            <w:pPr>
              <w:spacing w:line="240" w:lineRule="auto" w:after="0"/>
            </w:pPr>
            <w:r>
              <w:rPr>
                <w:rFonts w:ascii="Times New Roman" w:hAnsi="Times New Roman"/>
                <w:sz w:val="15"/>
              </w:rPr>
            </w:r>
            <w:r>
              <w:rPr>
                <w:rFonts w:ascii="Times New Roman" w:hAnsi="Times New Roman"/>
                <w:sz w:val="15"/>
              </w:rPr>
              <w:t>1.15</w:t>
            </w:r>
          </w:p>
        </w:tc>
        <w:tc>
          <w:tcPr>
            <w:tcW w:type="dxa" w:w="1560"/>
          </w:tcPr>
          <w:p>
            <w:pPr>
              <w:spacing w:line="240" w:lineRule="auto" w:after="0"/>
            </w:pPr>
            <w:r>
              <w:rPr>
                <w:rFonts w:ascii="Times New Roman" w:hAnsi="Times New Roman"/>
                <w:sz w:val="15"/>
              </w:rPr>
            </w:r>
            <w:r>
              <w:rPr>
                <w:rFonts w:ascii="Times New Roman" w:hAnsi="Times New Roman"/>
                <w:sz w:val="15"/>
              </w:rPr>
              <w:t>0.35</w:t>
            </w:r>
          </w:p>
        </w:tc>
        <w:tc>
          <w:tcPr>
            <w:tcW w:type="dxa" w:w="1560"/>
          </w:tcPr>
          <w:p>
            <w:pPr>
              <w:spacing w:line="240" w:lineRule="auto" w:after="0"/>
            </w:pPr>
            <w:r>
              <w:rPr>
                <w:rFonts w:ascii="Times New Roman" w:hAnsi="Times New Roman"/>
                <w:sz w:val="15"/>
              </w:rPr>
            </w:r>
            <w:r>
              <w:rPr>
                <w:rFonts w:ascii="Times New Roman" w:hAnsi="Times New Roman"/>
                <w:sz w:val="15"/>
              </w:rPr>
              <w:t>+17%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0.84</w:t>
            </w:r>
          </w:p>
        </w:tc>
        <w:tc>
          <w:tcPr>
            <w:tcW w:type="dxa" w:w="1560"/>
          </w:tcPr>
          <w:p>
            <w:pPr>
              <w:spacing w:line="240" w:lineRule="auto" w:after="0"/>
            </w:pPr>
            <w:r>
              <w:rPr>
                <w:rFonts w:ascii="Times New Roman" w:hAnsi="Times New Roman"/>
                <w:sz w:val="15"/>
              </w:rPr>
            </w:r>
            <w:r>
              <w:rPr>
                <w:rFonts w:ascii="Times New Roman" w:hAnsi="Times New Roman"/>
                <w:sz w:val="15"/>
              </w:rPr>
              <w:t>170 (7.2)</w:t>
            </w:r>
          </w:p>
        </w:tc>
        <w:tc>
          <w:tcPr>
            <w:tcW w:type="dxa" w:w="1560"/>
          </w:tcPr>
          <w:p>
            <w:pPr>
              <w:spacing w:line="240" w:lineRule="auto" w:after="0"/>
            </w:pPr>
            <w:r>
              <w:rPr>
                <w:rFonts w:ascii="Times New Roman" w:hAnsi="Times New Roman"/>
                <w:sz w:val="15"/>
              </w:rPr>
            </w:r>
            <w:r>
              <w:rPr>
                <w:rFonts w:ascii="Times New Roman" w:hAnsi="Times New Roman"/>
                <w:sz w:val="15"/>
              </w:rPr>
              <w:t>1.14</w:t>
            </w:r>
          </w:p>
        </w:tc>
        <w:tc>
          <w:tcPr>
            <w:tcW w:type="dxa" w:w="1560"/>
          </w:tcPr>
          <w:p>
            <w:pPr>
              <w:spacing w:line="240" w:lineRule="auto" w:after="0"/>
            </w:pPr>
            <w:r>
              <w:rPr>
                <w:rFonts w:ascii="Times New Roman" w:hAnsi="Times New Roman"/>
                <w:sz w:val="15"/>
              </w:rPr>
            </w:r>
            <w:r>
              <w:rPr>
                <w:rFonts w:ascii="Times New Roman" w:hAnsi="Times New Roman"/>
                <w:sz w:val="15"/>
              </w:rPr>
              <w:t>1.15</w:t>
            </w:r>
          </w:p>
        </w:tc>
        <w:tc>
          <w:tcPr>
            <w:tcW w:type="dxa" w:w="1560"/>
          </w:tcPr>
          <w:p>
            <w:pPr>
              <w:spacing w:line="240" w:lineRule="auto" w:after="0"/>
            </w:pPr>
            <w:r>
              <w:rPr>
                <w:rFonts w:ascii="Times New Roman" w:hAnsi="Times New Roman"/>
                <w:sz w:val="15"/>
              </w:rPr>
            </w:r>
            <w:r>
              <w:rPr>
                <w:rFonts w:ascii="Times New Roman" w:hAnsi="Times New Roman"/>
                <w:sz w:val="15"/>
              </w:rPr>
              <w:t>0.31</w:t>
            </w:r>
          </w:p>
        </w:tc>
        <w:tc>
          <w:tcPr>
            <w:tcW w:type="dxa" w:w="1560"/>
          </w:tcPr>
          <w:p>
            <w:pPr>
              <w:spacing w:line="240" w:lineRule="auto" w:after="0"/>
            </w:pPr>
            <w:r>
              <w:rPr>
                <w:rFonts w:ascii="Times New Roman" w:hAnsi="Times New Roman"/>
                <w:sz w:val="15"/>
              </w:rPr>
            </w:r>
            <w:r>
              <w:rPr>
                <w:rFonts w:ascii="Times New Roman" w:hAnsi="Times New Roman"/>
                <w:sz w:val="15"/>
              </w:rPr>
              <w:t>+3%</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0.88</w:t>
            </w:r>
          </w:p>
        </w:tc>
        <w:tc>
          <w:tcPr>
            <w:tcW w:type="dxa" w:w="1560"/>
          </w:tcPr>
          <w:p>
            <w:pPr>
              <w:spacing w:line="240" w:lineRule="auto" w:after="0"/>
            </w:pPr>
            <w:r>
              <w:rPr>
                <w:rFonts w:ascii="Times New Roman" w:hAnsi="Times New Roman"/>
                <w:sz w:val="15"/>
              </w:rPr>
            </w:r>
            <w:r>
              <w:rPr>
                <w:rFonts w:ascii="Times New Roman" w:hAnsi="Times New Roman"/>
                <w:sz w:val="15"/>
              </w:rPr>
              <w:t>150 (6.3)</w:t>
            </w:r>
          </w:p>
        </w:tc>
        <w:tc>
          <w:tcPr>
            <w:tcW w:type="dxa" w:w="1560"/>
          </w:tcPr>
          <w:p>
            <w:pPr>
              <w:spacing w:line="240" w:lineRule="auto" w:after="0"/>
            </w:pPr>
            <w:r>
              <w:rPr>
                <w:rFonts w:ascii="Times New Roman" w:hAnsi="Times New Roman"/>
                <w:sz w:val="15"/>
              </w:rPr>
            </w:r>
            <w:r>
              <w:rPr>
                <w:rFonts w:ascii="Times New Roman" w:hAnsi="Times New Roman"/>
                <w:sz w:val="15"/>
              </w:rPr>
              <w:t>1.18</w:t>
            </w:r>
          </w:p>
        </w:tc>
        <w:tc>
          <w:tcPr>
            <w:tcW w:type="dxa" w:w="1560"/>
          </w:tcPr>
          <w:p>
            <w:pPr>
              <w:spacing w:line="240" w:lineRule="auto" w:after="0"/>
            </w:pPr>
            <w:r>
              <w:rPr>
                <w:rFonts w:ascii="Times New Roman" w:hAnsi="Times New Roman"/>
                <w:sz w:val="15"/>
              </w:rPr>
            </w:r>
            <w:r>
              <w:rPr>
                <w:rFonts w:ascii="Times New Roman" w:hAnsi="Times New Roman"/>
                <w:sz w:val="15"/>
              </w:rPr>
              <w:t>1.33</w:t>
            </w:r>
          </w:p>
        </w:tc>
        <w:tc>
          <w:tcPr>
            <w:tcW w:type="dxa" w:w="1560"/>
          </w:tcPr>
          <w:p>
            <w:pPr>
              <w:spacing w:line="240" w:lineRule="auto" w:after="0"/>
            </w:pPr>
            <w:r>
              <w:rPr>
                <w:rFonts w:ascii="Times New Roman" w:hAnsi="Times New Roman"/>
                <w:sz w:val="15"/>
              </w:rPr>
            </w:r>
            <w:r>
              <w:rPr>
                <w:rFonts w:ascii="Times New Roman" w:hAnsi="Times New Roman"/>
                <w:sz w:val="15"/>
              </w:rPr>
              <w:t>0.45</w:t>
            </w:r>
          </w:p>
        </w:tc>
        <w:tc>
          <w:tcPr>
            <w:tcW w:type="dxa" w:w="1560"/>
          </w:tcPr>
          <w:p>
            <w:pPr>
              <w:spacing w:line="240" w:lineRule="auto" w:after="0"/>
            </w:pPr>
            <w:r>
              <w:rPr>
                <w:rFonts w:ascii="Times New Roman" w:hAnsi="Times New Roman"/>
                <w:sz w:val="15"/>
              </w:rPr>
            </w:r>
            <w:r>
              <w:rPr>
                <w:rFonts w:ascii="Times New Roman" w:hAnsi="Times New Roman"/>
                <w:sz w:val="15"/>
              </w:rPr>
              <w:t>+50%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0.92</w:t>
            </w:r>
          </w:p>
        </w:tc>
        <w:tc>
          <w:tcPr>
            <w:tcW w:type="dxa" w:w="1560"/>
          </w:tcPr>
          <w:p>
            <w:pPr>
              <w:spacing w:line="240" w:lineRule="auto" w:after="0"/>
            </w:pPr>
            <w:r>
              <w:rPr>
                <w:rFonts w:ascii="Times New Roman" w:hAnsi="Times New Roman"/>
                <w:sz w:val="15"/>
              </w:rPr>
            </w:r>
            <w:r>
              <w:rPr>
                <w:rFonts w:ascii="Times New Roman" w:hAnsi="Times New Roman"/>
                <w:sz w:val="15"/>
              </w:rPr>
              <w:t>179 (7.6)</w:t>
            </w:r>
          </w:p>
        </w:tc>
        <w:tc>
          <w:tcPr>
            <w:tcW w:type="dxa" w:w="1560"/>
          </w:tcPr>
          <w:p>
            <w:pPr>
              <w:spacing w:line="240" w:lineRule="auto" w:after="0"/>
            </w:pPr>
            <w:r>
              <w:rPr>
                <w:rFonts w:ascii="Times New Roman" w:hAnsi="Times New Roman"/>
                <w:sz w:val="15"/>
              </w:rPr>
            </w:r>
            <w:r>
              <w:rPr>
                <w:rFonts w:ascii="Times New Roman" w:hAnsi="Times New Roman"/>
                <w:sz w:val="15"/>
              </w:rPr>
              <w:t>1.22</w:t>
            </w:r>
          </w:p>
        </w:tc>
        <w:tc>
          <w:tcPr>
            <w:tcW w:type="dxa" w:w="1560"/>
          </w:tcPr>
          <w:p>
            <w:pPr>
              <w:spacing w:line="240" w:lineRule="auto" w:after="0"/>
            </w:pPr>
            <w:r>
              <w:rPr>
                <w:rFonts w:ascii="Times New Roman" w:hAnsi="Times New Roman"/>
                <w:sz w:val="15"/>
              </w:rPr>
            </w:r>
            <w:r>
              <w:rPr>
                <w:rFonts w:ascii="Times New Roman" w:hAnsi="Times New Roman"/>
                <w:sz w:val="15"/>
              </w:rPr>
              <w:t>1.33</w:t>
            </w:r>
          </w:p>
        </w:tc>
        <w:tc>
          <w:tcPr>
            <w:tcW w:type="dxa" w:w="1560"/>
          </w:tcPr>
          <w:p>
            <w:pPr>
              <w:spacing w:line="240" w:lineRule="auto" w:after="0"/>
            </w:pPr>
            <w:r>
              <w:rPr>
                <w:rFonts w:ascii="Times New Roman" w:hAnsi="Times New Roman"/>
                <w:sz w:val="15"/>
              </w:rPr>
            </w:r>
            <w:r>
              <w:rPr>
                <w:rFonts w:ascii="Times New Roman" w:hAnsi="Times New Roman"/>
                <w:sz w:val="15"/>
              </w:rPr>
              <w:t>0.41</w:t>
            </w:r>
          </w:p>
        </w:tc>
        <w:tc>
          <w:tcPr>
            <w:tcW w:type="dxa" w:w="1560"/>
          </w:tcPr>
          <w:p>
            <w:pPr>
              <w:spacing w:line="240" w:lineRule="auto" w:after="0"/>
            </w:pPr>
            <w:r>
              <w:rPr>
                <w:rFonts w:ascii="Times New Roman" w:hAnsi="Times New Roman"/>
                <w:sz w:val="15"/>
              </w:rPr>
            </w:r>
            <w:r>
              <w:rPr>
                <w:rFonts w:ascii="Times New Roman" w:hAnsi="Times New Roman"/>
                <w:sz w:val="15"/>
              </w:rPr>
              <w:t>+37%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0.98</w:t>
            </w:r>
          </w:p>
        </w:tc>
        <w:tc>
          <w:tcPr>
            <w:tcW w:type="dxa" w:w="1560"/>
          </w:tcPr>
          <w:p>
            <w:pPr>
              <w:spacing w:line="240" w:lineRule="auto" w:after="0"/>
            </w:pPr>
            <w:r>
              <w:rPr>
                <w:rFonts w:ascii="Times New Roman" w:hAnsi="Times New Roman"/>
                <w:sz w:val="15"/>
              </w:rPr>
            </w:r>
            <w:r>
              <w:rPr>
                <w:rFonts w:ascii="Times New Roman" w:hAnsi="Times New Roman"/>
                <w:sz w:val="15"/>
              </w:rPr>
              <w:t>173 (7.3)</w:t>
            </w:r>
          </w:p>
        </w:tc>
        <w:tc>
          <w:tcPr>
            <w:tcW w:type="dxa" w:w="1560"/>
          </w:tcPr>
          <w:p>
            <w:pPr>
              <w:spacing w:line="240" w:lineRule="auto" w:after="0"/>
            </w:pPr>
            <w:r>
              <w:rPr>
                <w:rFonts w:ascii="Times New Roman" w:hAnsi="Times New Roman"/>
                <w:sz w:val="15"/>
              </w:rPr>
            </w:r>
            <w:r>
              <w:rPr>
                <w:rFonts w:ascii="Times New Roman" w:hAnsi="Times New Roman"/>
                <w:sz w:val="15"/>
              </w:rPr>
              <w:t>1.28</w:t>
            </w:r>
          </w:p>
        </w:tc>
        <w:tc>
          <w:tcPr>
            <w:tcW w:type="dxa" w:w="1560"/>
          </w:tcPr>
          <w:p>
            <w:pPr>
              <w:spacing w:line="240" w:lineRule="auto" w:after="0"/>
            </w:pPr>
            <w:r>
              <w:rPr>
                <w:rFonts w:ascii="Times New Roman" w:hAnsi="Times New Roman"/>
                <w:sz w:val="15"/>
              </w:rPr>
            </w:r>
            <w:r>
              <w:rPr>
                <w:rFonts w:ascii="Times New Roman" w:hAnsi="Times New Roman"/>
                <w:sz w:val="15"/>
              </w:rPr>
              <w:t>1.33</w:t>
            </w:r>
          </w:p>
        </w:tc>
        <w:tc>
          <w:tcPr>
            <w:tcW w:type="dxa" w:w="1560"/>
          </w:tcPr>
          <w:p>
            <w:pPr>
              <w:spacing w:line="240" w:lineRule="auto" w:after="0"/>
            </w:pPr>
            <w:r>
              <w:rPr>
                <w:rFonts w:ascii="Times New Roman" w:hAnsi="Times New Roman"/>
                <w:sz w:val="15"/>
              </w:rPr>
            </w:r>
            <w:r>
              <w:rPr>
                <w:rFonts w:ascii="Times New Roman" w:hAnsi="Times New Roman"/>
                <w:sz w:val="15"/>
              </w:rPr>
              <w:t>0.35</w:t>
            </w:r>
          </w:p>
        </w:tc>
        <w:tc>
          <w:tcPr>
            <w:tcW w:type="dxa" w:w="1560"/>
          </w:tcPr>
          <w:p>
            <w:pPr>
              <w:spacing w:line="240" w:lineRule="auto" w:after="0"/>
            </w:pPr>
            <w:r>
              <w:rPr>
                <w:rFonts w:ascii="Times New Roman" w:hAnsi="Times New Roman"/>
                <w:sz w:val="15"/>
              </w:rPr>
            </w:r>
            <w:r>
              <w:rPr>
                <w:rFonts w:ascii="Times New Roman" w:hAnsi="Times New Roman"/>
                <w:sz w:val="15"/>
              </w:rPr>
              <w:t>+17%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1.05</w:t>
            </w:r>
          </w:p>
        </w:tc>
        <w:tc>
          <w:tcPr>
            <w:tcW w:type="dxa" w:w="1560"/>
          </w:tcPr>
          <w:p>
            <w:pPr>
              <w:spacing w:line="240" w:lineRule="auto" w:after="0"/>
            </w:pPr>
            <w:r>
              <w:rPr>
                <w:rFonts w:ascii="Times New Roman" w:hAnsi="Times New Roman"/>
                <w:sz w:val="15"/>
              </w:rPr>
            </w:r>
            <w:r>
              <w:rPr>
                <w:rFonts w:ascii="Times New Roman" w:hAnsi="Times New Roman"/>
                <w:sz w:val="15"/>
              </w:rPr>
              <w:t>214 (9.1)</w:t>
            </w:r>
          </w:p>
        </w:tc>
        <w:tc>
          <w:tcPr>
            <w:tcW w:type="dxa" w:w="1560"/>
          </w:tcPr>
          <w:p>
            <w:pPr>
              <w:spacing w:line="240" w:lineRule="auto" w:after="0"/>
            </w:pPr>
            <w:r>
              <w:rPr>
                <w:rFonts w:ascii="Times New Roman" w:hAnsi="Times New Roman"/>
                <w:sz w:val="15"/>
              </w:rPr>
            </w:r>
            <w:r>
              <w:rPr>
                <w:rFonts w:ascii="Times New Roman" w:hAnsi="Times New Roman"/>
                <w:sz w:val="15"/>
              </w:rPr>
              <w:t>1.35</w:t>
            </w:r>
          </w:p>
        </w:tc>
        <w:tc>
          <w:tcPr>
            <w:tcW w:type="dxa" w:w="1560"/>
          </w:tcPr>
          <w:p>
            <w:pPr>
              <w:spacing w:line="240" w:lineRule="auto" w:after="0"/>
            </w:pPr>
            <w:r>
              <w:rPr>
                <w:rFonts w:ascii="Times New Roman" w:hAnsi="Times New Roman"/>
                <w:sz w:val="15"/>
              </w:rPr>
            </w:r>
            <w:r>
              <w:rPr>
                <w:rFonts w:ascii="Times New Roman" w:hAnsi="Times New Roman"/>
                <w:sz w:val="15"/>
              </w:rPr>
              <w:t>1.68</w:t>
            </w:r>
          </w:p>
        </w:tc>
        <w:tc>
          <w:tcPr>
            <w:tcW w:type="dxa" w:w="1560"/>
          </w:tcPr>
          <w:p>
            <w:pPr>
              <w:spacing w:line="240" w:lineRule="auto" w:after="0"/>
            </w:pPr>
            <w:r>
              <w:rPr>
                <w:rFonts w:ascii="Times New Roman" w:hAnsi="Times New Roman"/>
                <w:sz w:val="15"/>
              </w:rPr>
            </w:r>
            <w:r>
              <w:rPr>
                <w:rFonts w:ascii="Times New Roman" w:hAnsi="Times New Roman"/>
                <w:sz w:val="15"/>
              </w:rPr>
              <w:t>0.63</w:t>
            </w:r>
          </w:p>
        </w:tc>
        <w:tc>
          <w:tcPr>
            <w:tcW w:type="dxa" w:w="1560"/>
          </w:tcPr>
          <w:p>
            <w:pPr>
              <w:spacing w:line="240" w:lineRule="auto" w:after="0"/>
            </w:pPr>
            <w:r>
              <w:rPr>
                <w:rFonts w:ascii="Times New Roman" w:hAnsi="Times New Roman"/>
                <w:sz w:val="15"/>
              </w:rPr>
            </w:r>
            <w:r>
              <w:rPr>
                <w:rFonts w:ascii="Times New Roman" w:hAnsi="Times New Roman"/>
                <w:sz w:val="15"/>
              </w:rPr>
              <w:t>+110%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1.15</w:t>
            </w:r>
          </w:p>
        </w:tc>
        <w:tc>
          <w:tcPr>
            <w:tcW w:type="dxa" w:w="1560"/>
          </w:tcPr>
          <w:p>
            <w:pPr>
              <w:spacing w:line="240" w:lineRule="auto" w:after="0"/>
            </w:pPr>
            <w:r>
              <w:rPr>
                <w:rFonts w:ascii="Times New Roman" w:hAnsi="Times New Roman"/>
                <w:sz w:val="15"/>
              </w:rPr>
            </w:r>
            <w:r>
              <w:rPr>
                <w:rFonts w:ascii="Times New Roman" w:hAnsi="Times New Roman"/>
                <w:sz w:val="15"/>
              </w:rPr>
              <w:t>190 (8.0)</w:t>
            </w:r>
          </w:p>
        </w:tc>
        <w:tc>
          <w:tcPr>
            <w:tcW w:type="dxa" w:w="1560"/>
          </w:tcPr>
          <w:p>
            <w:pPr>
              <w:spacing w:line="240" w:lineRule="auto" w:after="0"/>
            </w:pPr>
            <w:r>
              <w:rPr>
                <w:rFonts w:ascii="Times New Roman" w:hAnsi="Times New Roman"/>
                <w:sz w:val="15"/>
              </w:rPr>
            </w:r>
            <w:r>
              <w:rPr>
                <w:rFonts w:ascii="Times New Roman" w:hAnsi="Times New Roman"/>
                <w:sz w:val="15"/>
              </w:rPr>
              <w:t>1.45</w:t>
            </w:r>
          </w:p>
        </w:tc>
        <w:tc>
          <w:tcPr>
            <w:tcW w:type="dxa" w:w="1560"/>
          </w:tcPr>
          <w:p>
            <w:pPr>
              <w:spacing w:line="240" w:lineRule="auto" w:after="0"/>
            </w:pPr>
            <w:r>
              <w:rPr>
                <w:rFonts w:ascii="Times New Roman" w:hAnsi="Times New Roman"/>
                <w:sz w:val="15"/>
              </w:rPr>
            </w:r>
            <w:r>
              <w:rPr>
                <w:rFonts w:ascii="Times New Roman" w:hAnsi="Times New Roman"/>
                <w:sz w:val="15"/>
              </w:rPr>
              <w:t>1.68</w:t>
            </w:r>
          </w:p>
        </w:tc>
        <w:tc>
          <w:tcPr>
            <w:tcW w:type="dxa" w:w="1560"/>
          </w:tcPr>
          <w:p>
            <w:pPr>
              <w:spacing w:line="240" w:lineRule="auto" w:after="0"/>
            </w:pPr>
            <w:r>
              <w:rPr>
                <w:rFonts w:ascii="Times New Roman" w:hAnsi="Times New Roman"/>
                <w:sz w:val="15"/>
              </w:rPr>
            </w:r>
            <w:r>
              <w:rPr>
                <w:rFonts w:ascii="Times New Roman" w:hAnsi="Times New Roman"/>
                <w:sz w:val="15"/>
              </w:rPr>
              <w:t>0.53</w:t>
            </w:r>
          </w:p>
        </w:tc>
        <w:tc>
          <w:tcPr>
            <w:tcW w:type="dxa" w:w="1560"/>
          </w:tcPr>
          <w:p>
            <w:pPr>
              <w:spacing w:line="240" w:lineRule="auto" w:after="0"/>
            </w:pPr>
            <w:r>
              <w:rPr>
                <w:rFonts w:ascii="Times New Roman" w:hAnsi="Times New Roman"/>
                <w:sz w:val="15"/>
              </w:rPr>
            </w:r>
            <w:r>
              <w:rPr>
                <w:rFonts w:ascii="Times New Roman" w:hAnsi="Times New Roman"/>
                <w:sz w:val="15"/>
              </w:rPr>
              <w:t>+77%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1.33</w:t>
            </w:r>
          </w:p>
        </w:tc>
        <w:tc>
          <w:tcPr>
            <w:tcW w:type="dxa" w:w="1560"/>
          </w:tcPr>
          <w:p>
            <w:pPr>
              <w:spacing w:line="240" w:lineRule="auto" w:after="0"/>
            </w:pPr>
            <w:r>
              <w:rPr>
                <w:rFonts w:ascii="Times New Roman" w:hAnsi="Times New Roman"/>
                <w:sz w:val="15"/>
              </w:rPr>
            </w:r>
            <w:r>
              <w:rPr>
                <w:rFonts w:ascii="Times New Roman" w:hAnsi="Times New Roman"/>
                <w:sz w:val="15"/>
              </w:rPr>
              <w:t>144 (6.1)</w:t>
            </w:r>
          </w:p>
        </w:tc>
        <w:tc>
          <w:tcPr>
            <w:tcW w:type="dxa" w:w="1560"/>
          </w:tcPr>
          <w:p>
            <w:pPr>
              <w:spacing w:line="240" w:lineRule="auto" w:after="0"/>
            </w:pPr>
            <w:r>
              <w:rPr>
                <w:rFonts w:ascii="Times New Roman" w:hAnsi="Times New Roman"/>
                <w:sz w:val="15"/>
              </w:rPr>
            </w:r>
            <w:r>
              <w:rPr>
                <w:rFonts w:ascii="Times New Roman" w:hAnsi="Times New Roman"/>
                <w:sz w:val="15"/>
              </w:rPr>
              <w:t>1.63</w:t>
            </w:r>
          </w:p>
        </w:tc>
        <w:tc>
          <w:tcPr>
            <w:tcW w:type="dxa" w:w="1560"/>
          </w:tcPr>
          <w:p>
            <w:pPr>
              <w:spacing w:line="240" w:lineRule="auto" w:after="0"/>
            </w:pPr>
            <w:r>
              <w:rPr>
                <w:rFonts w:ascii="Times New Roman" w:hAnsi="Times New Roman"/>
                <w:sz w:val="15"/>
              </w:rPr>
            </w:r>
            <w:r>
              <w:rPr>
                <w:rFonts w:ascii="Times New Roman" w:hAnsi="Times New Roman"/>
                <w:sz w:val="15"/>
              </w:rPr>
              <w:t>1.68</w:t>
            </w:r>
          </w:p>
        </w:tc>
        <w:tc>
          <w:tcPr>
            <w:tcW w:type="dxa" w:w="1560"/>
          </w:tcPr>
          <w:p>
            <w:pPr>
              <w:spacing w:line="240" w:lineRule="auto" w:after="0"/>
            </w:pPr>
            <w:r>
              <w:rPr>
                <w:rFonts w:ascii="Times New Roman" w:hAnsi="Times New Roman"/>
                <w:sz w:val="15"/>
              </w:rPr>
            </w:r>
            <w:r>
              <w:rPr>
                <w:rFonts w:ascii="Times New Roman" w:hAnsi="Times New Roman"/>
                <w:sz w:val="15"/>
              </w:rPr>
              <w:t>0.35</w:t>
            </w:r>
          </w:p>
        </w:tc>
        <w:tc>
          <w:tcPr>
            <w:tcW w:type="dxa" w:w="1560"/>
          </w:tcPr>
          <w:p>
            <w:pPr>
              <w:spacing w:line="240" w:lineRule="auto" w:after="0"/>
            </w:pPr>
            <w:r>
              <w:rPr>
                <w:rFonts w:ascii="Times New Roman" w:hAnsi="Times New Roman"/>
                <w:sz w:val="15"/>
              </w:rPr>
            </w:r>
            <w:r>
              <w:rPr>
                <w:rFonts w:ascii="Times New Roman" w:hAnsi="Times New Roman"/>
                <w:sz w:val="15"/>
              </w:rPr>
              <w:t>+17%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1.68</w:t>
            </w:r>
          </w:p>
        </w:tc>
        <w:tc>
          <w:tcPr>
            <w:tcW w:type="dxa" w:w="1560"/>
          </w:tcPr>
          <w:p>
            <w:pPr>
              <w:spacing w:line="240" w:lineRule="auto" w:after="0"/>
            </w:pPr>
            <w:r>
              <w:rPr>
                <w:rFonts w:ascii="Times New Roman" w:hAnsi="Times New Roman"/>
                <w:sz w:val="15"/>
              </w:rPr>
            </w:r>
            <w:r>
              <w:rPr>
                <w:rFonts w:ascii="Times New Roman" w:hAnsi="Times New Roman"/>
                <w:sz w:val="15"/>
              </w:rPr>
              <w:t>100 (4.2)</w:t>
            </w:r>
          </w:p>
        </w:tc>
        <w:tc>
          <w:tcPr>
            <w:tcW w:type="dxa" w:w="1560"/>
          </w:tcPr>
          <w:p>
            <w:pPr>
              <w:spacing w:line="240" w:lineRule="auto" w:after="0"/>
            </w:pPr>
            <w:r>
              <w:rPr>
                <w:rFonts w:ascii="Times New Roman" w:hAnsi="Times New Roman"/>
                <w:sz w:val="15"/>
              </w:rPr>
            </w:r>
            <w:r>
              <w:rPr>
                <w:rFonts w:ascii="Times New Roman" w:hAnsi="Times New Roman"/>
                <w:sz w:val="15"/>
              </w:rPr>
              <w:t>1.98</w:t>
            </w:r>
          </w:p>
        </w:tc>
        <w:tc>
          <w:tcPr>
            <w:tcW w:type="dxa" w:w="1560"/>
          </w:tcPr>
          <w:p>
            <w:pPr>
              <w:spacing w:line="240" w:lineRule="auto" w:after="0"/>
            </w:pPr>
            <w:r>
              <w:rPr>
                <w:rFonts w:ascii="Times New Roman" w:hAnsi="Times New Roman"/>
                <w:sz w:val="15"/>
              </w:rPr>
            </w:r>
            <w:r>
              <w:rPr>
                <w:rFonts w:ascii="Times New Roman" w:hAnsi="Times New Roman"/>
                <w:sz w:val="15"/>
              </w:rPr>
              <w:t>3.03</w:t>
            </w:r>
          </w:p>
        </w:tc>
        <w:tc>
          <w:tcPr>
            <w:tcW w:type="dxa" w:w="1560"/>
          </w:tcPr>
          <w:p>
            <w:pPr>
              <w:spacing w:line="240" w:lineRule="auto" w:after="0"/>
            </w:pPr>
            <w:r>
              <w:rPr>
                <w:rFonts w:ascii="Times New Roman" w:hAnsi="Times New Roman"/>
                <w:sz w:val="15"/>
              </w:rPr>
            </w:r>
            <w:r>
              <w:rPr>
                <w:rFonts w:ascii="Times New Roman" w:hAnsi="Times New Roman"/>
                <w:sz w:val="15"/>
              </w:rPr>
              <w:t>1.35</w:t>
            </w:r>
          </w:p>
        </w:tc>
        <w:tc>
          <w:tcPr>
            <w:tcW w:type="dxa" w:w="1560"/>
          </w:tcPr>
          <w:p>
            <w:pPr>
              <w:spacing w:line="240" w:lineRule="auto" w:after="0"/>
            </w:pPr>
            <w:r>
              <w:rPr>
                <w:rFonts w:ascii="Times New Roman" w:hAnsi="Times New Roman"/>
                <w:sz w:val="15"/>
              </w:rPr>
            </w:r>
            <w:r>
              <w:rPr>
                <w:rFonts w:ascii="Times New Roman" w:hAnsi="Times New Roman"/>
                <w:sz w:val="15"/>
              </w:rPr>
              <w:t>+350%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3.03</w:t>
            </w:r>
          </w:p>
        </w:tc>
        <w:tc>
          <w:tcPr>
            <w:tcW w:type="dxa" w:w="1560"/>
          </w:tcPr>
          <w:p>
            <w:pPr>
              <w:spacing w:line="240" w:lineRule="auto" w:after="0"/>
            </w:pPr>
            <w:r>
              <w:rPr>
                <w:rFonts w:ascii="Times New Roman" w:hAnsi="Times New Roman"/>
                <w:sz w:val="15"/>
              </w:rPr>
            </w:r>
            <w:r>
              <w:rPr>
                <w:rFonts w:ascii="Times New Roman" w:hAnsi="Times New Roman"/>
                <w:sz w:val="15"/>
              </w:rPr>
              <w:t>72 (3.0)</w:t>
            </w:r>
          </w:p>
        </w:tc>
        <w:tc>
          <w:tcPr>
            <w:tcW w:type="dxa" w:w="1560"/>
          </w:tcPr>
          <w:p>
            <w:pPr>
              <w:spacing w:line="240" w:lineRule="auto" w:after="0"/>
            </w:pPr>
            <w:r>
              <w:rPr>
                <w:rFonts w:ascii="Times New Roman" w:hAnsi="Times New Roman"/>
                <w:sz w:val="15"/>
              </w:rPr>
            </w:r>
            <w:r>
              <w:rPr>
                <w:rFonts w:ascii="Times New Roman" w:hAnsi="Times New Roman"/>
                <w:sz w:val="15"/>
              </w:rPr>
              <w:t>3.33</w:t>
            </w:r>
          </w:p>
        </w:tc>
        <w:tc>
          <w:tcPr>
            <w:tcW w:type="dxa" w:w="1560"/>
          </w:tcPr>
          <w:p>
            <w:pPr>
              <w:spacing w:line="240" w:lineRule="auto" w:after="0"/>
            </w:pPr>
            <w:r>
              <w:rPr>
                <w:rFonts w:ascii="Times New Roman" w:hAnsi="Times New Roman"/>
                <w:sz w:val="15"/>
              </w:rPr>
            </w:r>
            <w:r>
              <w:rPr>
                <w:rFonts w:ascii="Times New Roman" w:hAnsi="Times New Roman"/>
                <w:sz w:val="15"/>
              </w:rPr>
              <w:t>5.54</w:t>
            </w:r>
          </w:p>
        </w:tc>
        <w:tc>
          <w:tcPr>
            <w:tcW w:type="dxa" w:w="1560"/>
          </w:tcPr>
          <w:p>
            <w:pPr>
              <w:spacing w:line="240" w:lineRule="auto" w:after="0"/>
            </w:pPr>
            <w:r>
              <w:rPr>
                <w:rFonts w:ascii="Times New Roman" w:hAnsi="Times New Roman"/>
                <w:sz w:val="15"/>
              </w:rPr>
            </w:r>
            <w:r>
              <w:rPr>
                <w:rFonts w:ascii="Times New Roman" w:hAnsi="Times New Roman"/>
                <w:sz w:val="15"/>
              </w:rPr>
              <w:t>2.51</w:t>
            </w:r>
          </w:p>
        </w:tc>
        <w:tc>
          <w:tcPr>
            <w:tcW w:type="dxa" w:w="1560"/>
          </w:tcPr>
          <w:p>
            <w:pPr>
              <w:spacing w:line="240" w:lineRule="auto" w:after="0"/>
            </w:pPr>
            <w:r>
              <w:rPr>
                <w:rFonts w:ascii="Times New Roman" w:hAnsi="Times New Roman"/>
                <w:sz w:val="15"/>
              </w:rPr>
            </w:r>
            <w:r>
              <w:rPr>
                <w:rFonts w:ascii="Times New Roman" w:hAnsi="Times New Roman"/>
                <w:sz w:val="15"/>
              </w:rPr>
              <w:t>+737%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5.54</w:t>
            </w:r>
          </w:p>
        </w:tc>
        <w:tc>
          <w:tcPr>
            <w:tcW w:type="dxa" w:w="1560"/>
          </w:tcPr>
          <w:p>
            <w:pPr>
              <w:spacing w:line="240" w:lineRule="auto" w:after="0"/>
            </w:pPr>
            <w:r>
              <w:rPr>
                <w:rFonts w:ascii="Times New Roman" w:hAnsi="Times New Roman"/>
                <w:sz w:val="15"/>
              </w:rPr>
            </w:r>
            <w:r>
              <w:rPr>
                <w:rFonts w:ascii="Times New Roman" w:hAnsi="Times New Roman"/>
                <w:sz w:val="15"/>
              </w:rPr>
              <w:t>59 (2.5)</w:t>
            </w:r>
          </w:p>
        </w:tc>
        <w:tc>
          <w:tcPr>
            <w:tcW w:type="dxa" w:w="1560"/>
          </w:tcPr>
          <w:p>
            <w:pPr>
              <w:spacing w:line="240" w:lineRule="auto" w:after="0"/>
            </w:pPr>
            <w:r>
              <w:rPr>
                <w:rFonts w:ascii="Times New Roman" w:hAnsi="Times New Roman"/>
                <w:sz w:val="15"/>
              </w:rPr>
            </w:r>
            <w:r>
              <w:rPr>
                <w:rFonts w:ascii="Times New Roman" w:hAnsi="Times New Roman"/>
                <w:sz w:val="15"/>
              </w:rPr>
              <w:t>5.84</w:t>
            </w:r>
          </w:p>
        </w:tc>
        <w:tc>
          <w:tcPr>
            <w:tcW w:type="dxa" w:w="1560"/>
          </w:tcPr>
          <w:p>
            <w:pPr>
              <w:spacing w:line="240" w:lineRule="auto" w:after="0"/>
            </w:pPr>
            <w:r>
              <w:rPr>
                <w:rFonts w:ascii="Times New Roman" w:hAnsi="Times New Roman"/>
                <w:sz w:val="15"/>
              </w:rPr>
            </w:r>
            <w:r>
              <w:rPr>
                <w:rFonts w:ascii="Times New Roman" w:hAnsi="Times New Roman"/>
                <w:sz w:val="15"/>
              </w:rPr>
              <w:t>none</w:t>
            </w:r>
          </w:p>
        </w:tc>
        <w:tc>
          <w:tcPr>
            <w:tcW w:type="dxa" w:w="1560"/>
          </w:tcPr>
          <w:p>
            <w:pPr>
              <w:spacing w:line="240" w:lineRule="auto" w:after="0"/>
            </w:pPr>
            <w:r>
              <w:rPr>
                <w:rFonts w:ascii="Times New Roman" w:hAnsi="Times New Roman"/>
                <w:sz w:val="15"/>
              </w:rPr>
            </w:r>
            <w:r>
              <w:rPr>
                <w:rFonts w:ascii="Times New Roman" w:hAnsi="Times New Roman"/>
                <w:sz w:val="15"/>
              </w:rPr>
              <w:t>not attainable</w:t>
            </w:r>
          </w:p>
        </w:tc>
        <w:tc>
          <w:tcPr>
            <w:tcW w:type="dxa" w:w="1560"/>
          </w:tcPr>
          <w:p>
            <w:pPr>
              <w:spacing w:line="240" w:lineRule="auto" w:after="0"/>
            </w:pPr>
            <w:r>
              <w:rPr>
                <w:rFonts w:ascii="Times New Roman" w:hAnsi="Times New Roman"/>
                <w:sz w:val="15"/>
              </w:rPr>
            </w:r>
            <w:r>
              <w:rPr>
                <w:rFonts w:ascii="Times New Roman" w:hAnsi="Times New Roman"/>
                <w:sz w:val="15"/>
              </w:rPr>
              <w:t>n/a</w:t>
            </w:r>
          </w:p>
        </w:tc>
      </w:tr>
    </w:tbl>
    <w:p/>
    <w:p>
      <w:pPr>
        <w:jc w:val="left"/>
      </w:pPr>
      <w:r>
        <w:t>Percentages are of the 2,365-patient primary cohort; every baseline lies on the published grid, so no patient is unclassified.</w:t>
      </w:r>
    </w:p>
    <w:p>
      <w:pPr>
        <w:jc w:val="left"/>
      </w:pPr>
      <w:r>
        <w:t>Three features matter for interpretation.</w:t>
      </w:r>
    </w:p>
    <w:p>
      <w:pPr>
        <w:jc w:val="left"/>
      </w:pPr>
      <w:r>
        <w:rPr>
          <w:b/>
        </w:rPr>
        <w:t>The distortion is the rule, not the exception.</w:t>
      </w:r>
      <w:r>
        <w:t xml:space="preserve"> Only 8.5% of the cohort sits at a baseline where a nominal 0.3 mg/dL rise is exactly representable. For 91.5% the criterion demands more than KDIGO specifies: 31.5% must rise by at least 0.45 mg/dL and 16.7% by at least 0.60 mg/dL. The patient-weighted median effective threshold is 0.35 mg/dL and the mean is 0.50 mg/dL.</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cantSplit/>
        </w:trPr>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Effective rise required</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Grid values</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Patients, n (%)</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Baseline range</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At or near nominal, 0.30–0.35</w:t>
            </w:r>
          </w:p>
        </w:tc>
        <w:tc>
          <w:tcPr>
            <w:tcW w:type="dxa" w:w="2340"/>
          </w:tcPr>
          <w:p>
            <w:pPr>
              <w:spacing w:line="240" w:lineRule="auto" w:after="0"/>
            </w:pPr>
            <w:r>
              <w:rPr>
                <w:rFonts w:ascii="Times New Roman" w:hAnsi="Times New Roman"/>
                <w:sz w:val="15"/>
              </w:rPr>
            </w:r>
            <w:r>
              <w:rPr>
                <w:rFonts w:ascii="Times New Roman" w:hAnsi="Times New Roman"/>
                <w:sz w:val="15"/>
              </w:rPr>
              <w:t>10</w:t>
            </w:r>
          </w:p>
        </w:tc>
        <w:tc>
          <w:tcPr>
            <w:tcW w:type="dxa" w:w="2340"/>
          </w:tcPr>
          <w:p>
            <w:pPr>
              <w:spacing w:line="240" w:lineRule="auto" w:after="0"/>
            </w:pPr>
            <w:r>
              <w:rPr>
                <w:rFonts w:ascii="Times New Roman" w:hAnsi="Times New Roman"/>
                <w:sz w:val="15"/>
              </w:rPr>
            </w:r>
            <w:r>
              <w:rPr>
                <w:rFonts w:ascii="Times New Roman" w:hAnsi="Times New Roman"/>
                <w:sz w:val="15"/>
              </w:rPr>
              <w:t>799 (33.8)</w:t>
            </w:r>
          </w:p>
        </w:tc>
        <w:tc>
          <w:tcPr>
            <w:tcW w:type="dxa" w:w="2340"/>
          </w:tcPr>
          <w:p>
            <w:pPr>
              <w:spacing w:line="240" w:lineRule="auto" w:after="0"/>
            </w:pPr>
            <w:r>
              <w:rPr>
                <w:rFonts w:ascii="Times New Roman" w:hAnsi="Times New Roman"/>
                <w:sz w:val="15"/>
              </w:rPr>
            </w:r>
            <w:r>
              <w:rPr>
                <w:rFonts w:ascii="Times New Roman" w:hAnsi="Times New Roman"/>
                <w:sz w:val="15"/>
              </w:rPr>
              <w:t>0.41–0.84</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Moderately inflated, 0.35–0.50</w:t>
            </w:r>
          </w:p>
        </w:tc>
        <w:tc>
          <w:tcPr>
            <w:tcW w:type="dxa" w:w="2340"/>
          </w:tcPr>
          <w:p>
            <w:pPr>
              <w:spacing w:line="240" w:lineRule="auto" w:after="0"/>
            </w:pPr>
            <w:r>
              <w:rPr>
                <w:rFonts w:ascii="Times New Roman" w:hAnsi="Times New Roman"/>
                <w:sz w:val="15"/>
              </w:rPr>
            </w:r>
            <w:r>
              <w:rPr>
                <w:rFonts w:ascii="Times New Roman" w:hAnsi="Times New Roman"/>
                <w:sz w:val="15"/>
              </w:rPr>
              <w:t>6</w:t>
            </w:r>
          </w:p>
        </w:tc>
        <w:tc>
          <w:tcPr>
            <w:tcW w:type="dxa" w:w="2340"/>
          </w:tcPr>
          <w:p>
            <w:pPr>
              <w:spacing w:line="240" w:lineRule="auto" w:after="0"/>
            </w:pPr>
            <w:r>
              <w:rPr>
                <w:rFonts w:ascii="Times New Roman" w:hAnsi="Times New Roman"/>
                <w:sz w:val="15"/>
              </w:rPr>
            </w:r>
            <w:r>
              <w:rPr>
                <w:rFonts w:ascii="Times New Roman" w:hAnsi="Times New Roman"/>
                <w:sz w:val="15"/>
              </w:rPr>
              <w:t>931 (39.4)</w:t>
            </w:r>
          </w:p>
        </w:tc>
        <w:tc>
          <w:tcPr>
            <w:tcW w:type="dxa" w:w="2340"/>
          </w:tcPr>
          <w:p>
            <w:pPr>
              <w:spacing w:line="240" w:lineRule="auto" w:after="0"/>
            </w:pPr>
            <w:r>
              <w:rPr>
                <w:rFonts w:ascii="Times New Roman" w:hAnsi="Times New Roman"/>
                <w:sz w:val="15"/>
              </w:rPr>
            </w:r>
            <w:r>
              <w:rPr>
                <w:rFonts w:ascii="Times New Roman" w:hAnsi="Times New Roman"/>
                <w:sz w:val="15"/>
              </w:rPr>
              <w:t>0.77–1.33</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Substantially inflated, 0.50–1.00</w:t>
            </w:r>
          </w:p>
        </w:tc>
        <w:tc>
          <w:tcPr>
            <w:tcW w:type="dxa" w:w="2340"/>
          </w:tcPr>
          <w:p>
            <w:pPr>
              <w:spacing w:line="240" w:lineRule="auto" w:after="0"/>
            </w:pPr>
            <w:r>
              <w:rPr>
                <w:rFonts w:ascii="Times New Roman" w:hAnsi="Times New Roman"/>
                <w:sz w:val="15"/>
              </w:rPr>
            </w:r>
            <w:r>
              <w:rPr>
                <w:rFonts w:ascii="Times New Roman" w:hAnsi="Times New Roman"/>
                <w:sz w:val="15"/>
              </w:rPr>
              <w:t>2</w:t>
            </w:r>
          </w:p>
        </w:tc>
        <w:tc>
          <w:tcPr>
            <w:tcW w:type="dxa" w:w="2340"/>
          </w:tcPr>
          <w:p>
            <w:pPr>
              <w:spacing w:line="240" w:lineRule="auto" w:after="0"/>
            </w:pPr>
            <w:r>
              <w:rPr>
                <w:rFonts w:ascii="Times New Roman" w:hAnsi="Times New Roman"/>
                <w:sz w:val="15"/>
              </w:rPr>
            </w:r>
            <w:r>
              <w:rPr>
                <w:rFonts w:ascii="Times New Roman" w:hAnsi="Times New Roman"/>
                <w:sz w:val="15"/>
              </w:rPr>
              <w:t>404 (17.1)</w:t>
            </w:r>
          </w:p>
        </w:tc>
        <w:tc>
          <w:tcPr>
            <w:tcW w:type="dxa" w:w="2340"/>
          </w:tcPr>
          <w:p>
            <w:pPr>
              <w:spacing w:line="240" w:lineRule="auto" w:after="0"/>
            </w:pPr>
            <w:r>
              <w:rPr>
                <w:rFonts w:ascii="Times New Roman" w:hAnsi="Times New Roman"/>
                <w:sz w:val="15"/>
              </w:rPr>
            </w:r>
            <w:r>
              <w:rPr>
                <w:rFonts w:ascii="Times New Roman" w:hAnsi="Times New Roman"/>
                <w:sz w:val="15"/>
              </w:rPr>
              <w:t>1.05–1.15</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Severely inflated, above 1.00</w:t>
            </w:r>
          </w:p>
        </w:tc>
        <w:tc>
          <w:tcPr>
            <w:tcW w:type="dxa" w:w="2340"/>
          </w:tcPr>
          <w:p>
            <w:pPr>
              <w:spacing w:line="240" w:lineRule="auto" w:after="0"/>
            </w:pPr>
            <w:r>
              <w:rPr>
                <w:rFonts w:ascii="Times New Roman" w:hAnsi="Times New Roman"/>
                <w:sz w:val="15"/>
              </w:rPr>
            </w:r>
            <w:r>
              <w:rPr>
                <w:rFonts w:ascii="Times New Roman" w:hAnsi="Times New Roman"/>
                <w:sz w:val="15"/>
              </w:rPr>
              <w:t>2</w:t>
            </w:r>
          </w:p>
        </w:tc>
        <w:tc>
          <w:tcPr>
            <w:tcW w:type="dxa" w:w="2340"/>
          </w:tcPr>
          <w:p>
            <w:pPr>
              <w:spacing w:line="240" w:lineRule="auto" w:after="0"/>
            </w:pPr>
            <w:r>
              <w:rPr>
                <w:rFonts w:ascii="Times New Roman" w:hAnsi="Times New Roman"/>
                <w:sz w:val="15"/>
              </w:rPr>
            </w:r>
            <w:r>
              <w:rPr>
                <w:rFonts w:ascii="Times New Roman" w:hAnsi="Times New Roman"/>
                <w:sz w:val="15"/>
              </w:rPr>
              <w:t>172 (7.3)</w:t>
            </w:r>
          </w:p>
        </w:tc>
        <w:tc>
          <w:tcPr>
            <w:tcW w:type="dxa" w:w="2340"/>
          </w:tcPr>
          <w:p>
            <w:pPr>
              <w:spacing w:line="240" w:lineRule="auto" w:after="0"/>
            </w:pPr>
            <w:r>
              <w:rPr>
                <w:rFonts w:ascii="Times New Roman" w:hAnsi="Times New Roman"/>
                <w:sz w:val="15"/>
              </w:rPr>
            </w:r>
            <w:r>
              <w:rPr>
                <w:rFonts w:ascii="Times New Roman" w:hAnsi="Times New Roman"/>
                <w:sz w:val="15"/>
              </w:rPr>
              <w:t>1.68–3.03</w:t>
            </w:r>
          </w:p>
        </w:tc>
      </w:tr>
    </w:tbl>
    <w:p/>
    <w:p>
      <w:pPr>
        <w:jc w:val="left"/>
      </w:pPr>
      <w:r>
        <w:rPr>
          <w:b/>
        </w:rPr>
        <w:t>The distortion is non-monotone in baseline.</w:t>
      </w:r>
      <w:r>
        <w:t xml:space="preserve"> It rises to 0.45 mg/dL at a baseline of 0.88, falls back to 0.35 at 0.98, jumps to 0.63 at 1.05 and falls again to 0.35 at 1.33. Misclassification therefore cannot be summarised as a single direction applied uniformly across the baseline range, and no simple correction recovers the intended criterion. It is worth noting explicitly that the distortion is </w:t>
      </w:r>
      <w:r>
        <w:rPr>
          <w:i/>
        </w:rPr>
        <w:t>smallest</w:t>
      </w:r>
      <w:r>
        <w:t xml:space="preserve"> at low baselines, where the grid is dense (0.03–0.04 mg/dL spacing below 0.84), and largest at high baselines, where spacing reaches 1.35 and then 2.51 mg/dL.</w:t>
      </w:r>
    </w:p>
    <w:p>
      <w:pPr>
        <w:jc w:val="left"/>
      </w:pPr>
      <w:r>
        <w:rPr>
          <w:b/>
        </w:rPr>
        <w:t>The distortion is not differential with respect to the exposure.</w:t>
      </w:r>
      <w:r>
        <w:t xml:space="preserve"> This is the property that determines whether it could manufacture the reported gradient rather than merely blur it. The patient-weighted median effective threshold is 0.35 mg/dL in all four lactate strata, and the mean ranges only from 0.493 to 0.512 mg/dL.</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trPr>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Lactate stratum</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n on grid</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At nominal 0.30</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Requiring ≥0.45</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Requiring ≥0.60</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Median effective rise</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Mean effective rise</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≤1.9</w:t>
            </w:r>
          </w:p>
        </w:tc>
        <w:tc>
          <w:tcPr>
            <w:tcW w:type="dxa" w:w="1337"/>
          </w:tcPr>
          <w:p>
            <w:pPr>
              <w:spacing w:line="240" w:lineRule="auto" w:after="0"/>
            </w:pPr>
            <w:r>
              <w:rPr>
                <w:rFonts w:ascii="Times New Roman" w:hAnsi="Times New Roman"/>
                <w:sz w:val="15"/>
              </w:rPr>
            </w:r>
            <w:r>
              <w:rPr>
                <w:rFonts w:ascii="Times New Roman" w:hAnsi="Times New Roman"/>
                <w:sz w:val="15"/>
              </w:rPr>
              <w:t>791</w:t>
            </w:r>
          </w:p>
        </w:tc>
        <w:tc>
          <w:tcPr>
            <w:tcW w:type="dxa" w:w="1337"/>
          </w:tcPr>
          <w:p>
            <w:pPr>
              <w:spacing w:line="240" w:lineRule="auto" w:after="0"/>
            </w:pPr>
            <w:r>
              <w:rPr>
                <w:rFonts w:ascii="Times New Roman" w:hAnsi="Times New Roman"/>
                <w:sz w:val="15"/>
              </w:rPr>
            </w:r>
            <w:r>
              <w:rPr>
                <w:rFonts w:ascii="Times New Roman" w:hAnsi="Times New Roman"/>
                <w:sz w:val="15"/>
              </w:rPr>
              <w:t>7.2%</w:t>
            </w:r>
          </w:p>
        </w:tc>
        <w:tc>
          <w:tcPr>
            <w:tcW w:type="dxa" w:w="1337"/>
          </w:tcPr>
          <w:p>
            <w:pPr>
              <w:spacing w:line="240" w:lineRule="auto" w:after="0"/>
            </w:pPr>
            <w:r>
              <w:rPr>
                <w:rFonts w:ascii="Times New Roman" w:hAnsi="Times New Roman"/>
                <w:sz w:val="15"/>
              </w:rPr>
            </w:r>
            <w:r>
              <w:rPr>
                <w:rFonts w:ascii="Times New Roman" w:hAnsi="Times New Roman"/>
                <w:sz w:val="15"/>
              </w:rPr>
              <w:t>33.2%</w:t>
            </w:r>
          </w:p>
        </w:tc>
        <w:tc>
          <w:tcPr>
            <w:tcW w:type="dxa" w:w="1337"/>
          </w:tcPr>
          <w:p>
            <w:pPr>
              <w:spacing w:line="240" w:lineRule="auto" w:after="0"/>
            </w:pPr>
            <w:r>
              <w:rPr>
                <w:rFonts w:ascii="Times New Roman" w:hAnsi="Times New Roman"/>
                <w:sz w:val="15"/>
              </w:rPr>
            </w:r>
            <w:r>
              <w:rPr>
                <w:rFonts w:ascii="Times New Roman" w:hAnsi="Times New Roman"/>
                <w:sz w:val="15"/>
              </w:rPr>
              <w:t>17.3%</w:t>
            </w:r>
          </w:p>
        </w:tc>
        <w:tc>
          <w:tcPr>
            <w:tcW w:type="dxa" w:w="1337"/>
          </w:tcPr>
          <w:p>
            <w:pPr>
              <w:spacing w:line="240" w:lineRule="auto" w:after="0"/>
            </w:pPr>
            <w:r>
              <w:rPr>
                <w:rFonts w:ascii="Times New Roman" w:hAnsi="Times New Roman"/>
                <w:sz w:val="15"/>
              </w:rPr>
            </w:r>
            <w:r>
              <w:rPr>
                <w:rFonts w:ascii="Times New Roman" w:hAnsi="Times New Roman"/>
                <w:sz w:val="15"/>
              </w:rPr>
              <w:t>0.35</w:t>
            </w:r>
          </w:p>
        </w:tc>
        <w:tc>
          <w:tcPr>
            <w:tcW w:type="dxa" w:w="1337"/>
          </w:tcPr>
          <w:p>
            <w:pPr>
              <w:spacing w:line="240" w:lineRule="auto" w:after="0"/>
            </w:pPr>
            <w:r>
              <w:rPr>
                <w:rFonts w:ascii="Times New Roman" w:hAnsi="Times New Roman"/>
                <w:sz w:val="15"/>
              </w:rPr>
            </w:r>
            <w:r>
              <w:rPr>
                <w:rFonts w:ascii="Times New Roman" w:hAnsi="Times New Roman"/>
                <w:sz w:val="15"/>
              </w:rPr>
              <w:t>0.512</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2.1–3.0</w:t>
            </w:r>
          </w:p>
        </w:tc>
        <w:tc>
          <w:tcPr>
            <w:tcW w:type="dxa" w:w="1337"/>
          </w:tcPr>
          <w:p>
            <w:pPr>
              <w:spacing w:line="240" w:lineRule="auto" w:after="0"/>
            </w:pPr>
            <w:r>
              <w:rPr>
                <w:rFonts w:ascii="Times New Roman" w:hAnsi="Times New Roman"/>
                <w:sz w:val="15"/>
              </w:rPr>
            </w:r>
            <w:r>
              <w:rPr>
                <w:rFonts w:ascii="Times New Roman" w:hAnsi="Times New Roman"/>
                <w:sz w:val="15"/>
              </w:rPr>
              <w:t>557</w:t>
            </w:r>
          </w:p>
        </w:tc>
        <w:tc>
          <w:tcPr>
            <w:tcW w:type="dxa" w:w="1337"/>
          </w:tcPr>
          <w:p>
            <w:pPr>
              <w:spacing w:line="240" w:lineRule="auto" w:after="0"/>
            </w:pPr>
            <w:r>
              <w:rPr>
                <w:rFonts w:ascii="Times New Roman" w:hAnsi="Times New Roman"/>
                <w:sz w:val="15"/>
              </w:rPr>
            </w:r>
            <w:r>
              <w:rPr>
                <w:rFonts w:ascii="Times New Roman" w:hAnsi="Times New Roman"/>
                <w:sz w:val="15"/>
              </w:rPr>
              <w:t>9.7%</w:t>
            </w:r>
          </w:p>
        </w:tc>
        <w:tc>
          <w:tcPr>
            <w:tcW w:type="dxa" w:w="1337"/>
          </w:tcPr>
          <w:p>
            <w:pPr>
              <w:spacing w:line="240" w:lineRule="auto" w:after="0"/>
            </w:pPr>
            <w:r>
              <w:rPr>
                <w:rFonts w:ascii="Times New Roman" w:hAnsi="Times New Roman"/>
                <w:sz w:val="15"/>
              </w:rPr>
            </w:r>
            <w:r>
              <w:rPr>
                <w:rFonts w:ascii="Times New Roman" w:hAnsi="Times New Roman"/>
                <w:sz w:val="15"/>
              </w:rPr>
              <w:t>29.8%</w:t>
            </w:r>
          </w:p>
        </w:tc>
        <w:tc>
          <w:tcPr>
            <w:tcW w:type="dxa" w:w="1337"/>
          </w:tcPr>
          <w:p>
            <w:pPr>
              <w:spacing w:line="240" w:lineRule="auto" w:after="0"/>
            </w:pPr>
            <w:r>
              <w:rPr>
                <w:rFonts w:ascii="Times New Roman" w:hAnsi="Times New Roman"/>
                <w:sz w:val="15"/>
              </w:rPr>
            </w:r>
            <w:r>
              <w:rPr>
                <w:rFonts w:ascii="Times New Roman" w:hAnsi="Times New Roman"/>
                <w:sz w:val="15"/>
              </w:rPr>
              <w:t>15.8%</w:t>
            </w:r>
          </w:p>
        </w:tc>
        <w:tc>
          <w:tcPr>
            <w:tcW w:type="dxa" w:w="1337"/>
          </w:tcPr>
          <w:p>
            <w:pPr>
              <w:spacing w:line="240" w:lineRule="auto" w:after="0"/>
            </w:pPr>
            <w:r>
              <w:rPr>
                <w:rFonts w:ascii="Times New Roman" w:hAnsi="Times New Roman"/>
                <w:sz w:val="15"/>
              </w:rPr>
            </w:r>
            <w:r>
              <w:rPr>
                <w:rFonts w:ascii="Times New Roman" w:hAnsi="Times New Roman"/>
                <w:sz w:val="15"/>
              </w:rPr>
              <w:t>0.35</w:t>
            </w:r>
          </w:p>
        </w:tc>
        <w:tc>
          <w:tcPr>
            <w:tcW w:type="dxa" w:w="1337"/>
          </w:tcPr>
          <w:p>
            <w:pPr>
              <w:spacing w:line="240" w:lineRule="auto" w:after="0"/>
            </w:pPr>
            <w:r>
              <w:rPr>
                <w:rFonts w:ascii="Times New Roman" w:hAnsi="Times New Roman"/>
                <w:sz w:val="15"/>
              </w:rPr>
            </w:r>
            <w:r>
              <w:rPr>
                <w:rFonts w:ascii="Times New Roman" w:hAnsi="Times New Roman"/>
                <w:sz w:val="15"/>
              </w:rPr>
              <w:t>0.496</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3.8–5.9</w:t>
            </w:r>
          </w:p>
        </w:tc>
        <w:tc>
          <w:tcPr>
            <w:tcW w:type="dxa" w:w="1337"/>
          </w:tcPr>
          <w:p>
            <w:pPr>
              <w:spacing w:line="240" w:lineRule="auto" w:after="0"/>
            </w:pPr>
            <w:r>
              <w:rPr>
                <w:rFonts w:ascii="Times New Roman" w:hAnsi="Times New Roman"/>
                <w:sz w:val="15"/>
              </w:rPr>
            </w:r>
            <w:r>
              <w:rPr>
                <w:rFonts w:ascii="Times New Roman" w:hAnsi="Times New Roman"/>
                <w:sz w:val="15"/>
              </w:rPr>
              <w:t>746</w:t>
            </w:r>
          </w:p>
        </w:tc>
        <w:tc>
          <w:tcPr>
            <w:tcW w:type="dxa" w:w="1337"/>
          </w:tcPr>
          <w:p>
            <w:pPr>
              <w:spacing w:line="240" w:lineRule="auto" w:after="0"/>
            </w:pPr>
            <w:r>
              <w:rPr>
                <w:rFonts w:ascii="Times New Roman" w:hAnsi="Times New Roman"/>
                <w:sz w:val="15"/>
              </w:rPr>
            </w:r>
            <w:r>
              <w:rPr>
                <w:rFonts w:ascii="Times New Roman" w:hAnsi="Times New Roman"/>
                <w:sz w:val="15"/>
              </w:rPr>
              <w:t>9.5%</w:t>
            </w:r>
          </w:p>
        </w:tc>
        <w:tc>
          <w:tcPr>
            <w:tcW w:type="dxa" w:w="1337"/>
          </w:tcPr>
          <w:p>
            <w:pPr>
              <w:spacing w:line="240" w:lineRule="auto" w:after="0"/>
            </w:pPr>
            <w:r>
              <w:rPr>
                <w:rFonts w:ascii="Times New Roman" w:hAnsi="Times New Roman"/>
                <w:sz w:val="15"/>
              </w:rPr>
            </w:r>
            <w:r>
              <w:rPr>
                <w:rFonts w:ascii="Times New Roman" w:hAnsi="Times New Roman"/>
                <w:sz w:val="15"/>
              </w:rPr>
              <w:t>30.2%</w:t>
            </w:r>
          </w:p>
        </w:tc>
        <w:tc>
          <w:tcPr>
            <w:tcW w:type="dxa" w:w="1337"/>
          </w:tcPr>
          <w:p>
            <w:pPr>
              <w:spacing w:line="240" w:lineRule="auto" w:after="0"/>
            </w:pPr>
            <w:r>
              <w:rPr>
                <w:rFonts w:ascii="Times New Roman" w:hAnsi="Times New Roman"/>
                <w:sz w:val="15"/>
              </w:rPr>
            </w:r>
            <w:r>
              <w:rPr>
                <w:rFonts w:ascii="Times New Roman" w:hAnsi="Times New Roman"/>
                <w:sz w:val="15"/>
              </w:rPr>
              <w:t>15.5%</w:t>
            </w:r>
          </w:p>
        </w:tc>
        <w:tc>
          <w:tcPr>
            <w:tcW w:type="dxa" w:w="1337"/>
          </w:tcPr>
          <w:p>
            <w:pPr>
              <w:spacing w:line="240" w:lineRule="auto" w:after="0"/>
            </w:pPr>
            <w:r>
              <w:rPr>
                <w:rFonts w:ascii="Times New Roman" w:hAnsi="Times New Roman"/>
                <w:sz w:val="15"/>
              </w:rPr>
            </w:r>
            <w:r>
              <w:rPr>
                <w:rFonts w:ascii="Times New Roman" w:hAnsi="Times New Roman"/>
                <w:sz w:val="15"/>
              </w:rPr>
              <w:t>0.35</w:t>
            </w:r>
          </w:p>
        </w:tc>
        <w:tc>
          <w:tcPr>
            <w:tcW w:type="dxa" w:w="1337"/>
          </w:tcPr>
          <w:p>
            <w:pPr>
              <w:spacing w:line="240" w:lineRule="auto" w:after="0"/>
            </w:pPr>
            <w:r>
              <w:rPr>
                <w:rFonts w:ascii="Times New Roman" w:hAnsi="Times New Roman"/>
                <w:sz w:val="15"/>
              </w:rPr>
            </w:r>
            <w:r>
              <w:rPr>
                <w:rFonts w:ascii="Times New Roman" w:hAnsi="Times New Roman"/>
                <w:sz w:val="15"/>
              </w:rPr>
              <w:t>0.493</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8.6 (capped)</w:t>
            </w:r>
          </w:p>
        </w:tc>
        <w:tc>
          <w:tcPr>
            <w:tcW w:type="dxa" w:w="1337"/>
          </w:tcPr>
          <w:p>
            <w:pPr>
              <w:spacing w:line="240" w:lineRule="auto" w:after="0"/>
            </w:pPr>
            <w:r>
              <w:rPr>
                <w:rFonts w:ascii="Times New Roman" w:hAnsi="Times New Roman"/>
                <w:sz w:val="15"/>
              </w:rPr>
            </w:r>
            <w:r>
              <w:rPr>
                <w:rFonts w:ascii="Times New Roman" w:hAnsi="Times New Roman"/>
                <w:sz w:val="15"/>
              </w:rPr>
              <w:t>212</w:t>
            </w:r>
          </w:p>
        </w:tc>
        <w:tc>
          <w:tcPr>
            <w:tcW w:type="dxa" w:w="1337"/>
          </w:tcPr>
          <w:p>
            <w:pPr>
              <w:spacing w:line="240" w:lineRule="auto" w:after="0"/>
            </w:pPr>
            <w:r>
              <w:rPr>
                <w:rFonts w:ascii="Times New Roman" w:hAnsi="Times New Roman"/>
                <w:sz w:val="15"/>
              </w:rPr>
            </w:r>
            <w:r>
              <w:rPr>
                <w:rFonts w:ascii="Times New Roman" w:hAnsi="Times New Roman"/>
                <w:sz w:val="15"/>
              </w:rPr>
              <w:t>6.6%</w:t>
            </w:r>
          </w:p>
        </w:tc>
        <w:tc>
          <w:tcPr>
            <w:tcW w:type="dxa" w:w="1337"/>
          </w:tcPr>
          <w:p>
            <w:pPr>
              <w:spacing w:line="240" w:lineRule="auto" w:after="0"/>
            </w:pPr>
            <w:r>
              <w:rPr>
                <w:rFonts w:ascii="Times New Roman" w:hAnsi="Times New Roman"/>
                <w:sz w:val="15"/>
              </w:rPr>
            </w:r>
            <w:r>
              <w:rPr>
                <w:rFonts w:ascii="Times New Roman" w:hAnsi="Times New Roman"/>
                <w:sz w:val="15"/>
              </w:rPr>
              <w:t>34.0%</w:t>
            </w:r>
          </w:p>
        </w:tc>
        <w:tc>
          <w:tcPr>
            <w:tcW w:type="dxa" w:w="1337"/>
          </w:tcPr>
          <w:p>
            <w:pPr>
              <w:spacing w:line="240" w:lineRule="auto" w:after="0"/>
            </w:pPr>
            <w:r>
              <w:rPr>
                <w:rFonts w:ascii="Times New Roman" w:hAnsi="Times New Roman"/>
                <w:sz w:val="15"/>
              </w:rPr>
            </w:r>
            <w:r>
              <w:rPr>
                <w:rFonts w:ascii="Times New Roman" w:hAnsi="Times New Roman"/>
                <w:sz w:val="15"/>
              </w:rPr>
              <w:t>21.2%</w:t>
            </w:r>
          </w:p>
        </w:tc>
        <w:tc>
          <w:tcPr>
            <w:tcW w:type="dxa" w:w="1337"/>
          </w:tcPr>
          <w:p>
            <w:pPr>
              <w:spacing w:line="240" w:lineRule="auto" w:after="0"/>
            </w:pPr>
            <w:r>
              <w:rPr>
                <w:rFonts w:ascii="Times New Roman" w:hAnsi="Times New Roman"/>
                <w:sz w:val="15"/>
              </w:rPr>
            </w:r>
            <w:r>
              <w:rPr>
                <w:rFonts w:ascii="Times New Roman" w:hAnsi="Times New Roman"/>
                <w:sz w:val="15"/>
              </w:rPr>
              <w:t>0.35</w:t>
            </w:r>
          </w:p>
        </w:tc>
        <w:tc>
          <w:tcPr>
            <w:tcW w:type="dxa" w:w="1337"/>
          </w:tcPr>
          <w:p>
            <w:pPr>
              <w:spacing w:line="240" w:lineRule="auto" w:after="0"/>
            </w:pPr>
            <w:r>
              <w:rPr>
                <w:rFonts w:ascii="Times New Roman" w:hAnsi="Times New Roman"/>
                <w:sz w:val="15"/>
              </w:rPr>
            </w:r>
            <w:r>
              <w:rPr>
                <w:rFonts w:ascii="Times New Roman" w:hAnsi="Times New Roman"/>
                <w:sz w:val="15"/>
              </w:rPr>
              <w:t>0.511</w:t>
            </w:r>
          </w:p>
        </w:tc>
      </w:tr>
    </w:tbl>
    <w:p/>
    <w:p>
      <w:pPr>
        <w:jc w:val="left"/>
      </w:pPr>
      <w:r>
        <w:t>The similar threshold distribution across lactate strata argues against one simple differential-threshold explanation for the observed gradient. It does not establish the direction of the overall bias. Discretisation can alter both whether and when a patient meets a composite outcome, while top-coding creates structural non-events at high baselines. Sampling frequency adds a further source of non-monotone misclassification. The combined effect could attenuate or inflate a particular contrast, so no correction factor or conservative direction is claimed.</w:t>
      </w:r>
    </w:p>
    <w:p>
      <w:pPr>
        <w:pStyle w:val="Heading3"/>
        <w:keepNext/>
        <w:spacing w:line="276" w:lineRule="auto" w:before="200" w:after="80"/>
      </w:pPr>
      <w:r>
        <w:rPr>
          <w:rFonts w:ascii="Times New Roman" w:hAnsi="Times New Roman"/>
          <w:color w:val="000000"/>
        </w:rPr>
        <w:t>5.2 Patients for whom neither KDIGO criterion is attainable</w:t>
      </w:r>
    </w:p>
    <w:p>
      <w:pPr>
        <w:jc w:val="left"/>
      </w:pPr>
      <w:r>
        <w:t xml:space="preserve">At the top-coded baseline of 5.54 mg/dL the ratio arm requires a value of at least 8.31 mg/dL and the absolute arm at least 5.84 mg/dL. Both exceed the largest representable creatinine, which is 5.54. </w:t>
      </w:r>
      <w:r>
        <w:rPr>
          <w:b/>
        </w:rPr>
        <w:t>Fifty-nine patients (2.5% of the primary cohort) therefore cannot be classified as having AKI under either arm of the definition, however much their renal function actually deteriorates.</w:t>
      </w:r>
      <w:r>
        <w:t xml:space="preserve"> All 59 are in the landmark risk set, none has a recorded event, and their observed peak creatinine is pinned at the ceiling value of 5.54.</w:t>
      </w:r>
    </w:p>
    <w:p>
      <w:pPr>
        <w:jc w:val="left"/>
      </w:pPr>
      <w:r>
        <w:t>These are structural non-events occupying the denominator, not observed non-events. They are also, by construction, the patients with the worst pre-existing renal function, so they are among those most likely to sustain further injury. Their distribution across the exposure is close to uniform, which limits the damage:</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cantSplit/>
        </w:trPr>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Lactate stratum</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Uncountable, n</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Stratum n</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 of stratum</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≤1.9</w:t>
            </w:r>
          </w:p>
        </w:tc>
        <w:tc>
          <w:tcPr>
            <w:tcW w:type="dxa" w:w="2340"/>
          </w:tcPr>
          <w:p>
            <w:pPr>
              <w:spacing w:line="240" w:lineRule="auto" w:after="0"/>
            </w:pPr>
            <w:r>
              <w:rPr>
                <w:rFonts w:ascii="Times New Roman" w:hAnsi="Times New Roman"/>
                <w:sz w:val="15"/>
              </w:rPr>
            </w:r>
            <w:r>
              <w:rPr>
                <w:rFonts w:ascii="Times New Roman" w:hAnsi="Times New Roman"/>
                <w:sz w:val="15"/>
              </w:rPr>
              <w:t>24</w:t>
            </w:r>
          </w:p>
        </w:tc>
        <w:tc>
          <w:tcPr>
            <w:tcW w:type="dxa" w:w="2340"/>
          </w:tcPr>
          <w:p>
            <w:pPr>
              <w:spacing w:line="240" w:lineRule="auto" w:after="0"/>
            </w:pPr>
            <w:r>
              <w:rPr>
                <w:rFonts w:ascii="Times New Roman" w:hAnsi="Times New Roman"/>
                <w:sz w:val="15"/>
              </w:rPr>
            </w:r>
            <w:r>
              <w:rPr>
                <w:rFonts w:ascii="Times New Roman" w:hAnsi="Times New Roman"/>
                <w:sz w:val="15"/>
              </w:rPr>
              <w:t>815</w:t>
            </w:r>
          </w:p>
        </w:tc>
        <w:tc>
          <w:tcPr>
            <w:tcW w:type="dxa" w:w="2340"/>
          </w:tcPr>
          <w:p>
            <w:pPr>
              <w:spacing w:line="240" w:lineRule="auto" w:after="0"/>
            </w:pPr>
            <w:r>
              <w:rPr>
                <w:rFonts w:ascii="Times New Roman" w:hAnsi="Times New Roman"/>
                <w:sz w:val="15"/>
              </w:rPr>
            </w:r>
            <w:r>
              <w:rPr>
                <w:rFonts w:ascii="Times New Roman" w:hAnsi="Times New Roman"/>
                <w:sz w:val="15"/>
              </w:rPr>
              <w:t>2.9%</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2.1–3.0</w:t>
            </w:r>
          </w:p>
        </w:tc>
        <w:tc>
          <w:tcPr>
            <w:tcW w:type="dxa" w:w="2340"/>
          </w:tcPr>
          <w:p>
            <w:pPr>
              <w:spacing w:line="240" w:lineRule="auto" w:after="0"/>
            </w:pPr>
            <w:r>
              <w:rPr>
                <w:rFonts w:ascii="Times New Roman" w:hAnsi="Times New Roman"/>
                <w:sz w:val="15"/>
              </w:rPr>
            </w:r>
            <w:r>
              <w:rPr>
                <w:rFonts w:ascii="Times New Roman" w:hAnsi="Times New Roman"/>
                <w:sz w:val="15"/>
              </w:rPr>
              <w:t>13</w:t>
            </w:r>
          </w:p>
        </w:tc>
        <w:tc>
          <w:tcPr>
            <w:tcW w:type="dxa" w:w="2340"/>
          </w:tcPr>
          <w:p>
            <w:pPr>
              <w:spacing w:line="240" w:lineRule="auto" w:after="0"/>
            </w:pPr>
            <w:r>
              <w:rPr>
                <w:rFonts w:ascii="Times New Roman" w:hAnsi="Times New Roman"/>
                <w:sz w:val="15"/>
              </w:rPr>
            </w:r>
            <w:r>
              <w:rPr>
                <w:rFonts w:ascii="Times New Roman" w:hAnsi="Times New Roman"/>
                <w:sz w:val="15"/>
              </w:rPr>
              <w:t>570</w:t>
            </w:r>
          </w:p>
        </w:tc>
        <w:tc>
          <w:tcPr>
            <w:tcW w:type="dxa" w:w="2340"/>
          </w:tcPr>
          <w:p>
            <w:pPr>
              <w:spacing w:line="240" w:lineRule="auto" w:after="0"/>
            </w:pPr>
            <w:r>
              <w:rPr>
                <w:rFonts w:ascii="Times New Roman" w:hAnsi="Times New Roman"/>
                <w:sz w:val="15"/>
              </w:rPr>
            </w:r>
            <w:r>
              <w:rPr>
                <w:rFonts w:ascii="Times New Roman" w:hAnsi="Times New Roman"/>
                <w:sz w:val="15"/>
              </w:rPr>
              <w:t>2.3%</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3.8–5.9</w:t>
            </w:r>
          </w:p>
        </w:tc>
        <w:tc>
          <w:tcPr>
            <w:tcW w:type="dxa" w:w="2340"/>
          </w:tcPr>
          <w:p>
            <w:pPr>
              <w:spacing w:line="240" w:lineRule="auto" w:after="0"/>
            </w:pPr>
            <w:r>
              <w:rPr>
                <w:rFonts w:ascii="Times New Roman" w:hAnsi="Times New Roman"/>
                <w:sz w:val="15"/>
              </w:rPr>
            </w:r>
            <w:r>
              <w:rPr>
                <w:rFonts w:ascii="Times New Roman" w:hAnsi="Times New Roman"/>
                <w:sz w:val="15"/>
              </w:rPr>
              <w:t>19</w:t>
            </w:r>
          </w:p>
        </w:tc>
        <w:tc>
          <w:tcPr>
            <w:tcW w:type="dxa" w:w="2340"/>
          </w:tcPr>
          <w:p>
            <w:pPr>
              <w:spacing w:line="240" w:lineRule="auto" w:after="0"/>
            </w:pPr>
            <w:r>
              <w:rPr>
                <w:rFonts w:ascii="Times New Roman" w:hAnsi="Times New Roman"/>
                <w:sz w:val="15"/>
              </w:rPr>
            </w:r>
            <w:r>
              <w:rPr>
                <w:rFonts w:ascii="Times New Roman" w:hAnsi="Times New Roman"/>
                <w:sz w:val="15"/>
              </w:rPr>
              <w:t>765</w:t>
            </w:r>
          </w:p>
        </w:tc>
        <w:tc>
          <w:tcPr>
            <w:tcW w:type="dxa" w:w="2340"/>
          </w:tcPr>
          <w:p>
            <w:pPr>
              <w:spacing w:line="240" w:lineRule="auto" w:after="0"/>
            </w:pPr>
            <w:r>
              <w:rPr>
                <w:rFonts w:ascii="Times New Roman" w:hAnsi="Times New Roman"/>
                <w:sz w:val="15"/>
              </w:rPr>
            </w:r>
            <w:r>
              <w:rPr>
                <w:rFonts w:ascii="Times New Roman" w:hAnsi="Times New Roman"/>
                <w:sz w:val="15"/>
              </w:rPr>
              <w:t>2.5%</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8.6 (capped)</w:t>
            </w:r>
          </w:p>
        </w:tc>
        <w:tc>
          <w:tcPr>
            <w:tcW w:type="dxa" w:w="2340"/>
          </w:tcPr>
          <w:p>
            <w:pPr>
              <w:spacing w:line="240" w:lineRule="auto" w:after="0"/>
            </w:pPr>
            <w:r>
              <w:rPr>
                <w:rFonts w:ascii="Times New Roman" w:hAnsi="Times New Roman"/>
                <w:sz w:val="15"/>
              </w:rPr>
            </w:r>
            <w:r>
              <w:rPr>
                <w:rFonts w:ascii="Times New Roman" w:hAnsi="Times New Roman"/>
                <w:sz w:val="15"/>
              </w:rPr>
              <w:t>3</w:t>
            </w:r>
          </w:p>
        </w:tc>
        <w:tc>
          <w:tcPr>
            <w:tcW w:type="dxa" w:w="2340"/>
          </w:tcPr>
          <w:p>
            <w:pPr>
              <w:spacing w:line="240" w:lineRule="auto" w:after="0"/>
            </w:pPr>
            <w:r>
              <w:rPr>
                <w:rFonts w:ascii="Times New Roman" w:hAnsi="Times New Roman"/>
                <w:sz w:val="15"/>
              </w:rPr>
            </w:r>
            <w:r>
              <w:rPr>
                <w:rFonts w:ascii="Times New Roman" w:hAnsi="Times New Roman"/>
                <w:sz w:val="15"/>
              </w:rPr>
              <w:t>215</w:t>
            </w:r>
          </w:p>
        </w:tc>
        <w:tc>
          <w:tcPr>
            <w:tcW w:type="dxa" w:w="2340"/>
          </w:tcPr>
          <w:p>
            <w:pPr>
              <w:spacing w:line="240" w:lineRule="auto" w:after="0"/>
            </w:pPr>
            <w:r>
              <w:rPr>
                <w:rFonts w:ascii="Times New Roman" w:hAnsi="Times New Roman"/>
                <w:sz w:val="15"/>
              </w:rPr>
            </w:r>
            <w:r>
              <w:rPr>
                <w:rFonts w:ascii="Times New Roman" w:hAnsi="Times New Roman"/>
                <w:sz w:val="15"/>
              </w:rPr>
              <w:t>1.4%</w:t>
            </w:r>
          </w:p>
        </w:tc>
      </w:tr>
    </w:tbl>
    <w:p/>
    <w:p>
      <w:pPr>
        <w:jc w:val="left"/>
      </w:pPr>
      <w:r>
        <w:t>Refitting the primary cause-specific model without them changes very little, because they supply no events to either numerator and are spread nearly evenly across denominators:</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trPr>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Analysis</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At risk</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Events</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2.1–3.0</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3.8–5.9</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8.6 (capped)</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Per-stratum trend</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As published</w:t>
            </w:r>
          </w:p>
        </w:tc>
        <w:tc>
          <w:tcPr>
            <w:tcW w:type="dxa" w:w="1337"/>
          </w:tcPr>
          <w:p>
            <w:pPr>
              <w:spacing w:line="240" w:lineRule="auto" w:after="0"/>
            </w:pPr>
            <w:r>
              <w:rPr>
                <w:rFonts w:ascii="Times New Roman" w:hAnsi="Times New Roman"/>
                <w:sz w:val="15"/>
              </w:rPr>
            </w:r>
            <w:r>
              <w:rPr>
                <w:rFonts w:ascii="Times New Roman" w:hAnsi="Times New Roman"/>
                <w:sz w:val="15"/>
              </w:rPr>
              <w:t>1,834</w:t>
            </w:r>
          </w:p>
        </w:tc>
        <w:tc>
          <w:tcPr>
            <w:tcW w:type="dxa" w:w="1337"/>
          </w:tcPr>
          <w:p>
            <w:pPr>
              <w:spacing w:line="240" w:lineRule="auto" w:after="0"/>
            </w:pPr>
            <w:r>
              <w:rPr>
                <w:rFonts w:ascii="Times New Roman" w:hAnsi="Times New Roman"/>
                <w:sz w:val="15"/>
              </w:rPr>
            </w:r>
            <w:r>
              <w:rPr>
                <w:rFonts w:ascii="Times New Roman" w:hAnsi="Times New Roman"/>
                <w:sz w:val="15"/>
              </w:rPr>
              <w:t>196</w:t>
            </w:r>
          </w:p>
        </w:tc>
        <w:tc>
          <w:tcPr>
            <w:tcW w:type="dxa" w:w="1337"/>
          </w:tcPr>
          <w:p>
            <w:pPr>
              <w:spacing w:line="240" w:lineRule="auto" w:after="0"/>
            </w:pPr>
            <w:r>
              <w:rPr>
                <w:rFonts w:ascii="Times New Roman" w:hAnsi="Times New Roman"/>
                <w:sz w:val="15"/>
              </w:rPr>
            </w:r>
            <w:r>
              <w:rPr>
                <w:rFonts w:ascii="Times New Roman" w:hAnsi="Times New Roman"/>
                <w:sz w:val="15"/>
              </w:rPr>
              <w:t>1.16 (0.79–1.69)</w:t>
            </w:r>
          </w:p>
        </w:tc>
        <w:tc>
          <w:tcPr>
            <w:tcW w:type="dxa" w:w="1337"/>
          </w:tcPr>
          <w:p>
            <w:pPr>
              <w:spacing w:line="240" w:lineRule="auto" w:after="0"/>
            </w:pPr>
            <w:r>
              <w:rPr>
                <w:rFonts w:ascii="Times New Roman" w:hAnsi="Times New Roman"/>
                <w:sz w:val="15"/>
              </w:rPr>
            </w:r>
            <w:r>
              <w:rPr>
                <w:rFonts w:ascii="Times New Roman" w:hAnsi="Times New Roman"/>
                <w:sz w:val="15"/>
              </w:rPr>
              <w:t>1.48 (1.04–2.10)</w:t>
            </w:r>
          </w:p>
        </w:tc>
        <w:tc>
          <w:tcPr>
            <w:tcW w:type="dxa" w:w="1337"/>
          </w:tcPr>
          <w:p>
            <w:pPr>
              <w:spacing w:line="240" w:lineRule="auto" w:after="0"/>
            </w:pPr>
            <w:r>
              <w:rPr>
                <w:rFonts w:ascii="Times New Roman" w:hAnsi="Times New Roman"/>
                <w:sz w:val="15"/>
              </w:rPr>
            </w:r>
            <w:r>
              <w:rPr>
                <w:rFonts w:ascii="Times New Roman" w:hAnsi="Times New Roman"/>
                <w:b/>
                <w:sz w:val="15"/>
              </w:rPr>
              <w:t>2.13 (1.22–3.74)</w:t>
            </w:r>
          </w:p>
        </w:tc>
        <w:tc>
          <w:tcPr>
            <w:tcW w:type="dxa" w:w="1337"/>
          </w:tcPr>
          <w:p>
            <w:pPr>
              <w:spacing w:line="240" w:lineRule="auto" w:after="0"/>
            </w:pPr>
            <w:r>
              <w:rPr>
                <w:rFonts w:ascii="Times New Roman" w:hAnsi="Times New Roman"/>
                <w:sz w:val="15"/>
              </w:rPr>
            </w:r>
            <w:r>
              <w:rPr>
                <w:rFonts w:ascii="Times New Roman" w:hAnsi="Times New Roman"/>
                <w:sz w:val="15"/>
              </w:rPr>
              <w:t>1.25 (1.08–1.45), P=0.003</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Excluding the 59 uncountable</w:t>
            </w:r>
          </w:p>
        </w:tc>
        <w:tc>
          <w:tcPr>
            <w:tcW w:type="dxa" w:w="1337"/>
          </w:tcPr>
          <w:p>
            <w:pPr>
              <w:spacing w:line="240" w:lineRule="auto" w:after="0"/>
            </w:pPr>
            <w:r>
              <w:rPr>
                <w:rFonts w:ascii="Times New Roman" w:hAnsi="Times New Roman"/>
                <w:sz w:val="15"/>
              </w:rPr>
            </w:r>
            <w:r>
              <w:rPr>
                <w:rFonts w:ascii="Times New Roman" w:hAnsi="Times New Roman"/>
                <w:sz w:val="15"/>
              </w:rPr>
              <w:t>1,775</w:t>
            </w:r>
          </w:p>
        </w:tc>
        <w:tc>
          <w:tcPr>
            <w:tcW w:type="dxa" w:w="1337"/>
          </w:tcPr>
          <w:p>
            <w:pPr>
              <w:spacing w:line="240" w:lineRule="auto" w:after="0"/>
            </w:pPr>
            <w:r>
              <w:rPr>
                <w:rFonts w:ascii="Times New Roman" w:hAnsi="Times New Roman"/>
                <w:sz w:val="15"/>
              </w:rPr>
            </w:r>
            <w:r>
              <w:rPr>
                <w:rFonts w:ascii="Times New Roman" w:hAnsi="Times New Roman"/>
                <w:sz w:val="15"/>
              </w:rPr>
              <w:t>196</w:t>
            </w:r>
          </w:p>
        </w:tc>
        <w:tc>
          <w:tcPr>
            <w:tcW w:type="dxa" w:w="1337"/>
          </w:tcPr>
          <w:p>
            <w:pPr>
              <w:spacing w:line="240" w:lineRule="auto" w:after="0"/>
            </w:pPr>
            <w:r>
              <w:rPr>
                <w:rFonts w:ascii="Times New Roman" w:hAnsi="Times New Roman"/>
                <w:sz w:val="15"/>
              </w:rPr>
            </w:r>
            <w:r>
              <w:rPr>
                <w:rFonts w:ascii="Times New Roman" w:hAnsi="Times New Roman"/>
                <w:sz w:val="15"/>
              </w:rPr>
              <w:t>1.15 (0.79–1.68)</w:t>
            </w:r>
          </w:p>
        </w:tc>
        <w:tc>
          <w:tcPr>
            <w:tcW w:type="dxa" w:w="1337"/>
          </w:tcPr>
          <w:p>
            <w:pPr>
              <w:spacing w:line="240" w:lineRule="auto" w:after="0"/>
            </w:pPr>
            <w:r>
              <w:rPr>
                <w:rFonts w:ascii="Times New Roman" w:hAnsi="Times New Roman"/>
                <w:sz w:val="15"/>
              </w:rPr>
            </w:r>
            <w:r>
              <w:rPr>
                <w:rFonts w:ascii="Times New Roman" w:hAnsi="Times New Roman"/>
                <w:sz w:val="15"/>
              </w:rPr>
              <w:t>1.46 (1.02–2.07)</w:t>
            </w:r>
          </w:p>
        </w:tc>
        <w:tc>
          <w:tcPr>
            <w:tcW w:type="dxa" w:w="1337"/>
          </w:tcPr>
          <w:p>
            <w:pPr>
              <w:spacing w:line="240" w:lineRule="auto" w:after="0"/>
            </w:pPr>
            <w:r>
              <w:rPr>
                <w:rFonts w:ascii="Times New Roman" w:hAnsi="Times New Roman"/>
                <w:sz w:val="15"/>
              </w:rPr>
            </w:r>
            <w:r>
              <w:rPr>
                <w:rFonts w:ascii="Times New Roman" w:hAnsi="Times New Roman"/>
                <w:b/>
                <w:sz w:val="15"/>
              </w:rPr>
              <w:t>2.11 (1.21–3.70)</w:t>
            </w:r>
          </w:p>
        </w:tc>
        <w:tc>
          <w:tcPr>
            <w:tcW w:type="dxa" w:w="1337"/>
          </w:tcPr>
          <w:p>
            <w:pPr>
              <w:spacing w:line="240" w:lineRule="auto" w:after="0"/>
            </w:pPr>
            <w:r>
              <w:rPr>
                <w:rFonts w:ascii="Times New Roman" w:hAnsi="Times New Roman"/>
                <w:sz w:val="15"/>
              </w:rPr>
            </w:r>
            <w:r>
              <w:rPr>
                <w:rFonts w:ascii="Times New Roman" w:hAnsi="Times New Roman"/>
                <w:sz w:val="15"/>
              </w:rPr>
              <w:t>1.24 (1.07–1.44), P=0.005</w:t>
            </w:r>
          </w:p>
        </w:tc>
      </w:tr>
    </w:tbl>
    <w:p/>
    <w:p>
      <w:pPr>
        <w:jc w:val="left"/>
      </w:pPr>
      <w:r>
        <w:t>We report the defect rather than adopting the exclusion, because the same reasoning would apply in weaker form to other top-coded quantities and we prefer one stated primary analysis to a cascade of definitional repairs. Investigators using INSPIRE for a KDIGO endpoint should nonetheless be aware that a top-coded baseline makes the outcome unattainable, and that this is invisible unless the grid is checked.</w:t>
      </w:r>
    </w:p>
    <w:p>
      <w:pPr>
        <w:pStyle w:val="Heading3"/>
        <w:keepNext/>
        <w:spacing w:line="276" w:lineRule="auto" w:before="200" w:after="80"/>
      </w:pPr>
      <w:r>
        <w:rPr>
          <w:rFonts w:ascii="Times New Roman" w:hAnsi="Times New Roman"/>
          <w:color w:val="000000"/>
        </w:rPr>
        <w:t>5.3 Which arm of the composite definition generated the event</w:t>
      </w:r>
    </w:p>
    <w:tbl>
      <w:tblPr>
        <w:tblStyle w:val="TableGrid"/>
        <w:tblW w:type="auto" w:w="0"/>
        <w:jc w:val="center"/>
        <w:tblLook w:firstColumn="1" w:firstRow="1" w:lastColumn="0" w:lastRow="0" w:noHBand="0" w:noVBand="1" w:val="04A0"/>
      </w:tblPr>
      <w:tblGrid>
        <w:gridCol w:w="1337"/>
        <w:gridCol w:w="1337"/>
        <w:gridCol w:w="1337"/>
        <w:gridCol w:w="1337"/>
        <w:gridCol w:w="1337"/>
        <w:gridCol w:w="1337"/>
        <w:gridCol w:w="1337"/>
      </w:tblGrid>
      <w:tr>
        <w:trPr>
          <w:tblHeader w:val="true"/>
          <w:cantSplit/>
        </w:trPr>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Effective rise required</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Patients</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Events</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Absolute arm involved</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Ratio arm involved</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 involving the absolute arm</w:t>
            </w:r>
          </w:p>
        </w:tc>
        <w:tc>
          <w:tcPr>
            <w:tcW w:type="dxa" w:w="1337"/>
            <w:shd w:val="clear" w:fill="E8E8E8"/>
          </w:tcPr>
          <w:p>
            <w:pPr>
              <w:spacing w:line="240" w:lineRule="auto" w:after="0"/>
            </w:pPr>
            <w:r>
              <w:rPr>
                <w:rFonts w:ascii="Times New Roman" w:hAnsi="Times New Roman"/>
                <w:b/>
                <w:sz w:val="15"/>
              </w:rPr>
            </w:r>
            <w:r>
              <w:rPr>
                <w:rFonts w:ascii="Times New Roman" w:hAnsi="Times New Roman"/>
                <w:b/>
                <w:sz w:val="15"/>
              </w:rPr>
              <w:t>AKI risk</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At or near nominal, 0.30–0.35</w:t>
            </w:r>
          </w:p>
        </w:tc>
        <w:tc>
          <w:tcPr>
            <w:tcW w:type="dxa" w:w="1337"/>
          </w:tcPr>
          <w:p>
            <w:pPr>
              <w:spacing w:line="240" w:lineRule="auto" w:after="0"/>
            </w:pPr>
            <w:r>
              <w:rPr>
                <w:rFonts w:ascii="Times New Roman" w:hAnsi="Times New Roman"/>
                <w:sz w:val="15"/>
              </w:rPr>
            </w:r>
            <w:r>
              <w:rPr>
                <w:rFonts w:ascii="Times New Roman" w:hAnsi="Times New Roman"/>
                <w:sz w:val="15"/>
              </w:rPr>
              <w:t>799</w:t>
            </w:r>
          </w:p>
        </w:tc>
        <w:tc>
          <w:tcPr>
            <w:tcW w:type="dxa" w:w="1337"/>
          </w:tcPr>
          <w:p>
            <w:pPr>
              <w:spacing w:line="240" w:lineRule="auto" w:after="0"/>
            </w:pPr>
            <w:r>
              <w:rPr>
                <w:rFonts w:ascii="Times New Roman" w:hAnsi="Times New Roman"/>
                <w:sz w:val="15"/>
              </w:rPr>
            </w:r>
            <w:r>
              <w:rPr>
                <w:rFonts w:ascii="Times New Roman" w:hAnsi="Times New Roman"/>
                <w:sz w:val="15"/>
              </w:rPr>
              <w:t>219</w:t>
            </w:r>
          </w:p>
        </w:tc>
        <w:tc>
          <w:tcPr>
            <w:tcW w:type="dxa" w:w="1337"/>
          </w:tcPr>
          <w:p>
            <w:pPr>
              <w:spacing w:line="240" w:lineRule="auto" w:after="0"/>
            </w:pPr>
            <w:r>
              <w:rPr>
                <w:rFonts w:ascii="Times New Roman" w:hAnsi="Times New Roman"/>
                <w:sz w:val="15"/>
              </w:rPr>
            </w:r>
            <w:r>
              <w:rPr>
                <w:rFonts w:ascii="Times New Roman" w:hAnsi="Times New Roman"/>
                <w:sz w:val="15"/>
              </w:rPr>
              <w:t>185</w:t>
            </w:r>
          </w:p>
        </w:tc>
        <w:tc>
          <w:tcPr>
            <w:tcW w:type="dxa" w:w="1337"/>
          </w:tcPr>
          <w:p>
            <w:pPr>
              <w:spacing w:line="240" w:lineRule="auto" w:after="0"/>
            </w:pPr>
            <w:r>
              <w:rPr>
                <w:rFonts w:ascii="Times New Roman" w:hAnsi="Times New Roman"/>
                <w:sz w:val="15"/>
              </w:rPr>
            </w:r>
            <w:r>
              <w:rPr>
                <w:rFonts w:ascii="Times New Roman" w:hAnsi="Times New Roman"/>
                <w:sz w:val="15"/>
              </w:rPr>
              <w:t>151</w:t>
            </w:r>
          </w:p>
        </w:tc>
        <w:tc>
          <w:tcPr>
            <w:tcW w:type="dxa" w:w="1337"/>
          </w:tcPr>
          <w:p>
            <w:pPr>
              <w:spacing w:line="240" w:lineRule="auto" w:after="0"/>
            </w:pPr>
            <w:r>
              <w:rPr>
                <w:rFonts w:ascii="Times New Roman" w:hAnsi="Times New Roman"/>
                <w:sz w:val="15"/>
              </w:rPr>
            </w:r>
            <w:r>
              <w:rPr>
                <w:rFonts w:ascii="Times New Roman" w:hAnsi="Times New Roman"/>
                <w:sz w:val="15"/>
              </w:rPr>
              <w:t>84.5%</w:t>
            </w:r>
          </w:p>
        </w:tc>
        <w:tc>
          <w:tcPr>
            <w:tcW w:type="dxa" w:w="1337"/>
          </w:tcPr>
          <w:p>
            <w:pPr>
              <w:spacing w:line="240" w:lineRule="auto" w:after="0"/>
            </w:pPr>
            <w:r>
              <w:rPr>
                <w:rFonts w:ascii="Times New Roman" w:hAnsi="Times New Roman"/>
                <w:sz w:val="15"/>
              </w:rPr>
            </w:r>
            <w:r>
              <w:rPr>
                <w:rFonts w:ascii="Times New Roman" w:hAnsi="Times New Roman"/>
                <w:sz w:val="15"/>
              </w:rPr>
              <w:t>27.4%</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Moderately inflated, 0.35–0.50</w:t>
            </w:r>
          </w:p>
        </w:tc>
        <w:tc>
          <w:tcPr>
            <w:tcW w:type="dxa" w:w="1337"/>
          </w:tcPr>
          <w:p>
            <w:pPr>
              <w:spacing w:line="240" w:lineRule="auto" w:after="0"/>
            </w:pPr>
            <w:r>
              <w:rPr>
                <w:rFonts w:ascii="Times New Roman" w:hAnsi="Times New Roman"/>
                <w:sz w:val="15"/>
              </w:rPr>
            </w:r>
            <w:r>
              <w:rPr>
                <w:rFonts w:ascii="Times New Roman" w:hAnsi="Times New Roman"/>
                <w:sz w:val="15"/>
              </w:rPr>
              <w:t>931</w:t>
            </w:r>
          </w:p>
        </w:tc>
        <w:tc>
          <w:tcPr>
            <w:tcW w:type="dxa" w:w="1337"/>
          </w:tcPr>
          <w:p>
            <w:pPr>
              <w:spacing w:line="240" w:lineRule="auto" w:after="0"/>
            </w:pPr>
            <w:r>
              <w:rPr>
                <w:rFonts w:ascii="Times New Roman" w:hAnsi="Times New Roman"/>
                <w:sz w:val="15"/>
              </w:rPr>
            </w:r>
            <w:r>
              <w:rPr>
                <w:rFonts w:ascii="Times New Roman" w:hAnsi="Times New Roman"/>
                <w:sz w:val="15"/>
              </w:rPr>
              <w:t>312</w:t>
            </w:r>
          </w:p>
        </w:tc>
        <w:tc>
          <w:tcPr>
            <w:tcW w:type="dxa" w:w="1337"/>
          </w:tcPr>
          <w:p>
            <w:pPr>
              <w:spacing w:line="240" w:lineRule="auto" w:after="0"/>
            </w:pPr>
            <w:r>
              <w:rPr>
                <w:rFonts w:ascii="Times New Roman" w:hAnsi="Times New Roman"/>
                <w:sz w:val="15"/>
              </w:rPr>
            </w:r>
            <w:r>
              <w:rPr>
                <w:rFonts w:ascii="Times New Roman" w:hAnsi="Times New Roman"/>
                <w:sz w:val="15"/>
              </w:rPr>
              <w:t>298</w:t>
            </w:r>
          </w:p>
        </w:tc>
        <w:tc>
          <w:tcPr>
            <w:tcW w:type="dxa" w:w="1337"/>
          </w:tcPr>
          <w:p>
            <w:pPr>
              <w:spacing w:line="240" w:lineRule="auto" w:after="0"/>
            </w:pPr>
            <w:r>
              <w:rPr>
                <w:rFonts w:ascii="Times New Roman" w:hAnsi="Times New Roman"/>
                <w:sz w:val="15"/>
              </w:rPr>
            </w:r>
            <w:r>
              <w:rPr>
                <w:rFonts w:ascii="Times New Roman" w:hAnsi="Times New Roman"/>
                <w:sz w:val="15"/>
              </w:rPr>
              <w:t>103</w:t>
            </w:r>
          </w:p>
        </w:tc>
        <w:tc>
          <w:tcPr>
            <w:tcW w:type="dxa" w:w="1337"/>
          </w:tcPr>
          <w:p>
            <w:pPr>
              <w:spacing w:line="240" w:lineRule="auto" w:after="0"/>
            </w:pPr>
            <w:r>
              <w:rPr>
                <w:rFonts w:ascii="Times New Roman" w:hAnsi="Times New Roman"/>
                <w:sz w:val="15"/>
              </w:rPr>
            </w:r>
            <w:r>
              <w:rPr>
                <w:rFonts w:ascii="Times New Roman" w:hAnsi="Times New Roman"/>
                <w:sz w:val="15"/>
              </w:rPr>
              <w:t>95.5%</w:t>
            </w:r>
          </w:p>
        </w:tc>
        <w:tc>
          <w:tcPr>
            <w:tcW w:type="dxa" w:w="1337"/>
          </w:tcPr>
          <w:p>
            <w:pPr>
              <w:spacing w:line="240" w:lineRule="auto" w:after="0"/>
            </w:pPr>
            <w:r>
              <w:rPr>
                <w:rFonts w:ascii="Times New Roman" w:hAnsi="Times New Roman"/>
                <w:sz w:val="15"/>
              </w:rPr>
            </w:r>
            <w:r>
              <w:rPr>
                <w:rFonts w:ascii="Times New Roman" w:hAnsi="Times New Roman"/>
                <w:sz w:val="15"/>
              </w:rPr>
              <w:t>33.5%</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Substantially inflated, 0.50–1.00</w:t>
            </w:r>
          </w:p>
        </w:tc>
        <w:tc>
          <w:tcPr>
            <w:tcW w:type="dxa" w:w="1337"/>
          </w:tcPr>
          <w:p>
            <w:pPr>
              <w:spacing w:line="240" w:lineRule="auto" w:after="0"/>
            </w:pPr>
            <w:r>
              <w:rPr>
                <w:rFonts w:ascii="Times New Roman" w:hAnsi="Times New Roman"/>
                <w:sz w:val="15"/>
              </w:rPr>
            </w:r>
            <w:r>
              <w:rPr>
                <w:rFonts w:ascii="Times New Roman" w:hAnsi="Times New Roman"/>
                <w:sz w:val="15"/>
              </w:rPr>
              <w:t>404</w:t>
            </w:r>
          </w:p>
        </w:tc>
        <w:tc>
          <w:tcPr>
            <w:tcW w:type="dxa" w:w="1337"/>
          </w:tcPr>
          <w:p>
            <w:pPr>
              <w:spacing w:line="240" w:lineRule="auto" w:after="0"/>
            </w:pPr>
            <w:r>
              <w:rPr>
                <w:rFonts w:ascii="Times New Roman" w:hAnsi="Times New Roman"/>
                <w:sz w:val="15"/>
              </w:rPr>
            </w:r>
            <w:r>
              <w:rPr>
                <w:rFonts w:ascii="Times New Roman" w:hAnsi="Times New Roman"/>
                <w:sz w:val="15"/>
              </w:rPr>
              <w:t>123</w:t>
            </w:r>
          </w:p>
        </w:tc>
        <w:tc>
          <w:tcPr>
            <w:tcW w:type="dxa" w:w="1337"/>
          </w:tcPr>
          <w:p>
            <w:pPr>
              <w:spacing w:line="240" w:lineRule="auto" w:after="0"/>
            </w:pPr>
            <w:r>
              <w:rPr>
                <w:rFonts w:ascii="Times New Roman" w:hAnsi="Times New Roman"/>
                <w:sz w:val="15"/>
              </w:rPr>
            </w:r>
            <w:r>
              <w:rPr>
                <w:rFonts w:ascii="Times New Roman" w:hAnsi="Times New Roman"/>
                <w:sz w:val="15"/>
              </w:rPr>
              <w:t>113</w:t>
            </w:r>
          </w:p>
        </w:tc>
        <w:tc>
          <w:tcPr>
            <w:tcW w:type="dxa" w:w="1337"/>
          </w:tcPr>
          <w:p>
            <w:pPr>
              <w:spacing w:line="240" w:lineRule="auto" w:after="0"/>
            </w:pPr>
            <w:r>
              <w:rPr>
                <w:rFonts w:ascii="Times New Roman" w:hAnsi="Times New Roman"/>
                <w:sz w:val="15"/>
              </w:rPr>
            </w:r>
            <w:r>
              <w:rPr>
                <w:rFonts w:ascii="Times New Roman" w:hAnsi="Times New Roman"/>
                <w:sz w:val="15"/>
              </w:rPr>
              <w:t>63</w:t>
            </w:r>
          </w:p>
        </w:tc>
        <w:tc>
          <w:tcPr>
            <w:tcW w:type="dxa" w:w="1337"/>
          </w:tcPr>
          <w:p>
            <w:pPr>
              <w:spacing w:line="240" w:lineRule="auto" w:after="0"/>
            </w:pPr>
            <w:r>
              <w:rPr>
                <w:rFonts w:ascii="Times New Roman" w:hAnsi="Times New Roman"/>
                <w:sz w:val="15"/>
              </w:rPr>
            </w:r>
            <w:r>
              <w:rPr>
                <w:rFonts w:ascii="Times New Roman" w:hAnsi="Times New Roman"/>
                <w:sz w:val="15"/>
              </w:rPr>
              <w:t>91.9%</w:t>
            </w:r>
          </w:p>
        </w:tc>
        <w:tc>
          <w:tcPr>
            <w:tcW w:type="dxa" w:w="1337"/>
          </w:tcPr>
          <w:p>
            <w:pPr>
              <w:spacing w:line="240" w:lineRule="auto" w:after="0"/>
            </w:pPr>
            <w:r>
              <w:rPr>
                <w:rFonts w:ascii="Times New Roman" w:hAnsi="Times New Roman"/>
                <w:sz w:val="15"/>
              </w:rPr>
            </w:r>
            <w:r>
              <w:rPr>
                <w:rFonts w:ascii="Times New Roman" w:hAnsi="Times New Roman"/>
                <w:sz w:val="15"/>
              </w:rPr>
              <w:t>30.4%</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Severely inflated, above 1.00</w:t>
            </w:r>
          </w:p>
        </w:tc>
        <w:tc>
          <w:tcPr>
            <w:tcW w:type="dxa" w:w="1337"/>
          </w:tcPr>
          <w:p>
            <w:pPr>
              <w:spacing w:line="240" w:lineRule="auto" w:after="0"/>
            </w:pPr>
            <w:r>
              <w:rPr>
                <w:rFonts w:ascii="Times New Roman" w:hAnsi="Times New Roman"/>
                <w:sz w:val="15"/>
              </w:rPr>
            </w:r>
            <w:r>
              <w:rPr>
                <w:rFonts w:ascii="Times New Roman" w:hAnsi="Times New Roman"/>
                <w:sz w:val="15"/>
              </w:rPr>
              <w:t>172</w:t>
            </w:r>
          </w:p>
        </w:tc>
        <w:tc>
          <w:tcPr>
            <w:tcW w:type="dxa" w:w="1337"/>
          </w:tcPr>
          <w:p>
            <w:pPr>
              <w:spacing w:line="240" w:lineRule="auto" w:after="0"/>
            </w:pPr>
            <w:r>
              <w:rPr>
                <w:rFonts w:ascii="Times New Roman" w:hAnsi="Times New Roman"/>
                <w:sz w:val="15"/>
              </w:rPr>
            </w:r>
            <w:r>
              <w:rPr>
                <w:rFonts w:ascii="Times New Roman" w:hAnsi="Times New Roman"/>
                <w:sz w:val="15"/>
              </w:rPr>
              <w:t>73</w:t>
            </w:r>
          </w:p>
        </w:tc>
        <w:tc>
          <w:tcPr>
            <w:tcW w:type="dxa" w:w="1337"/>
          </w:tcPr>
          <w:p>
            <w:pPr>
              <w:spacing w:line="240" w:lineRule="auto" w:after="0"/>
            </w:pPr>
            <w:r>
              <w:rPr>
                <w:rFonts w:ascii="Times New Roman" w:hAnsi="Times New Roman"/>
                <w:sz w:val="15"/>
              </w:rPr>
            </w:r>
            <w:r>
              <w:rPr>
                <w:rFonts w:ascii="Times New Roman" w:hAnsi="Times New Roman"/>
                <w:sz w:val="15"/>
              </w:rPr>
              <w:t>53</w:t>
            </w:r>
          </w:p>
        </w:tc>
        <w:tc>
          <w:tcPr>
            <w:tcW w:type="dxa" w:w="1337"/>
          </w:tcPr>
          <w:p>
            <w:pPr>
              <w:spacing w:line="240" w:lineRule="auto" w:after="0"/>
            </w:pPr>
            <w:r>
              <w:rPr>
                <w:rFonts w:ascii="Times New Roman" w:hAnsi="Times New Roman"/>
                <w:sz w:val="15"/>
              </w:rPr>
            </w:r>
            <w:r>
              <w:rPr>
                <w:rFonts w:ascii="Times New Roman" w:hAnsi="Times New Roman"/>
                <w:sz w:val="15"/>
              </w:rPr>
              <w:t>73</w:t>
            </w:r>
          </w:p>
        </w:tc>
        <w:tc>
          <w:tcPr>
            <w:tcW w:type="dxa" w:w="1337"/>
          </w:tcPr>
          <w:p>
            <w:pPr>
              <w:spacing w:line="240" w:lineRule="auto" w:after="0"/>
            </w:pPr>
            <w:r>
              <w:rPr>
                <w:rFonts w:ascii="Times New Roman" w:hAnsi="Times New Roman"/>
                <w:sz w:val="15"/>
              </w:rPr>
            </w:r>
            <w:r>
              <w:rPr>
                <w:rFonts w:ascii="Times New Roman" w:hAnsi="Times New Roman"/>
                <w:sz w:val="15"/>
              </w:rPr>
              <w:t>72.6%</w:t>
            </w:r>
          </w:p>
        </w:tc>
        <w:tc>
          <w:tcPr>
            <w:tcW w:type="dxa" w:w="1337"/>
          </w:tcPr>
          <w:p>
            <w:pPr>
              <w:spacing w:line="240" w:lineRule="auto" w:after="0"/>
            </w:pPr>
            <w:r>
              <w:rPr>
                <w:rFonts w:ascii="Times New Roman" w:hAnsi="Times New Roman"/>
                <w:sz w:val="15"/>
              </w:rPr>
            </w:r>
            <w:r>
              <w:rPr>
                <w:rFonts w:ascii="Times New Roman" w:hAnsi="Times New Roman"/>
                <w:sz w:val="15"/>
              </w:rPr>
              <w:t>42.4%</w:t>
            </w:r>
          </w:p>
        </w:tc>
      </w:tr>
      <w:tr>
        <w:trPr>
          <w:cantSplit/>
        </w:trPr>
        <w:tc>
          <w:tcPr>
            <w:tcW w:type="dxa" w:w="1337"/>
          </w:tcPr>
          <w:p>
            <w:pPr>
              <w:spacing w:line="240" w:lineRule="auto" w:after="0"/>
            </w:pPr>
            <w:r>
              <w:rPr>
                <w:rFonts w:ascii="Times New Roman" w:hAnsi="Times New Roman"/>
                <w:sz w:val="15"/>
              </w:rPr>
            </w:r>
            <w:r>
              <w:rPr>
                <w:rFonts w:ascii="Times New Roman" w:hAnsi="Times New Roman"/>
                <w:sz w:val="15"/>
              </w:rPr>
              <w:t>Criterion unattainable</w:t>
            </w:r>
          </w:p>
        </w:tc>
        <w:tc>
          <w:tcPr>
            <w:tcW w:type="dxa" w:w="1337"/>
          </w:tcPr>
          <w:p>
            <w:pPr>
              <w:spacing w:line="240" w:lineRule="auto" w:after="0"/>
            </w:pPr>
            <w:r>
              <w:rPr>
                <w:rFonts w:ascii="Times New Roman" w:hAnsi="Times New Roman"/>
                <w:sz w:val="15"/>
              </w:rPr>
            </w:r>
            <w:r>
              <w:rPr>
                <w:rFonts w:ascii="Times New Roman" w:hAnsi="Times New Roman"/>
                <w:sz w:val="15"/>
              </w:rPr>
              <w:t>59</w:t>
            </w:r>
          </w:p>
        </w:tc>
        <w:tc>
          <w:tcPr>
            <w:tcW w:type="dxa" w:w="1337"/>
          </w:tcPr>
          <w:p>
            <w:pPr>
              <w:spacing w:line="240" w:lineRule="auto" w:after="0"/>
            </w:pPr>
            <w:r>
              <w:rPr>
                <w:rFonts w:ascii="Times New Roman" w:hAnsi="Times New Roman"/>
                <w:sz w:val="15"/>
              </w:rPr>
            </w:r>
            <w:r>
              <w:rPr>
                <w:rFonts w:ascii="Times New Roman" w:hAnsi="Times New Roman"/>
                <w:sz w:val="15"/>
              </w:rPr>
              <w:t>0</w:t>
            </w:r>
          </w:p>
        </w:tc>
        <w:tc>
          <w:tcPr>
            <w:tcW w:type="dxa" w:w="1337"/>
          </w:tcPr>
          <w:p>
            <w:pPr>
              <w:spacing w:line="240" w:lineRule="auto" w:after="0"/>
            </w:pPr>
            <w:r>
              <w:rPr>
                <w:rFonts w:ascii="Times New Roman" w:hAnsi="Times New Roman"/>
                <w:sz w:val="15"/>
              </w:rPr>
            </w:r>
            <w:r>
              <w:rPr>
                <w:rFonts w:ascii="Times New Roman" w:hAnsi="Times New Roman"/>
                <w:sz w:val="15"/>
              </w:rPr>
              <w:t>0</w:t>
            </w:r>
          </w:p>
        </w:tc>
        <w:tc>
          <w:tcPr>
            <w:tcW w:type="dxa" w:w="1337"/>
          </w:tcPr>
          <w:p>
            <w:pPr>
              <w:spacing w:line="240" w:lineRule="auto" w:after="0"/>
            </w:pPr>
            <w:r>
              <w:rPr>
                <w:rFonts w:ascii="Times New Roman" w:hAnsi="Times New Roman"/>
                <w:sz w:val="15"/>
              </w:rPr>
            </w:r>
            <w:r>
              <w:rPr>
                <w:rFonts w:ascii="Times New Roman" w:hAnsi="Times New Roman"/>
                <w:sz w:val="15"/>
              </w:rPr>
              <w:t>0</w:t>
            </w:r>
          </w:p>
        </w:tc>
        <w:tc>
          <w:tcPr>
            <w:tcW w:type="dxa" w:w="1337"/>
          </w:tcPr>
          <w:p>
            <w:pPr>
              <w:spacing w:line="240" w:lineRule="auto" w:after="0"/>
            </w:pPr>
            <w:r>
              <w:rPr>
                <w:rFonts w:ascii="Times New Roman" w:hAnsi="Times New Roman"/>
                <w:sz w:val="15"/>
              </w:rPr>
            </w:r>
            <w:r>
              <w:rPr>
                <w:rFonts w:ascii="Times New Roman" w:hAnsi="Times New Roman"/>
                <w:sz w:val="15"/>
              </w:rPr>
              <w:t>n/a</w:t>
            </w:r>
          </w:p>
        </w:tc>
        <w:tc>
          <w:tcPr>
            <w:tcW w:type="dxa" w:w="1337"/>
          </w:tcPr>
          <w:p>
            <w:pPr>
              <w:spacing w:line="240" w:lineRule="auto" w:after="0"/>
            </w:pPr>
            <w:r>
              <w:rPr>
                <w:rFonts w:ascii="Times New Roman" w:hAnsi="Times New Roman"/>
                <w:sz w:val="15"/>
              </w:rPr>
            </w:r>
            <w:r>
              <w:rPr>
                <w:rFonts w:ascii="Times New Roman" w:hAnsi="Times New Roman"/>
                <w:sz w:val="15"/>
              </w:rPr>
              <w:t>0.0%</w:t>
            </w:r>
          </w:p>
        </w:tc>
      </w:tr>
    </w:tbl>
    <w:p/>
    <w:p>
      <w:pPr>
        <w:jc w:val="left"/>
      </w:pPr>
      <w:r>
        <w:t>Counts of the two arms overlap, because an event can satisfy both. The absolute arm dominates event generation everywhere except in the severely inflated band, where the ratio arm takes over entirely. That is what should happen, since a patient needing a 1.35 mg/dL rise to satisfy the absolute arm will usually cross 1.5 times baseline first. The gradient in observed AKI risk across bands reflects baseline renal function, which is adjusted for in every model reported.</w:t>
      </w:r>
    </w:p>
    <w:p>
      <w:pPr>
        <w:pStyle w:val="Heading2"/>
        <w:keepNext/>
        <w:spacing w:line="276" w:lineRule="auto" w:before="200" w:after="80"/>
      </w:pPr>
      <w:r>
        <w:rPr>
          <w:rFonts w:ascii="Times New Roman" w:hAnsi="Times New Roman"/>
          <w:color w:val="000000"/>
        </w:rPr>
        <w:t>6. Renal observation process in the landmark risk set</w:t>
      </w:r>
    </w:p>
    <w:p>
      <w:pPr>
        <w:jc w:val="left"/>
      </w:pPr>
      <w:r>
        <w:t>Sampling intensity by lactate stratum, primary cohort, among patients at risk after the landmark. Values are median (interquartile range).</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cantSplit/>
        </w:trPr>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Lactate stratum</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n</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Lactate results in the 0–24 h exposure window</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Creatinine results after the landmark</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Hours to first post-landmark creatinine</w:t>
            </w:r>
          </w:p>
        </w:tc>
        <w:tc>
          <w:tcPr>
            <w:tcW w:type="dxa" w:w="1560"/>
            <w:shd w:val="clear" w:fill="E8E8E8"/>
          </w:tcPr>
          <w:p>
            <w:pPr>
              <w:spacing w:line="240" w:lineRule="auto" w:after="0"/>
            </w:pPr>
            <w:r>
              <w:rPr>
                <w:rFonts w:ascii="Times New Roman" w:hAnsi="Times New Roman"/>
                <w:b/>
                <w:sz w:val="15"/>
              </w:rPr>
            </w:r>
            <w:r>
              <w:rPr>
                <w:rFonts w:ascii="Times New Roman" w:hAnsi="Times New Roman"/>
                <w:b/>
                <w:sz w:val="15"/>
              </w:rPr>
              <w:t>Creatinine results per day of follow-up</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≤1.9</w:t>
            </w:r>
          </w:p>
        </w:tc>
        <w:tc>
          <w:tcPr>
            <w:tcW w:type="dxa" w:w="1560"/>
          </w:tcPr>
          <w:p>
            <w:pPr>
              <w:spacing w:line="240" w:lineRule="auto" w:after="0"/>
            </w:pPr>
            <w:r>
              <w:rPr>
                <w:rFonts w:ascii="Times New Roman" w:hAnsi="Times New Roman"/>
                <w:sz w:val="15"/>
              </w:rPr>
            </w:r>
            <w:r>
              <w:rPr>
                <w:rFonts w:ascii="Times New Roman" w:hAnsi="Times New Roman"/>
                <w:sz w:val="15"/>
              </w:rPr>
              <w:t>714</w:t>
            </w:r>
          </w:p>
        </w:tc>
        <w:tc>
          <w:tcPr>
            <w:tcW w:type="dxa" w:w="1560"/>
          </w:tcPr>
          <w:p>
            <w:pPr>
              <w:spacing w:line="240" w:lineRule="auto" w:after="0"/>
            </w:pPr>
            <w:r>
              <w:rPr>
                <w:rFonts w:ascii="Times New Roman" w:hAnsi="Times New Roman"/>
                <w:sz w:val="15"/>
              </w:rPr>
            </w:r>
            <w:r>
              <w:rPr>
                <w:rFonts w:ascii="Times New Roman" w:hAnsi="Times New Roman"/>
                <w:b/>
                <w:sz w:val="15"/>
              </w:rPr>
              <w:t>3 (1–7)</w:t>
            </w:r>
          </w:p>
        </w:tc>
        <w:tc>
          <w:tcPr>
            <w:tcW w:type="dxa" w:w="1560"/>
          </w:tcPr>
          <w:p>
            <w:pPr>
              <w:spacing w:line="240" w:lineRule="auto" w:after="0"/>
            </w:pPr>
            <w:r>
              <w:rPr>
                <w:rFonts w:ascii="Times New Roman" w:hAnsi="Times New Roman"/>
                <w:sz w:val="15"/>
              </w:rPr>
            </w:r>
            <w:r>
              <w:rPr>
                <w:rFonts w:ascii="Times New Roman" w:hAnsi="Times New Roman"/>
                <w:sz w:val="15"/>
              </w:rPr>
              <w:t>6 (5–8)</w:t>
            </w:r>
          </w:p>
        </w:tc>
        <w:tc>
          <w:tcPr>
            <w:tcW w:type="dxa" w:w="1560"/>
          </w:tcPr>
          <w:p>
            <w:pPr>
              <w:spacing w:line="240" w:lineRule="auto" w:after="0"/>
            </w:pPr>
            <w:r>
              <w:rPr>
                <w:rFonts w:ascii="Times New Roman" w:hAnsi="Times New Roman"/>
                <w:sz w:val="15"/>
              </w:rPr>
            </w:r>
            <w:r>
              <w:rPr>
                <w:rFonts w:ascii="Times New Roman" w:hAnsi="Times New Roman"/>
                <w:sz w:val="15"/>
              </w:rPr>
              <w:t>8.2 (4.1–13.2)</w:t>
            </w:r>
          </w:p>
        </w:tc>
        <w:tc>
          <w:tcPr>
            <w:tcW w:type="dxa" w:w="1560"/>
          </w:tcPr>
          <w:p>
            <w:pPr>
              <w:spacing w:line="240" w:lineRule="auto" w:after="0"/>
            </w:pPr>
            <w:r>
              <w:rPr>
                <w:rFonts w:ascii="Times New Roman" w:hAnsi="Times New Roman"/>
                <w:sz w:val="15"/>
              </w:rPr>
            </w:r>
            <w:r>
              <w:rPr>
                <w:rFonts w:ascii="Times New Roman" w:hAnsi="Times New Roman"/>
                <w:sz w:val="15"/>
              </w:rPr>
              <w:t>1.3 (1.1–1.6)</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2.1–3.0</w:t>
            </w:r>
          </w:p>
        </w:tc>
        <w:tc>
          <w:tcPr>
            <w:tcW w:type="dxa" w:w="1560"/>
          </w:tcPr>
          <w:p>
            <w:pPr>
              <w:spacing w:line="240" w:lineRule="auto" w:after="0"/>
            </w:pPr>
            <w:r>
              <w:rPr>
                <w:rFonts w:ascii="Times New Roman" w:hAnsi="Times New Roman"/>
                <w:sz w:val="15"/>
              </w:rPr>
            </w:r>
            <w:r>
              <w:rPr>
                <w:rFonts w:ascii="Times New Roman" w:hAnsi="Times New Roman"/>
                <w:sz w:val="15"/>
              </w:rPr>
              <w:t>476</w:t>
            </w:r>
          </w:p>
        </w:tc>
        <w:tc>
          <w:tcPr>
            <w:tcW w:type="dxa" w:w="1560"/>
          </w:tcPr>
          <w:p>
            <w:pPr>
              <w:spacing w:line="240" w:lineRule="auto" w:after="0"/>
            </w:pPr>
            <w:r>
              <w:rPr>
                <w:rFonts w:ascii="Times New Roman" w:hAnsi="Times New Roman"/>
                <w:sz w:val="15"/>
              </w:rPr>
            </w:r>
            <w:r>
              <w:rPr>
                <w:rFonts w:ascii="Times New Roman" w:hAnsi="Times New Roman"/>
                <w:b/>
                <w:sz w:val="15"/>
              </w:rPr>
              <w:t>6 (3–9)</w:t>
            </w:r>
          </w:p>
        </w:tc>
        <w:tc>
          <w:tcPr>
            <w:tcW w:type="dxa" w:w="1560"/>
          </w:tcPr>
          <w:p>
            <w:pPr>
              <w:spacing w:line="240" w:lineRule="auto" w:after="0"/>
            </w:pPr>
            <w:r>
              <w:rPr>
                <w:rFonts w:ascii="Times New Roman" w:hAnsi="Times New Roman"/>
                <w:sz w:val="15"/>
              </w:rPr>
            </w:r>
            <w:r>
              <w:rPr>
                <w:rFonts w:ascii="Times New Roman" w:hAnsi="Times New Roman"/>
                <w:sz w:val="15"/>
              </w:rPr>
              <w:t>6 (4–8)</w:t>
            </w:r>
          </w:p>
        </w:tc>
        <w:tc>
          <w:tcPr>
            <w:tcW w:type="dxa" w:w="1560"/>
          </w:tcPr>
          <w:p>
            <w:pPr>
              <w:spacing w:line="240" w:lineRule="auto" w:after="0"/>
            </w:pPr>
            <w:r>
              <w:rPr>
                <w:rFonts w:ascii="Times New Roman" w:hAnsi="Times New Roman"/>
                <w:sz w:val="15"/>
              </w:rPr>
            </w:r>
            <w:r>
              <w:rPr>
                <w:rFonts w:ascii="Times New Roman" w:hAnsi="Times New Roman"/>
                <w:sz w:val="15"/>
              </w:rPr>
              <w:t>9.1 (4.0–16.6)</w:t>
            </w:r>
          </w:p>
        </w:tc>
        <w:tc>
          <w:tcPr>
            <w:tcW w:type="dxa" w:w="1560"/>
          </w:tcPr>
          <w:p>
            <w:pPr>
              <w:spacing w:line="240" w:lineRule="auto" w:after="0"/>
            </w:pPr>
            <w:r>
              <w:rPr>
                <w:rFonts w:ascii="Times New Roman" w:hAnsi="Times New Roman"/>
                <w:sz w:val="15"/>
              </w:rPr>
            </w:r>
            <w:r>
              <w:rPr>
                <w:rFonts w:ascii="Times New Roman" w:hAnsi="Times New Roman"/>
                <w:sz w:val="15"/>
              </w:rPr>
              <w:t>1.3 (1.0–1.7)</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3.8–5.9</w:t>
            </w:r>
          </w:p>
        </w:tc>
        <w:tc>
          <w:tcPr>
            <w:tcW w:type="dxa" w:w="1560"/>
          </w:tcPr>
          <w:p>
            <w:pPr>
              <w:spacing w:line="240" w:lineRule="auto" w:after="0"/>
            </w:pPr>
            <w:r>
              <w:rPr>
                <w:rFonts w:ascii="Times New Roman" w:hAnsi="Times New Roman"/>
                <w:sz w:val="15"/>
              </w:rPr>
            </w:r>
            <w:r>
              <w:rPr>
                <w:rFonts w:ascii="Times New Roman" w:hAnsi="Times New Roman"/>
                <w:sz w:val="15"/>
              </w:rPr>
              <w:t>541</w:t>
            </w:r>
          </w:p>
        </w:tc>
        <w:tc>
          <w:tcPr>
            <w:tcW w:type="dxa" w:w="1560"/>
          </w:tcPr>
          <w:p>
            <w:pPr>
              <w:spacing w:line="240" w:lineRule="auto" w:after="0"/>
            </w:pPr>
            <w:r>
              <w:rPr>
                <w:rFonts w:ascii="Times New Roman" w:hAnsi="Times New Roman"/>
                <w:sz w:val="15"/>
              </w:rPr>
            </w:r>
            <w:r>
              <w:rPr>
                <w:rFonts w:ascii="Times New Roman" w:hAnsi="Times New Roman"/>
                <w:b/>
                <w:sz w:val="15"/>
              </w:rPr>
              <w:t>8 (6–10)</w:t>
            </w:r>
          </w:p>
        </w:tc>
        <w:tc>
          <w:tcPr>
            <w:tcW w:type="dxa" w:w="1560"/>
          </w:tcPr>
          <w:p>
            <w:pPr>
              <w:spacing w:line="240" w:lineRule="auto" w:after="0"/>
            </w:pPr>
            <w:r>
              <w:rPr>
                <w:rFonts w:ascii="Times New Roman" w:hAnsi="Times New Roman"/>
                <w:sz w:val="15"/>
              </w:rPr>
            </w:r>
            <w:r>
              <w:rPr>
                <w:rFonts w:ascii="Times New Roman" w:hAnsi="Times New Roman"/>
                <w:sz w:val="15"/>
              </w:rPr>
              <w:t>7 (4–10)</w:t>
            </w:r>
          </w:p>
        </w:tc>
        <w:tc>
          <w:tcPr>
            <w:tcW w:type="dxa" w:w="1560"/>
          </w:tcPr>
          <w:p>
            <w:pPr>
              <w:spacing w:line="240" w:lineRule="auto" w:after="0"/>
            </w:pPr>
            <w:r>
              <w:rPr>
                <w:rFonts w:ascii="Times New Roman" w:hAnsi="Times New Roman"/>
                <w:sz w:val="15"/>
              </w:rPr>
            </w:r>
            <w:r>
              <w:rPr>
                <w:rFonts w:ascii="Times New Roman" w:hAnsi="Times New Roman"/>
                <w:sz w:val="15"/>
              </w:rPr>
              <w:t>6.9 (3.0–15.8)</w:t>
            </w:r>
          </w:p>
        </w:tc>
        <w:tc>
          <w:tcPr>
            <w:tcW w:type="dxa" w:w="1560"/>
          </w:tcPr>
          <w:p>
            <w:pPr>
              <w:spacing w:line="240" w:lineRule="auto" w:after="0"/>
            </w:pPr>
            <w:r>
              <w:rPr>
                <w:rFonts w:ascii="Times New Roman" w:hAnsi="Times New Roman"/>
                <w:sz w:val="15"/>
              </w:rPr>
            </w:r>
            <w:r>
              <w:rPr>
                <w:rFonts w:ascii="Times New Roman" w:hAnsi="Times New Roman"/>
                <w:sz w:val="15"/>
              </w:rPr>
              <w:t>1.4 (1.1–2.0)</w:t>
            </w:r>
          </w:p>
        </w:tc>
      </w:tr>
      <w:tr>
        <w:trPr>
          <w:cantSplit/>
        </w:trPr>
        <w:tc>
          <w:tcPr>
            <w:tcW w:type="dxa" w:w="1560"/>
          </w:tcPr>
          <w:p>
            <w:pPr>
              <w:spacing w:line="240" w:lineRule="auto" w:after="0"/>
            </w:pPr>
            <w:r>
              <w:rPr>
                <w:rFonts w:ascii="Times New Roman" w:hAnsi="Times New Roman"/>
                <w:sz w:val="15"/>
              </w:rPr>
            </w:r>
            <w:r>
              <w:rPr>
                <w:rFonts w:ascii="Times New Roman" w:hAnsi="Times New Roman"/>
                <w:sz w:val="15"/>
              </w:rPr>
              <w:t>8.6 (capped)</w:t>
            </w:r>
          </w:p>
        </w:tc>
        <w:tc>
          <w:tcPr>
            <w:tcW w:type="dxa" w:w="1560"/>
          </w:tcPr>
          <w:p>
            <w:pPr>
              <w:spacing w:line="240" w:lineRule="auto" w:after="0"/>
            </w:pPr>
            <w:r>
              <w:rPr>
                <w:rFonts w:ascii="Times New Roman" w:hAnsi="Times New Roman"/>
                <w:sz w:val="15"/>
              </w:rPr>
            </w:r>
            <w:r>
              <w:rPr>
                <w:rFonts w:ascii="Times New Roman" w:hAnsi="Times New Roman"/>
                <w:sz w:val="15"/>
              </w:rPr>
              <w:t>103</w:t>
            </w:r>
          </w:p>
        </w:tc>
        <w:tc>
          <w:tcPr>
            <w:tcW w:type="dxa" w:w="1560"/>
          </w:tcPr>
          <w:p>
            <w:pPr>
              <w:spacing w:line="240" w:lineRule="auto" w:after="0"/>
            </w:pPr>
            <w:r>
              <w:rPr>
                <w:rFonts w:ascii="Times New Roman" w:hAnsi="Times New Roman"/>
                <w:sz w:val="15"/>
              </w:rPr>
            </w:r>
            <w:r>
              <w:rPr>
                <w:rFonts w:ascii="Times New Roman" w:hAnsi="Times New Roman"/>
                <w:b/>
                <w:sz w:val="15"/>
              </w:rPr>
              <w:t>10 (8–13)</w:t>
            </w:r>
          </w:p>
        </w:tc>
        <w:tc>
          <w:tcPr>
            <w:tcW w:type="dxa" w:w="1560"/>
          </w:tcPr>
          <w:p>
            <w:pPr>
              <w:spacing w:line="240" w:lineRule="auto" w:after="0"/>
            </w:pPr>
            <w:r>
              <w:rPr>
                <w:rFonts w:ascii="Times New Roman" w:hAnsi="Times New Roman"/>
                <w:sz w:val="15"/>
              </w:rPr>
            </w:r>
            <w:r>
              <w:rPr>
                <w:rFonts w:ascii="Times New Roman" w:hAnsi="Times New Roman"/>
                <w:sz w:val="15"/>
              </w:rPr>
              <w:t>7 (4–11)</w:t>
            </w:r>
          </w:p>
        </w:tc>
        <w:tc>
          <w:tcPr>
            <w:tcW w:type="dxa" w:w="1560"/>
          </w:tcPr>
          <w:p>
            <w:pPr>
              <w:spacing w:line="240" w:lineRule="auto" w:after="0"/>
            </w:pPr>
            <w:r>
              <w:rPr>
                <w:rFonts w:ascii="Times New Roman" w:hAnsi="Times New Roman"/>
                <w:sz w:val="15"/>
              </w:rPr>
            </w:r>
            <w:r>
              <w:rPr>
                <w:rFonts w:ascii="Times New Roman" w:hAnsi="Times New Roman"/>
                <w:sz w:val="15"/>
              </w:rPr>
              <w:t>8.2 (1.9–16.8)</w:t>
            </w:r>
          </w:p>
        </w:tc>
        <w:tc>
          <w:tcPr>
            <w:tcW w:type="dxa" w:w="1560"/>
          </w:tcPr>
          <w:p>
            <w:pPr>
              <w:spacing w:line="240" w:lineRule="auto" w:after="0"/>
            </w:pPr>
            <w:r>
              <w:rPr>
                <w:rFonts w:ascii="Times New Roman" w:hAnsi="Times New Roman"/>
                <w:sz w:val="15"/>
              </w:rPr>
            </w:r>
            <w:r>
              <w:rPr>
                <w:rFonts w:ascii="Times New Roman" w:hAnsi="Times New Roman"/>
                <w:sz w:val="15"/>
              </w:rPr>
              <w:t>1.4 (1.0–2.2)</w:t>
            </w:r>
          </w:p>
        </w:tc>
      </w:tr>
    </w:tbl>
    <w:p/>
    <w:p>
      <w:pPr>
        <w:jc w:val="left"/>
      </w:pPr>
      <w:r>
        <w:t>The two columns behave differently and the distinction matters.</w:t>
      </w:r>
    </w:p>
    <w:p>
      <w:pPr>
        <w:jc w:val="left"/>
      </w:pPr>
      <w:r>
        <w:rPr>
          <w:b/>
        </w:rPr>
        <w:t>Exposure sampling is strongly graded.</w:t>
      </w:r>
      <w:r>
        <w:t xml:space="preserve"> Patients in the top stratum had roughly three times as many lactate results as those in the bottom stratum. Since the exposure is the peak of those results, a patient sampled ten times has more opportunity to record a high value than one sampled three times. Measurement opportunity is therefore mechanically entangled with the exposure definition, and this is the study's most important internal limitation.</w:t>
      </w:r>
    </w:p>
    <w:p>
      <w:pPr>
        <w:jc w:val="left"/>
      </w:pPr>
      <w:r>
        <w:rPr>
          <w:b/>
        </w:rPr>
        <w:t>Renal sampling requires a more careful reading.</w:t>
      </w:r>
      <w:r>
        <w:t xml:space="preserve"> The rate of creatinine testing per observed day and the delay to the first post-landmark result were similar across strata. The total observation period was not identical. Higher lactate strata tended to remain under renal observation longer, as shown by the censoring-hazard analysis in Additional file 6. Longer observation creates more opportunity to detect a qualifying creatinine result. The table therefore supports similarity in testing frequency conditional on continued follow-up, but it does not establish equal detection opportunity or non-informative censoring.</w:t>
      </w:r>
    </w:p>
    <w:p>
      <w:pPr>
        <w:pStyle w:val="Heading3"/>
        <w:keepNext/>
        <w:spacing w:line="276" w:lineRule="auto" w:before="200" w:after="80"/>
      </w:pPr>
      <w:r>
        <w:rPr>
          <w:rFonts w:ascii="Times New Roman" w:hAnsi="Times New Roman"/>
          <w:color w:val="000000"/>
        </w:rPr>
        <w:t>6.1 Targeted sensitivity analyses added during the internal methodological audit</w:t>
      </w:r>
    </w:p>
    <w:p>
      <w:pPr>
        <w:jc w:val="left"/>
      </w:pPr>
      <w:r>
        <w:t>Two post hoc analyses addressed attribution and baseline-timing concerns identified during the internal methodological audit.</w:t>
      </w:r>
    </w:p>
    <w:p>
      <w:pPr>
        <w:jc w:val="left"/>
      </w:pPr>
      <w:r>
        <w:t>The first excluded 21 patients whose first eligible operation was followed by another eligible operation within the 7-day renal window. These patients could have laboratory results attributable to either operation. Exclusion left 1,815 patients in the post-landmark risk set and 194 newly detected events. The highest-versus-lowest cause-specific hazard ratio was 1.97 (95% CI 1.11–3.51), and the per-stratum estimate was 1.23 (1.06–1.43).</w:t>
      </w:r>
    </w:p>
    <w:p>
      <w:pPr>
        <w:jc w:val="left"/>
      </w:pPr>
      <w:r>
        <w:t>The second described the age of the preoperative baseline creatinine. Among 2,365 patients, the baseline was recorded a median of 2.0 days before anaesthesia (IQR 1.0–3.7). It was within 48 hours in 1,229 patients and within 7 days in 2,306; 59 had a baseline older than 7 days. Restriction to baselines within 7 days left 1,783 patients at risk and 191 events. The highest-stratum hazard ratio was 2.15 (1.23–3.77), with a per-stratum estimate of 1.25 (1.07–1.46).</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cantSplit/>
        </w:trPr>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Sensitivity analysis</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At risk</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Events</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Highest versus lowest stratum HR (95% CI)</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Per-stratum HR (95% CI)</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Primary model</w:t>
            </w:r>
          </w:p>
        </w:tc>
        <w:tc>
          <w:tcPr>
            <w:tcW w:type="dxa" w:w="1872"/>
          </w:tcPr>
          <w:p>
            <w:pPr>
              <w:spacing w:line="240" w:lineRule="auto" w:after="0"/>
            </w:pPr>
            <w:r>
              <w:rPr>
                <w:rFonts w:ascii="Times New Roman" w:hAnsi="Times New Roman"/>
                <w:sz w:val="15"/>
              </w:rPr>
            </w:r>
            <w:r>
              <w:rPr>
                <w:rFonts w:ascii="Times New Roman" w:hAnsi="Times New Roman"/>
                <w:sz w:val="15"/>
              </w:rPr>
              <w:t>1,831</w:t>
            </w:r>
          </w:p>
        </w:tc>
        <w:tc>
          <w:tcPr>
            <w:tcW w:type="dxa" w:w="1872"/>
          </w:tcPr>
          <w:p>
            <w:pPr>
              <w:spacing w:line="240" w:lineRule="auto" w:after="0"/>
            </w:pPr>
            <w:r>
              <w:rPr>
                <w:rFonts w:ascii="Times New Roman" w:hAnsi="Times New Roman"/>
                <w:sz w:val="15"/>
              </w:rPr>
            </w:r>
            <w:r>
              <w:rPr>
                <w:rFonts w:ascii="Times New Roman" w:hAnsi="Times New Roman"/>
                <w:sz w:val="15"/>
              </w:rPr>
              <w:t>196</w:t>
            </w:r>
          </w:p>
        </w:tc>
        <w:tc>
          <w:tcPr>
            <w:tcW w:type="dxa" w:w="1872"/>
          </w:tcPr>
          <w:p>
            <w:pPr>
              <w:spacing w:line="240" w:lineRule="auto" w:after="0"/>
            </w:pPr>
            <w:r>
              <w:rPr>
                <w:rFonts w:ascii="Times New Roman" w:hAnsi="Times New Roman"/>
                <w:sz w:val="15"/>
              </w:rPr>
            </w:r>
            <w:r>
              <w:rPr>
                <w:rFonts w:ascii="Times New Roman" w:hAnsi="Times New Roman"/>
                <w:sz w:val="15"/>
              </w:rPr>
              <w:t>2.13 (1.22–3.74)</w:t>
            </w:r>
          </w:p>
        </w:tc>
        <w:tc>
          <w:tcPr>
            <w:tcW w:type="dxa" w:w="1872"/>
          </w:tcPr>
          <w:p>
            <w:pPr>
              <w:spacing w:line="240" w:lineRule="auto" w:after="0"/>
            </w:pPr>
            <w:r>
              <w:rPr>
                <w:rFonts w:ascii="Times New Roman" w:hAnsi="Times New Roman"/>
                <w:sz w:val="15"/>
              </w:rPr>
            </w:r>
            <w:r>
              <w:rPr>
                <w:rFonts w:ascii="Times New Roman" w:hAnsi="Times New Roman"/>
                <w:sz w:val="15"/>
              </w:rPr>
              <w:t>1.25 (1.08–1.45)</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Exclude a subsequent eligible operation within renal window</w:t>
            </w:r>
          </w:p>
        </w:tc>
        <w:tc>
          <w:tcPr>
            <w:tcW w:type="dxa" w:w="1872"/>
          </w:tcPr>
          <w:p>
            <w:pPr>
              <w:spacing w:line="240" w:lineRule="auto" w:after="0"/>
            </w:pPr>
            <w:r>
              <w:rPr>
                <w:rFonts w:ascii="Times New Roman" w:hAnsi="Times New Roman"/>
                <w:sz w:val="15"/>
              </w:rPr>
            </w:r>
            <w:r>
              <w:rPr>
                <w:rFonts w:ascii="Times New Roman" w:hAnsi="Times New Roman"/>
                <w:sz w:val="15"/>
              </w:rPr>
              <w:t>1,815</w:t>
            </w:r>
          </w:p>
        </w:tc>
        <w:tc>
          <w:tcPr>
            <w:tcW w:type="dxa" w:w="1872"/>
          </w:tcPr>
          <w:p>
            <w:pPr>
              <w:spacing w:line="240" w:lineRule="auto" w:after="0"/>
            </w:pPr>
            <w:r>
              <w:rPr>
                <w:rFonts w:ascii="Times New Roman" w:hAnsi="Times New Roman"/>
                <w:sz w:val="15"/>
              </w:rPr>
            </w:r>
            <w:r>
              <w:rPr>
                <w:rFonts w:ascii="Times New Roman" w:hAnsi="Times New Roman"/>
                <w:sz w:val="15"/>
              </w:rPr>
              <w:t>194</w:t>
            </w:r>
          </w:p>
        </w:tc>
        <w:tc>
          <w:tcPr>
            <w:tcW w:type="dxa" w:w="1872"/>
          </w:tcPr>
          <w:p>
            <w:pPr>
              <w:spacing w:line="240" w:lineRule="auto" w:after="0"/>
            </w:pPr>
            <w:r>
              <w:rPr>
                <w:rFonts w:ascii="Times New Roman" w:hAnsi="Times New Roman"/>
                <w:sz w:val="15"/>
              </w:rPr>
            </w:r>
            <w:r>
              <w:rPr>
                <w:rFonts w:ascii="Times New Roman" w:hAnsi="Times New Roman"/>
                <w:sz w:val="15"/>
              </w:rPr>
              <w:t>1.97 (1.11–3.51)</w:t>
            </w:r>
          </w:p>
        </w:tc>
        <w:tc>
          <w:tcPr>
            <w:tcW w:type="dxa" w:w="1872"/>
          </w:tcPr>
          <w:p>
            <w:pPr>
              <w:spacing w:line="240" w:lineRule="auto" w:after="0"/>
            </w:pPr>
            <w:r>
              <w:rPr>
                <w:rFonts w:ascii="Times New Roman" w:hAnsi="Times New Roman"/>
                <w:sz w:val="15"/>
              </w:rPr>
            </w:r>
            <w:r>
              <w:rPr>
                <w:rFonts w:ascii="Times New Roman" w:hAnsi="Times New Roman"/>
                <w:sz w:val="15"/>
              </w:rPr>
              <w:t>1.23 (1.06–1.43)</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Require baseline creatinine within 7 days</w:t>
            </w:r>
          </w:p>
        </w:tc>
        <w:tc>
          <w:tcPr>
            <w:tcW w:type="dxa" w:w="1872"/>
          </w:tcPr>
          <w:p>
            <w:pPr>
              <w:spacing w:line="240" w:lineRule="auto" w:after="0"/>
            </w:pPr>
            <w:r>
              <w:rPr>
                <w:rFonts w:ascii="Times New Roman" w:hAnsi="Times New Roman"/>
                <w:sz w:val="15"/>
              </w:rPr>
            </w:r>
            <w:r>
              <w:rPr>
                <w:rFonts w:ascii="Times New Roman" w:hAnsi="Times New Roman"/>
                <w:sz w:val="15"/>
              </w:rPr>
              <w:t>1,783</w:t>
            </w:r>
          </w:p>
        </w:tc>
        <w:tc>
          <w:tcPr>
            <w:tcW w:type="dxa" w:w="1872"/>
          </w:tcPr>
          <w:p>
            <w:pPr>
              <w:spacing w:line="240" w:lineRule="auto" w:after="0"/>
            </w:pPr>
            <w:r>
              <w:rPr>
                <w:rFonts w:ascii="Times New Roman" w:hAnsi="Times New Roman"/>
                <w:sz w:val="15"/>
              </w:rPr>
            </w:r>
            <w:r>
              <w:rPr>
                <w:rFonts w:ascii="Times New Roman" w:hAnsi="Times New Roman"/>
                <w:sz w:val="15"/>
              </w:rPr>
              <w:t>191</w:t>
            </w:r>
          </w:p>
        </w:tc>
        <w:tc>
          <w:tcPr>
            <w:tcW w:type="dxa" w:w="1872"/>
          </w:tcPr>
          <w:p>
            <w:pPr>
              <w:spacing w:line="240" w:lineRule="auto" w:after="0"/>
            </w:pPr>
            <w:r>
              <w:rPr>
                <w:rFonts w:ascii="Times New Roman" w:hAnsi="Times New Roman"/>
                <w:sz w:val="15"/>
              </w:rPr>
            </w:r>
            <w:r>
              <w:rPr>
                <w:rFonts w:ascii="Times New Roman" w:hAnsi="Times New Roman"/>
                <w:sz w:val="15"/>
              </w:rPr>
              <w:t>2.15 (1.23–3.77)</w:t>
            </w:r>
          </w:p>
        </w:tc>
        <w:tc>
          <w:tcPr>
            <w:tcW w:type="dxa" w:w="1872"/>
          </w:tcPr>
          <w:p>
            <w:pPr>
              <w:spacing w:line="240" w:lineRule="auto" w:after="0"/>
            </w:pPr>
            <w:r>
              <w:rPr>
                <w:rFonts w:ascii="Times New Roman" w:hAnsi="Times New Roman"/>
                <w:sz w:val="15"/>
              </w:rPr>
            </w:r>
            <w:r>
              <w:rPr>
                <w:rFonts w:ascii="Times New Roman" w:hAnsi="Times New Roman"/>
                <w:sz w:val="15"/>
              </w:rPr>
              <w:t>1.25 (1.07–1.46)</w:t>
            </w:r>
          </w:p>
        </w:tc>
      </w:tr>
    </w:tbl>
    <w:p/>
    <w:p>
      <w:pPr>
        <w:pStyle w:val="Heading2"/>
        <w:keepNext/>
        <w:spacing w:line="276" w:lineRule="auto" w:before="200" w:after="80"/>
      </w:pPr>
      <w:r>
        <w:rPr>
          <w:rFonts w:ascii="Times New Roman" w:hAnsi="Times New Roman"/>
          <w:color w:val="000000"/>
        </w:rPr>
        <w:t>7. Files</w:t>
      </w:r>
    </w:p>
    <w:tbl>
      <w:tblPr>
        <w:tblStyle w:val="TableGrid"/>
        <w:tblW w:type="auto" w:w="0"/>
        <w:jc w:val="center"/>
        <w:tblLook w:firstColumn="1" w:firstRow="1" w:lastColumn="0" w:lastRow="0" w:noHBand="0" w:noVBand="1" w:val="04A0"/>
      </w:tblPr>
      <w:tblGrid>
        <w:gridCol w:w="4680"/>
        <w:gridCol w:w="4680"/>
      </w:tblGrid>
      <w:tr>
        <w:trPr>
          <w:tblHeader w:val="true"/>
          <w:cantSplit/>
        </w:trPr>
        <w:tc>
          <w:tcPr>
            <w:tcW w:type="dxa" w:w="4680"/>
            <w:shd w:val="clear" w:fill="E8E8E8"/>
          </w:tcPr>
          <w:p>
            <w:pPr>
              <w:spacing w:line="240" w:lineRule="auto" w:after="0"/>
            </w:pPr>
            <w:r>
              <w:rPr>
                <w:rFonts w:ascii="Times New Roman" w:hAnsi="Times New Roman"/>
                <w:b/>
                <w:sz w:val="15"/>
              </w:rPr>
            </w:r>
            <w:r>
              <w:rPr>
                <w:rFonts w:ascii="Times New Roman" w:hAnsi="Times New Roman"/>
                <w:b/>
                <w:sz w:val="15"/>
              </w:rPr>
              <w:t>Content</w:t>
            </w:r>
          </w:p>
        </w:tc>
        <w:tc>
          <w:tcPr>
            <w:tcW w:type="dxa" w:w="4680"/>
            <w:shd w:val="clear" w:fill="E8E8E8"/>
          </w:tcPr>
          <w:p>
            <w:pPr>
              <w:spacing w:line="240" w:lineRule="auto" w:after="0"/>
            </w:pPr>
            <w:r>
              <w:rPr>
                <w:rFonts w:ascii="Times New Roman" w:hAnsi="Times New Roman"/>
                <w:b/>
                <w:sz w:val="15"/>
              </w:rPr>
            </w:r>
            <w:r>
              <w:rPr>
                <w:rFonts w:ascii="Times New Roman" w:hAnsi="Times New Roman"/>
                <w:b/>
                <w:sz w:val="15"/>
              </w:rPr>
              <w:t>Path</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Time-origin distribution, source quality checks, reclassification</w:t>
            </w:r>
          </w:p>
        </w:tc>
        <w:tc>
          <w:tcPr>
            <w:tcW w:type="dxa" w:w="4680"/>
          </w:tcPr>
          <w:p>
            <w:pPr>
              <w:spacing w:line="240" w:lineRule="auto" w:after="0"/>
            </w:pPr>
            <w:r>
              <w:rPr>
                <w:rFonts w:ascii="Times New Roman" w:hAnsi="Times New Roman"/>
                <w:sz w:val="15"/>
              </w:rPr>
            </w:r>
            <w:r>
              <w:rPr>
                <w:rFonts w:ascii="Times New Roman" w:hAnsi="Times New Roman"/>
                <w:sz w:val="15"/>
              </w:rPr>
              <w:t>analysis/results/gate1/</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Independent recomputation of disputed quantities during the internal audit</w:t>
            </w:r>
          </w:p>
        </w:tc>
        <w:tc>
          <w:tcPr>
            <w:tcW w:type="dxa" w:w="4680"/>
          </w:tcPr>
          <w:p>
            <w:pPr>
              <w:spacing w:line="240" w:lineRule="auto" w:after="0"/>
            </w:pPr>
            <w:r>
              <w:rPr>
                <w:rFonts w:ascii="Times New Roman" w:hAnsi="Times New Roman"/>
                <w:sz w:val="15"/>
              </w:rPr>
            </w:r>
            <w:r>
              <w:rPr>
                <w:rFonts w:ascii="Times New Roman" w:hAnsi="Times New Roman"/>
                <w:sz w:val="15"/>
              </w:rPr>
              <w:t>analysis/results/gate6/review2_claim_verification.csv</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Cohort context, sampling intensity, primary-cohort record with overlap flags</w:t>
            </w:r>
          </w:p>
        </w:tc>
        <w:tc>
          <w:tcPr>
            <w:tcW w:type="dxa" w:w="4680"/>
          </w:tcPr>
          <w:p>
            <w:pPr>
              <w:spacing w:line="240" w:lineRule="auto" w:after="0"/>
            </w:pPr>
            <w:r>
              <w:rPr>
                <w:rFonts w:ascii="Times New Roman" w:hAnsi="Times New Roman"/>
                <w:sz w:val="15"/>
              </w:rPr>
            </w:r>
            <w:r>
              <w:rPr>
                <w:rFonts w:ascii="Times New Roman" w:hAnsi="Times New Roman"/>
                <w:sz w:val="15"/>
              </w:rPr>
              <w:t>analysis/results/gate7/</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Creatinine grid resolution for the absolute-rise criterion</w:t>
            </w:r>
          </w:p>
        </w:tc>
        <w:tc>
          <w:tcPr>
            <w:tcW w:type="dxa" w:w="4680"/>
          </w:tcPr>
          <w:p>
            <w:pPr>
              <w:spacing w:line="240" w:lineRule="auto" w:after="0"/>
            </w:pPr>
            <w:r>
              <w:rPr>
                <w:rFonts w:ascii="Times New Roman" w:hAnsi="Times New Roman"/>
                <w:sz w:val="15"/>
              </w:rPr>
            </w:r>
            <w:r>
              <w:rPr>
                <w:rFonts w:ascii="Times New Roman" w:hAnsi="Times New Roman"/>
                <w:sz w:val="15"/>
              </w:rPr>
              <w:t>analysis/results/gate1c/kdigo_absolute_limb_resolution.csv</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Baseline creatinine distribution on the grid, with effective thresholds (§5.1)</w:t>
            </w:r>
          </w:p>
        </w:tc>
        <w:tc>
          <w:tcPr>
            <w:tcW w:type="dxa" w:w="4680"/>
          </w:tcPr>
          <w:p>
            <w:pPr>
              <w:spacing w:line="240" w:lineRule="auto" w:after="0"/>
            </w:pPr>
            <w:r>
              <w:rPr>
                <w:rFonts w:ascii="Times New Roman" w:hAnsi="Times New Roman"/>
                <w:sz w:val="15"/>
              </w:rPr>
            </w:r>
            <w:r>
              <w:rPr>
                <w:rFonts w:ascii="Times New Roman" w:hAnsi="Times New Roman"/>
                <w:sz w:val="15"/>
              </w:rPr>
              <w:t>analysis/results/manuscript_v3/af3_creatinine_grid_distribution.csv</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Threshold-inflation bands and patient-weighted summaries (§5.1)</w:t>
            </w:r>
          </w:p>
        </w:tc>
        <w:tc>
          <w:tcPr>
            <w:tcW w:type="dxa" w:w="4680"/>
          </w:tcPr>
          <w:p>
            <w:pPr>
              <w:spacing w:line="240" w:lineRule="auto" w:after="0"/>
            </w:pPr>
            <w:r>
              <w:rPr>
                <w:rFonts w:ascii="Times New Roman" w:hAnsi="Times New Roman"/>
                <w:sz w:val="15"/>
              </w:rPr>
            </w:r>
            <w:r>
              <w:rPr>
                <w:rFonts w:ascii="Times New Roman" w:hAnsi="Times New Roman"/>
                <w:sz w:val="15"/>
              </w:rPr>
              <w:t>analysis/results/manuscript_v3/af3_creatinine_grid_bands.csv</w:t>
            </w:r>
            <w:r>
              <w:rPr>
                <w:rFonts w:ascii="Times New Roman" w:hAnsi="Times New Roman"/>
                <w:sz w:val="15"/>
              </w:rPr>
              <w:t xml:space="preserve">, </w:t>
            </w:r>
            <w:r>
              <w:rPr>
                <w:rFonts w:ascii="Times New Roman" w:hAnsi="Times New Roman"/>
                <w:sz w:val="15"/>
              </w:rPr>
              <w:t>af3_creatinine_grid_weighted_summary.csv</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Patients for whom neither KDIGO arm is attainable (§5.2)</w:t>
            </w:r>
          </w:p>
        </w:tc>
        <w:tc>
          <w:tcPr>
            <w:tcW w:type="dxa" w:w="4680"/>
          </w:tcPr>
          <w:p>
            <w:pPr>
              <w:spacing w:line="240" w:lineRule="auto" w:after="0"/>
            </w:pPr>
            <w:r>
              <w:rPr>
                <w:rFonts w:ascii="Times New Roman" w:hAnsi="Times New Roman"/>
                <w:sz w:val="15"/>
              </w:rPr>
            </w:r>
            <w:r>
              <w:rPr>
                <w:rFonts w:ascii="Times New Roman" w:hAnsi="Times New Roman"/>
                <w:sz w:val="15"/>
              </w:rPr>
              <w:t>analysis/results/manuscript_v3/af3_structurally_uncountable.csv</w:t>
            </w:r>
            <w:r>
              <w:rPr>
                <w:rFonts w:ascii="Times New Roman" w:hAnsi="Times New Roman"/>
                <w:sz w:val="15"/>
              </w:rPr>
              <w:t xml:space="preserve">, </w:t>
            </w:r>
            <w:r>
              <w:rPr>
                <w:rFonts w:ascii="Times New Roman" w:hAnsi="Times New Roman"/>
                <w:sz w:val="15"/>
              </w:rPr>
              <w:t>af3_uncountable_sensitivity.csv</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Arm of the composite definition by inflation band (§5.3)</w:t>
            </w:r>
          </w:p>
        </w:tc>
        <w:tc>
          <w:tcPr>
            <w:tcW w:type="dxa" w:w="4680"/>
          </w:tcPr>
          <w:p>
            <w:pPr>
              <w:spacing w:line="240" w:lineRule="auto" w:after="0"/>
            </w:pPr>
            <w:r>
              <w:rPr>
                <w:rFonts w:ascii="Times New Roman" w:hAnsi="Times New Roman"/>
                <w:sz w:val="15"/>
              </w:rPr>
            </w:r>
            <w:r>
              <w:rPr>
                <w:rFonts w:ascii="Times New Roman" w:hAnsi="Times New Roman"/>
                <w:sz w:val="15"/>
              </w:rPr>
              <w:t>analysis/results/manuscript_v3/af3_limb_by_inflation_band.csv</w:t>
            </w:r>
          </w:p>
        </w:tc>
      </w:tr>
      <w:tr>
        <w:trPr>
          <w:cantSplit/>
        </w:trPr>
        <w:tc>
          <w:tcPr>
            <w:tcW w:type="dxa" w:w="4680"/>
          </w:tcPr>
          <w:p>
            <w:pPr>
              <w:spacing w:line="240" w:lineRule="auto" w:after="0"/>
            </w:pPr>
            <w:r>
              <w:rPr>
                <w:rFonts w:ascii="Times New Roman" w:hAnsi="Times New Roman"/>
                <w:sz w:val="15"/>
              </w:rPr>
            </w:r>
            <w:r>
              <w:rPr>
                <w:rFonts w:ascii="Times New Roman" w:hAnsi="Times New Roman"/>
                <w:sz w:val="15"/>
              </w:rPr>
              <w:t>Baseline-creatinine age and targeted sensitivities (§6.1)</w:t>
            </w:r>
          </w:p>
        </w:tc>
        <w:tc>
          <w:tcPr>
            <w:tcW w:type="dxa" w:w="4680"/>
          </w:tcPr>
          <w:p>
            <w:pPr>
              <w:spacing w:line="240" w:lineRule="auto" w:after="0"/>
            </w:pPr>
            <w:r>
              <w:rPr>
                <w:rFonts w:ascii="Times New Roman" w:hAnsi="Times New Roman"/>
                <w:sz w:val="15"/>
              </w:rPr>
            </w:r>
            <w:r>
              <w:rPr>
                <w:rFonts w:ascii="Times New Roman" w:hAnsi="Times New Roman"/>
                <w:sz w:val="15"/>
              </w:rPr>
              <w:t>analysis/results/manuscript_v4/baseline_creatinine_age.csv</w:t>
            </w:r>
            <w:r>
              <w:rPr>
                <w:rFonts w:ascii="Times New Roman" w:hAnsi="Times New Roman"/>
                <w:sz w:val="15"/>
              </w:rPr>
              <w:t xml:space="preserve">, </w:t>
            </w:r>
            <w:r>
              <w:rPr>
                <w:rFonts w:ascii="Times New Roman" w:hAnsi="Times New Roman"/>
                <w:sz w:val="15"/>
              </w:rPr>
              <w:t>targeted_sensitivity_counts.csv</w:t>
            </w:r>
            <w:r>
              <w:rPr>
                <w:rFonts w:ascii="Times New Roman" w:hAnsi="Times New Roman"/>
                <w:sz w:val="15"/>
              </w:rPr>
              <w:t xml:space="preserve">, </w:t>
            </w:r>
            <w:r>
              <w:rPr>
                <w:rFonts w:ascii="Times New Roman" w:hAnsi="Times New Roman"/>
                <w:sz w:val="15"/>
              </w:rPr>
              <w:t>targeted_sensitivity_cox.csv</w:t>
            </w:r>
          </w:p>
        </w:tc>
      </w:tr>
    </w:tbl>
    <w:p/>
    <w:p>
      <w:pPr>
        <w:jc w:val="left"/>
      </w:pPr>
      <w:r>
        <w:t>Section 5 is reproduced by:</w:t>
      </w:r>
    </w:p>
    <w:p>
      <w:pPr>
        <w:spacing w:line="240" w:lineRule="auto"/>
      </w:pPr>
      <w:r>
        <w:rPr>
          <w:rFonts w:ascii="Consolas" w:hAnsi="Consolas"/>
          <w:sz w:val="17"/>
        </w:rPr>
        <w:t>cd "...\analysis"</w:t>
        <w:br/>
        <w:t>C:\Python314\python.exe gate22_creatinine_grid_distribution.py --gate1-dir results\gate1 `</w:t>
        <w:br/>
        <w:t xml:space="preserve">    --gate1c-dir results\gate1c --cohort results\gate7\primary_cohort.csv.gz `</w:t>
        <w:br/>
        <w:t xml:space="preserve">    --output-dir results\manuscript_v3</w:t>
      </w:r>
    </w:p>
    <w:p>
      <w:pPr>
        <w:jc w:val="left"/>
      </w:pPr>
      <w:r>
        <w:t xml:space="preserve">The script recomputes the resolution table from the published grid and halts if it disagrees with the value already reported in </w:t>
      </w:r>
      <w:r>
        <w:rPr>
          <w:rFonts w:ascii="Consolas" w:hAnsi="Consolas"/>
          <w:sz w:val="18"/>
        </w:rPr>
        <w:t>results/gate1c/</w:t>
      </w:r>
      <w:r>
        <w:t>, so §5.1 is verified against the earlier analysis rather than restating it.</w:t>
      </w:r>
    </w:p>
    <w:sectPr w:rsidR="00FC693F" w:rsidRPr="0006063C" w:rsidSect="00034616">
      <w:footerReference w:type="default" r:id="rId9"/>
      <w:pgSz w:w="12240" w:h="15840"/>
      <w:pgMar w:top="1440" w:right="1440" w:bottom="1440" w:left="1440" w:header="720" w:footer="720" w:gutter="0"/>
      <w:cols w:space="720"/>
      <w:docGrid w:linePitch="360"/>
      <w:lnNumType w:countBy="5" w:start="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Page </w:t>
    </w:r>
    <w:r>
      <w:rPr>
        <w:rFonts w:ascii="Times New Roman" w:hAnsi="Times New Roman"/>
        <w:sz w:val="18"/>
      </w:rPr>
      <w:fldChar w:fldCharType="begin"/>
      <w:instrText xml:space="preserve">PAGE</w:instrText>
      <w:fldChar w:fldCharType="separate"/>
      <w:fldChar w:fldCharType="end"/>
    </w:r>
    <w:r>
      <w:rPr>
        <w:rFonts w:ascii="Times New Roman" w:hAnsi="Times New Roman"/>
        <w:sz w:val="18"/>
      </w:rPr>
      <w:t xml:space="preserve"> of </w:t>
    </w:r>
    <w:r>
      <w:rPr>
        <w:rFonts w:ascii="Times New Roman" w:hAnsi="Times New Roman"/>
        <w:sz w:val="18"/>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48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3: time-origin and episode diagnostics</dc:title>
  <dc:subject>Deeply revised manuscript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