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line="276" w:lineRule="auto" w:before="200" w:after="80"/>
        <w:jc w:val="center"/>
      </w:pPr>
      <w:r>
        <w:rPr>
          <w:rFonts w:ascii="Times New Roman" w:hAnsi="Times New Roman"/>
          <w:b/>
          <w:color w:val="000000"/>
          <w:sz w:val="28"/>
        </w:rPr>
        <w:t>Additional file 4. Validation of the subdistribution-hazard implementation</w:t>
      </w:r>
    </w:p>
    <w:p>
      <w:pPr>
        <w:jc w:val="left"/>
      </w:pPr>
      <w:r>
        <w:t xml:space="preserve">Manuscript: </w:t>
      </w:r>
      <w:r>
        <w:rPr>
          <w:i/>
        </w:rPr>
        <w:t>Exposure–outcome window overlap in biomarker studies: a simulation study and reporting checklist</w:t>
      </w:r>
      <w:r>
        <w:t>.</w:t>
      </w:r>
    </w:p>
    <w:p>
      <w:pPr>
        <w:jc w:val="left"/>
      </w:pPr>
      <w:r>
        <w:t xml:space="preserve">Code: </w:t>
      </w:r>
      <w:r>
        <w:rPr>
          <w:rFonts w:ascii="Consolas" w:hAnsi="Consolas"/>
          <w:sz w:val="18"/>
        </w:rPr>
        <w:t>analysis/gate8_finegray_crosscheck.R</w:t>
      </w:r>
      <w:r>
        <w:t xml:space="preserve">, </w:t>
      </w:r>
      <w:r>
        <w:rPr>
          <w:rFonts w:ascii="Consolas" w:hAnsi="Consolas"/>
          <w:sz w:val="18"/>
        </w:rPr>
        <w:t>analysis/gate8_compare_python_vs_cmprsk.py</w:t>
      </w:r>
      <w:r>
        <w:t xml:space="preserve">, implementation in </w:t>
      </w:r>
      <w:r>
        <w:rPr>
          <w:rFonts w:ascii="Consolas" w:hAnsi="Consolas"/>
          <w:sz w:val="18"/>
        </w:rPr>
        <w:t>analysis/gate2_competing_risk.py</w:t>
      </w:r>
      <w:r>
        <w:t>.</w:t>
      </w:r>
    </w:p>
    <w:p>
      <w:pPr>
        <w:jc w:val="left"/>
      </w:pPr>
      <w:r>
        <w:t xml:space="preserve">Outputs: </w:t>
      </w:r>
      <w:r>
        <w:rPr>
          <w:rFonts w:ascii="Consolas" w:hAnsi="Consolas"/>
          <w:sz w:val="18"/>
        </w:rPr>
        <w:t>analysis/results/gate8/</w:t>
      </w:r>
      <w:r>
        <w:t>.</w:t>
      </w:r>
    </w:p>
    <w:p>
      <w:pPr>
        <w:pStyle w:val="Heading2"/>
        <w:keepNext/>
        <w:spacing w:line="276" w:lineRule="auto" w:before="200" w:after="80"/>
      </w:pPr>
      <w:r>
        <w:rPr>
          <w:rFonts w:ascii="Times New Roman" w:hAnsi="Times New Roman"/>
          <w:color w:val="000000"/>
        </w:rPr>
        <w:t>1. Why this validation was necessary</w:t>
      </w:r>
    </w:p>
    <w:p>
      <w:pPr>
        <w:jc w:val="left"/>
      </w:pPr>
      <w:r>
        <w:t>The competing-risk analysis was first implemented in Python because no competing-risk package was available in the original environment. Agreement with a cause-specific Cox model would not validate that implementation. Only seven competing deaths occurred in the primary cohort, so the two estimators would be expected to return similar values even if the subdistribution implementation were wrong.</w:t>
      </w:r>
    </w:p>
    <w:p>
      <w:pPr>
        <w:jc w:val="left"/>
      </w:pPr>
      <w:r>
        <w:t xml:space="preserve">The objection is well founded, and the response is not to argue but to check. R 4.5.2 with </w:t>
      </w:r>
      <w:r>
        <w:rPr>
          <w:rFonts w:ascii="Consolas" w:hAnsi="Consolas"/>
          <w:sz w:val="18"/>
        </w:rPr>
        <w:t>cmprsk</w:t>
      </w:r>
      <w:r>
        <w:t xml:space="preserve"> was available, so the implementation was compared against the reference implementation of Fine and Gray's method on two datasets: the study cohort, and a simulated dataset constructed so that the two model families genuinely diverge.</w:t>
      </w:r>
    </w:p>
    <w:p>
      <w:pPr>
        <w:jc w:val="left"/>
      </w:pPr>
      <w:r>
        <w:t xml:space="preserve">The manuscript reports subdistribution hazard ratios from </w:t>
      </w:r>
      <w:r>
        <w:rPr>
          <w:rFonts w:ascii="Consolas" w:hAnsi="Consolas"/>
          <w:sz w:val="18"/>
        </w:rPr>
        <w:t>cmprsk::crr</w:t>
      </w:r>
      <w:r>
        <w:t xml:space="preserve"> directly. The Python implementation is used only for sensitivity work, and is reported as validated against that reference.</w:t>
      </w:r>
    </w:p>
    <w:p>
      <w:pPr>
        <w:pStyle w:val="Heading2"/>
        <w:keepNext/>
        <w:spacing w:line="276" w:lineRule="auto" w:before="200" w:after="80"/>
      </w:pPr>
      <w:r>
        <w:rPr>
          <w:rFonts w:ascii="Times New Roman" w:hAnsi="Times New Roman"/>
          <w:color w:val="000000"/>
        </w:rPr>
        <w:t>2. Study cohort</w:t>
      </w:r>
    </w:p>
    <w:p>
      <w:pPr>
        <w:jc w:val="left"/>
      </w:pPr>
      <w:r>
        <w:t>Primary cohort, 1,831 patients with post-landmark follow-up, 196 newly detected AKI events, 7 competing deaths. Model adjusted for age, sex, CPB duration, preoperative creatinine, emergency status and ASA ≥3.</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trPr>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Term</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Python sHR</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cmprsk::crr</w:t>
            </w:r>
            <w:r>
              <w:rPr>
                <w:rFonts w:ascii="Times New Roman" w:hAnsi="Times New Roman"/>
                <w:b/>
                <w:sz w:val="15"/>
              </w:rPr>
              <w:t xml:space="preserve"> sHR</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Absolute difference</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Relative difference (%)</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Python SE</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cmprsk SE</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Lactate 2.1–3.0</w:t>
            </w:r>
          </w:p>
        </w:tc>
        <w:tc>
          <w:tcPr>
            <w:tcW w:type="dxa" w:w="1337"/>
          </w:tcPr>
          <w:p>
            <w:pPr>
              <w:spacing w:line="240" w:lineRule="auto" w:after="0"/>
            </w:pPr>
            <w:r>
              <w:rPr>
                <w:rFonts w:ascii="Times New Roman" w:hAnsi="Times New Roman"/>
                <w:sz w:val="15"/>
              </w:rPr>
            </w:r>
            <w:r>
              <w:rPr>
                <w:rFonts w:ascii="Times New Roman" w:hAnsi="Times New Roman"/>
                <w:sz w:val="15"/>
              </w:rPr>
              <w:t>1.158552</w:t>
            </w:r>
          </w:p>
        </w:tc>
        <w:tc>
          <w:tcPr>
            <w:tcW w:type="dxa" w:w="1337"/>
          </w:tcPr>
          <w:p>
            <w:pPr>
              <w:spacing w:line="240" w:lineRule="auto" w:after="0"/>
            </w:pPr>
            <w:r>
              <w:rPr>
                <w:rFonts w:ascii="Times New Roman" w:hAnsi="Times New Roman"/>
                <w:sz w:val="15"/>
              </w:rPr>
            </w:r>
            <w:r>
              <w:rPr>
                <w:rFonts w:ascii="Times New Roman" w:hAnsi="Times New Roman"/>
                <w:sz w:val="15"/>
              </w:rPr>
              <w:t>1.158545</w:t>
            </w:r>
          </w:p>
        </w:tc>
        <w:tc>
          <w:tcPr>
            <w:tcW w:type="dxa" w:w="1337"/>
          </w:tcPr>
          <w:p>
            <w:pPr>
              <w:spacing w:line="240" w:lineRule="auto" w:after="0"/>
            </w:pPr>
            <w:r>
              <w:rPr>
                <w:rFonts w:ascii="Times New Roman" w:hAnsi="Times New Roman"/>
                <w:sz w:val="15"/>
              </w:rPr>
            </w:r>
            <w:r>
              <w:rPr>
                <w:rFonts w:ascii="Times New Roman" w:hAnsi="Times New Roman"/>
                <w:sz w:val="15"/>
              </w:rPr>
              <w:t>0.000007</w:t>
            </w:r>
          </w:p>
        </w:tc>
        <w:tc>
          <w:tcPr>
            <w:tcW w:type="dxa" w:w="1337"/>
          </w:tcPr>
          <w:p>
            <w:pPr>
              <w:spacing w:line="240" w:lineRule="auto" w:after="0"/>
            </w:pPr>
            <w:r>
              <w:rPr>
                <w:rFonts w:ascii="Times New Roman" w:hAnsi="Times New Roman"/>
                <w:sz w:val="15"/>
              </w:rPr>
            </w:r>
            <w:r>
              <w:rPr>
                <w:rFonts w:ascii="Times New Roman" w:hAnsi="Times New Roman"/>
                <w:sz w:val="15"/>
              </w:rPr>
              <w:t>0.00062</w:t>
            </w:r>
          </w:p>
        </w:tc>
        <w:tc>
          <w:tcPr>
            <w:tcW w:type="dxa" w:w="1337"/>
          </w:tcPr>
          <w:p>
            <w:pPr>
              <w:spacing w:line="240" w:lineRule="auto" w:after="0"/>
            </w:pPr>
            <w:r>
              <w:rPr>
                <w:rFonts w:ascii="Times New Roman" w:hAnsi="Times New Roman"/>
                <w:sz w:val="15"/>
              </w:rPr>
            </w:r>
            <w:r>
              <w:rPr>
                <w:rFonts w:ascii="Times New Roman" w:hAnsi="Times New Roman"/>
                <w:sz w:val="15"/>
              </w:rPr>
              <w:t>0.1927</w:t>
            </w:r>
          </w:p>
        </w:tc>
        <w:tc>
          <w:tcPr>
            <w:tcW w:type="dxa" w:w="1337"/>
          </w:tcPr>
          <w:p>
            <w:pPr>
              <w:spacing w:line="240" w:lineRule="auto" w:after="0"/>
            </w:pPr>
            <w:r>
              <w:rPr>
                <w:rFonts w:ascii="Times New Roman" w:hAnsi="Times New Roman"/>
                <w:sz w:val="15"/>
              </w:rPr>
            </w:r>
            <w:r>
              <w:rPr>
                <w:rFonts w:ascii="Times New Roman" w:hAnsi="Times New Roman"/>
                <w:sz w:val="15"/>
              </w:rPr>
              <w:t>0.1925</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Lactate 3.8–5.9</w:t>
            </w:r>
          </w:p>
        </w:tc>
        <w:tc>
          <w:tcPr>
            <w:tcW w:type="dxa" w:w="1337"/>
          </w:tcPr>
          <w:p>
            <w:pPr>
              <w:spacing w:line="240" w:lineRule="auto" w:after="0"/>
            </w:pPr>
            <w:r>
              <w:rPr>
                <w:rFonts w:ascii="Times New Roman" w:hAnsi="Times New Roman"/>
                <w:sz w:val="15"/>
              </w:rPr>
            </w:r>
            <w:r>
              <w:rPr>
                <w:rFonts w:ascii="Times New Roman" w:hAnsi="Times New Roman"/>
                <w:sz w:val="15"/>
              </w:rPr>
              <w:t>1.478765</w:t>
            </w:r>
          </w:p>
        </w:tc>
        <w:tc>
          <w:tcPr>
            <w:tcW w:type="dxa" w:w="1337"/>
          </w:tcPr>
          <w:p>
            <w:pPr>
              <w:spacing w:line="240" w:lineRule="auto" w:after="0"/>
            </w:pPr>
            <w:r>
              <w:rPr>
                <w:rFonts w:ascii="Times New Roman" w:hAnsi="Times New Roman"/>
                <w:sz w:val="15"/>
              </w:rPr>
            </w:r>
            <w:r>
              <w:rPr>
                <w:rFonts w:ascii="Times New Roman" w:hAnsi="Times New Roman"/>
                <w:sz w:val="15"/>
              </w:rPr>
              <w:t>1.478740</w:t>
            </w:r>
          </w:p>
        </w:tc>
        <w:tc>
          <w:tcPr>
            <w:tcW w:type="dxa" w:w="1337"/>
          </w:tcPr>
          <w:p>
            <w:pPr>
              <w:spacing w:line="240" w:lineRule="auto" w:after="0"/>
            </w:pPr>
            <w:r>
              <w:rPr>
                <w:rFonts w:ascii="Times New Roman" w:hAnsi="Times New Roman"/>
                <w:sz w:val="15"/>
              </w:rPr>
            </w:r>
            <w:r>
              <w:rPr>
                <w:rFonts w:ascii="Times New Roman" w:hAnsi="Times New Roman"/>
                <w:sz w:val="15"/>
              </w:rPr>
              <w:t>0.000025</w:t>
            </w:r>
          </w:p>
        </w:tc>
        <w:tc>
          <w:tcPr>
            <w:tcW w:type="dxa" w:w="1337"/>
          </w:tcPr>
          <w:p>
            <w:pPr>
              <w:spacing w:line="240" w:lineRule="auto" w:after="0"/>
            </w:pPr>
            <w:r>
              <w:rPr>
                <w:rFonts w:ascii="Times New Roman" w:hAnsi="Times New Roman"/>
                <w:sz w:val="15"/>
              </w:rPr>
            </w:r>
            <w:r>
              <w:rPr>
                <w:rFonts w:ascii="Times New Roman" w:hAnsi="Times New Roman"/>
                <w:sz w:val="15"/>
              </w:rPr>
              <w:t>0.00174</w:t>
            </w:r>
          </w:p>
        </w:tc>
        <w:tc>
          <w:tcPr>
            <w:tcW w:type="dxa" w:w="1337"/>
          </w:tcPr>
          <w:p>
            <w:pPr>
              <w:spacing w:line="240" w:lineRule="auto" w:after="0"/>
            </w:pPr>
            <w:r>
              <w:rPr>
                <w:rFonts w:ascii="Times New Roman" w:hAnsi="Times New Roman"/>
                <w:sz w:val="15"/>
              </w:rPr>
            </w:r>
            <w:r>
              <w:rPr>
                <w:rFonts w:ascii="Times New Roman" w:hAnsi="Times New Roman"/>
                <w:sz w:val="15"/>
              </w:rPr>
              <w:t>0.1787</w:t>
            </w:r>
          </w:p>
        </w:tc>
        <w:tc>
          <w:tcPr>
            <w:tcW w:type="dxa" w:w="1337"/>
          </w:tcPr>
          <w:p>
            <w:pPr>
              <w:spacing w:line="240" w:lineRule="auto" w:after="0"/>
            </w:pPr>
            <w:r>
              <w:rPr>
                <w:rFonts w:ascii="Times New Roman" w:hAnsi="Times New Roman"/>
                <w:sz w:val="15"/>
              </w:rPr>
            </w:r>
            <w:r>
              <w:rPr>
                <w:rFonts w:ascii="Times New Roman" w:hAnsi="Times New Roman"/>
                <w:sz w:val="15"/>
              </w:rPr>
              <w:t>0.1817</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Lactate 8.6 (capped)</w:t>
            </w:r>
          </w:p>
        </w:tc>
        <w:tc>
          <w:tcPr>
            <w:tcW w:type="dxa" w:w="1337"/>
          </w:tcPr>
          <w:p>
            <w:pPr>
              <w:spacing w:line="240" w:lineRule="auto" w:after="0"/>
            </w:pPr>
            <w:r>
              <w:rPr>
                <w:rFonts w:ascii="Times New Roman" w:hAnsi="Times New Roman"/>
                <w:sz w:val="15"/>
              </w:rPr>
            </w:r>
            <w:r>
              <w:rPr>
                <w:rFonts w:ascii="Times New Roman" w:hAnsi="Times New Roman"/>
                <w:sz w:val="15"/>
              </w:rPr>
              <w:t>2.115628</w:t>
            </w:r>
          </w:p>
        </w:tc>
        <w:tc>
          <w:tcPr>
            <w:tcW w:type="dxa" w:w="1337"/>
          </w:tcPr>
          <w:p>
            <w:pPr>
              <w:spacing w:line="240" w:lineRule="auto" w:after="0"/>
            </w:pPr>
            <w:r>
              <w:rPr>
                <w:rFonts w:ascii="Times New Roman" w:hAnsi="Times New Roman"/>
                <w:sz w:val="15"/>
              </w:rPr>
            </w:r>
            <w:r>
              <w:rPr>
                <w:rFonts w:ascii="Times New Roman" w:hAnsi="Times New Roman"/>
                <w:sz w:val="15"/>
              </w:rPr>
              <w:t>2.115534</w:t>
            </w:r>
          </w:p>
        </w:tc>
        <w:tc>
          <w:tcPr>
            <w:tcW w:type="dxa" w:w="1337"/>
          </w:tcPr>
          <w:p>
            <w:pPr>
              <w:spacing w:line="240" w:lineRule="auto" w:after="0"/>
            </w:pPr>
            <w:r>
              <w:rPr>
                <w:rFonts w:ascii="Times New Roman" w:hAnsi="Times New Roman"/>
                <w:sz w:val="15"/>
              </w:rPr>
            </w:r>
            <w:r>
              <w:rPr>
                <w:rFonts w:ascii="Times New Roman" w:hAnsi="Times New Roman"/>
                <w:sz w:val="15"/>
              </w:rPr>
              <w:t>0.000094</w:t>
            </w:r>
          </w:p>
        </w:tc>
        <w:tc>
          <w:tcPr>
            <w:tcW w:type="dxa" w:w="1337"/>
          </w:tcPr>
          <w:p>
            <w:pPr>
              <w:spacing w:line="240" w:lineRule="auto" w:after="0"/>
            </w:pPr>
            <w:r>
              <w:rPr>
                <w:rFonts w:ascii="Times New Roman" w:hAnsi="Times New Roman"/>
                <w:sz w:val="15"/>
              </w:rPr>
            </w:r>
            <w:r>
              <w:rPr>
                <w:rFonts w:ascii="Times New Roman" w:hAnsi="Times New Roman"/>
                <w:sz w:val="15"/>
              </w:rPr>
              <w:t>0.00448</w:t>
            </w:r>
          </w:p>
        </w:tc>
        <w:tc>
          <w:tcPr>
            <w:tcW w:type="dxa" w:w="1337"/>
          </w:tcPr>
          <w:p>
            <w:pPr>
              <w:spacing w:line="240" w:lineRule="auto" w:after="0"/>
            </w:pPr>
            <w:r>
              <w:rPr>
                <w:rFonts w:ascii="Times New Roman" w:hAnsi="Times New Roman"/>
                <w:sz w:val="15"/>
              </w:rPr>
            </w:r>
            <w:r>
              <w:rPr>
                <w:rFonts w:ascii="Times New Roman" w:hAnsi="Times New Roman"/>
                <w:sz w:val="15"/>
              </w:rPr>
              <w:t>0.2857</w:t>
            </w:r>
          </w:p>
        </w:tc>
        <w:tc>
          <w:tcPr>
            <w:tcW w:type="dxa" w:w="1337"/>
          </w:tcPr>
          <w:p>
            <w:pPr>
              <w:spacing w:line="240" w:lineRule="auto" w:after="0"/>
            </w:pPr>
            <w:r>
              <w:rPr>
                <w:rFonts w:ascii="Times New Roman" w:hAnsi="Times New Roman"/>
                <w:sz w:val="15"/>
              </w:rPr>
            </w:r>
            <w:r>
              <w:rPr>
                <w:rFonts w:ascii="Times New Roman" w:hAnsi="Times New Roman"/>
                <w:sz w:val="15"/>
              </w:rPr>
              <w:t>0.2928</w:t>
            </w:r>
          </w:p>
        </w:tc>
      </w:tr>
    </w:tbl>
    <w:p/>
    <w:p>
      <w:pPr>
        <w:jc w:val="left"/>
      </w:pPr>
      <w:r>
        <w:t xml:space="preserve">Point estimates agree to five decimal places. Standard errors differ by up to 2.5%, because </w:t>
      </w:r>
      <w:r>
        <w:rPr>
          <w:rFonts w:ascii="Consolas" w:hAnsi="Consolas"/>
          <w:sz w:val="18"/>
        </w:rPr>
        <w:t>cmprsk</w:t>
      </w:r>
      <w:r>
        <w:t xml:space="preserve"> returns the robust sandwich variance appropriate to the subdistribution model while the Python implementation returns the inverse observed information. </w:t>
      </w:r>
      <w:r>
        <w:rPr>
          <w:b/>
        </w:rPr>
        <w:t>The manuscript reports the `cmprsk` estimates and intervals</w:t>
      </w:r>
      <w:r>
        <w:t>, so this difference does not propagate into any published number.</w:t>
      </w:r>
    </w:p>
    <w:p>
      <w:pPr>
        <w:jc w:val="left"/>
      </w:pPr>
      <w:r>
        <w:rPr>
          <w:rFonts w:ascii="Consolas" w:hAnsi="Consolas"/>
          <w:sz w:val="18"/>
        </w:rPr>
        <w:t>cmprsk::cuminc</w:t>
      </w:r>
      <w:r>
        <w:t xml:space="preserve"> was also used to obtain Gray's k-sample test comparing the four cumulative incidence functions, giving χ² = 8.45 on 3 degrees of freedom, P = 0.038. This replaces the score-test analogue used in an earlier version, and the claim that the score test "is" Gray's test has been removed from the manuscript.</w:t>
      </w:r>
    </w:p>
    <w:p>
      <w:pPr>
        <w:pStyle w:val="Heading2"/>
        <w:keepNext/>
        <w:spacing w:line="276" w:lineRule="auto" w:before="200" w:after="80"/>
      </w:pPr>
      <w:r>
        <w:rPr>
          <w:rFonts w:ascii="Times New Roman" w:hAnsi="Times New Roman"/>
          <w:color w:val="000000"/>
        </w:rPr>
        <w:t>3. Simulated benchmark with a heavy competing-risk burden</w:t>
      </w:r>
    </w:p>
    <w:p>
      <w:pPr>
        <w:jc w:val="left"/>
      </w:pPr>
      <w:r>
        <w:t>The study cohort cannot discriminate between a correct and an incorrect subdistribution implementation, because it contains too few competing events. A dataset was therefore simulated in which the competing event is the more common of the two.</w:t>
      </w:r>
    </w:p>
    <w:p>
      <w:pPr>
        <w:jc w:val="left"/>
      </w:pPr>
      <w:r>
        <w:t xml:space="preserve">Design: n = 4,000; two covariates, one continuous and one binary; cause-1 probability a logistic function of both; exponential event and censoring times. Result: </w:t>
      </w:r>
      <w:r>
        <w:rPr>
          <w:b/>
        </w:rPr>
        <w:t>1,084 events of interest, 2,084 competing events, 832 censored.</w:t>
      </w:r>
      <w:r>
        <w:t xml:space="preserve"> Seed 20260723; the dataset is saved as </w:t>
      </w:r>
      <w:r>
        <w:rPr>
          <w:rFonts w:ascii="Consolas" w:hAnsi="Consolas"/>
          <w:sz w:val="18"/>
        </w:rPr>
        <w:t>analysis/results/gate8/finegray_simulated_benchmark.csv</w:t>
      </w:r>
      <w:r>
        <w:t xml:space="preserve"> so the comparison can be repeated exactly.</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cantSplit/>
        </w:trPr>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Term</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Python sHR</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cmprsk::crr</w:t>
            </w:r>
            <w:r>
              <w:rPr>
                <w:rFonts w:ascii="Times New Roman" w:hAnsi="Times New Roman"/>
                <w:b/>
                <w:sz w:val="15"/>
              </w:rPr>
              <w:t xml:space="preserve"> sHR</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Relative difference (%)</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Cause-specific Cox HR</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x1 (continuous)</w:t>
            </w:r>
          </w:p>
        </w:tc>
        <w:tc>
          <w:tcPr>
            <w:tcW w:type="dxa" w:w="1872"/>
          </w:tcPr>
          <w:p>
            <w:pPr>
              <w:spacing w:line="240" w:lineRule="auto" w:after="0"/>
            </w:pPr>
            <w:r>
              <w:rPr>
                <w:rFonts w:ascii="Times New Roman" w:hAnsi="Times New Roman"/>
                <w:sz w:val="15"/>
              </w:rPr>
            </w:r>
            <w:r>
              <w:rPr>
                <w:rFonts w:ascii="Times New Roman" w:hAnsi="Times New Roman"/>
                <w:sz w:val="15"/>
              </w:rPr>
              <w:t>1.835481</w:t>
            </w:r>
          </w:p>
        </w:tc>
        <w:tc>
          <w:tcPr>
            <w:tcW w:type="dxa" w:w="1872"/>
          </w:tcPr>
          <w:p>
            <w:pPr>
              <w:spacing w:line="240" w:lineRule="auto" w:after="0"/>
            </w:pPr>
            <w:r>
              <w:rPr>
                <w:rFonts w:ascii="Times New Roman" w:hAnsi="Times New Roman"/>
                <w:sz w:val="15"/>
              </w:rPr>
            </w:r>
            <w:r>
              <w:rPr>
                <w:rFonts w:ascii="Times New Roman" w:hAnsi="Times New Roman"/>
                <w:sz w:val="15"/>
              </w:rPr>
              <w:t>1.835481</w:t>
            </w:r>
          </w:p>
        </w:tc>
        <w:tc>
          <w:tcPr>
            <w:tcW w:type="dxa" w:w="1872"/>
          </w:tcPr>
          <w:p>
            <w:pPr>
              <w:spacing w:line="240" w:lineRule="auto" w:after="0"/>
            </w:pPr>
            <w:r>
              <w:rPr>
                <w:rFonts w:ascii="Times New Roman" w:hAnsi="Times New Roman"/>
                <w:sz w:val="15"/>
              </w:rPr>
            </w:r>
            <w:r>
              <w:rPr>
                <w:rFonts w:ascii="Times New Roman" w:hAnsi="Times New Roman"/>
                <w:sz w:val="15"/>
              </w:rPr>
              <w:t>0.00001</w:t>
            </w:r>
          </w:p>
        </w:tc>
        <w:tc>
          <w:tcPr>
            <w:tcW w:type="dxa" w:w="1872"/>
          </w:tcPr>
          <w:p>
            <w:pPr>
              <w:spacing w:line="240" w:lineRule="auto" w:after="0"/>
            </w:pPr>
            <w:r>
              <w:rPr>
                <w:rFonts w:ascii="Times New Roman" w:hAnsi="Times New Roman"/>
                <w:sz w:val="15"/>
              </w:rPr>
            </w:r>
            <w:r>
              <w:rPr>
                <w:rFonts w:ascii="Times New Roman" w:hAnsi="Times New Roman"/>
                <w:b/>
                <w:sz w:val="15"/>
              </w:rPr>
              <w:t>1.4833</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x2 (binary)</w:t>
            </w:r>
          </w:p>
        </w:tc>
        <w:tc>
          <w:tcPr>
            <w:tcW w:type="dxa" w:w="1872"/>
          </w:tcPr>
          <w:p>
            <w:pPr>
              <w:spacing w:line="240" w:lineRule="auto" w:after="0"/>
            </w:pPr>
            <w:r>
              <w:rPr>
                <w:rFonts w:ascii="Times New Roman" w:hAnsi="Times New Roman"/>
                <w:sz w:val="15"/>
              </w:rPr>
            </w:r>
            <w:r>
              <w:rPr>
                <w:rFonts w:ascii="Times New Roman" w:hAnsi="Times New Roman"/>
                <w:sz w:val="15"/>
              </w:rPr>
              <w:t>0.712702</w:t>
            </w:r>
          </w:p>
        </w:tc>
        <w:tc>
          <w:tcPr>
            <w:tcW w:type="dxa" w:w="1872"/>
          </w:tcPr>
          <w:p>
            <w:pPr>
              <w:spacing w:line="240" w:lineRule="auto" w:after="0"/>
            </w:pPr>
            <w:r>
              <w:rPr>
                <w:rFonts w:ascii="Times New Roman" w:hAnsi="Times New Roman"/>
                <w:sz w:val="15"/>
              </w:rPr>
            </w:r>
            <w:r>
              <w:rPr>
                <w:rFonts w:ascii="Times New Roman" w:hAnsi="Times New Roman"/>
                <w:sz w:val="15"/>
              </w:rPr>
              <w:t>0.712702</w:t>
            </w:r>
          </w:p>
        </w:tc>
        <w:tc>
          <w:tcPr>
            <w:tcW w:type="dxa" w:w="1872"/>
          </w:tcPr>
          <w:p>
            <w:pPr>
              <w:spacing w:line="240" w:lineRule="auto" w:after="0"/>
            </w:pPr>
            <w:r>
              <w:rPr>
                <w:rFonts w:ascii="Times New Roman" w:hAnsi="Times New Roman"/>
                <w:sz w:val="15"/>
              </w:rPr>
            </w:r>
            <w:r>
              <w:rPr>
                <w:rFonts w:ascii="Times New Roman" w:hAnsi="Times New Roman"/>
                <w:sz w:val="15"/>
              </w:rPr>
              <w:t>0.00009</w:t>
            </w:r>
          </w:p>
        </w:tc>
        <w:tc>
          <w:tcPr>
            <w:tcW w:type="dxa" w:w="1872"/>
          </w:tcPr>
          <w:p>
            <w:pPr>
              <w:spacing w:line="240" w:lineRule="auto" w:after="0"/>
            </w:pPr>
            <w:r>
              <w:rPr>
                <w:rFonts w:ascii="Times New Roman" w:hAnsi="Times New Roman"/>
                <w:sz w:val="15"/>
              </w:rPr>
            </w:r>
            <w:r>
              <w:rPr>
                <w:rFonts w:ascii="Times New Roman" w:hAnsi="Times New Roman"/>
                <w:b/>
                <w:sz w:val="15"/>
              </w:rPr>
              <w:t>0.7767</w:t>
            </w:r>
          </w:p>
        </w:tc>
      </w:tr>
    </w:tbl>
    <w:p/>
    <w:p>
      <w:pPr>
        <w:jc w:val="left"/>
      </w:pPr>
      <w:r>
        <w:t xml:space="preserve">The final column is the point of the exercise. On these data the subdistribution and cause-specific estimates differ substantially, 1.84 against 1.48 for x1, so agreement with </w:t>
      </w:r>
      <w:r>
        <w:rPr>
          <w:rFonts w:ascii="Consolas" w:hAnsi="Consolas"/>
          <w:sz w:val="18"/>
        </w:rPr>
        <w:t>cmprsk</w:t>
      </w:r>
      <w:r>
        <w:t xml:space="preserve"> cannot arise from the two model families collapsing onto each other. The Python implementation reproduces the reference to five decimal places under conditions where a wrong implementation would visibly fail.</w:t>
      </w:r>
    </w:p>
    <w:p>
      <w:pPr>
        <w:pStyle w:val="Heading2"/>
        <w:keepNext/>
        <w:spacing w:line="276" w:lineRule="auto" w:before="200" w:after="80"/>
      </w:pPr>
      <w:r>
        <w:rPr>
          <w:rFonts w:ascii="Times New Roman" w:hAnsi="Times New Roman"/>
          <w:color w:val="000000"/>
        </w:rPr>
        <w:t>4. Summary</w:t>
      </w:r>
    </w:p>
    <w:tbl>
      <w:tblPr>
        <w:tblStyle w:val="TableGrid"/>
        <w:tblW w:type="auto" w:w="0"/>
        <w:jc w:val="center"/>
        <w:tblLook w:firstColumn="1" w:firstRow="1" w:lastColumn="0" w:lastRow="0" w:noHBand="0" w:noVBand="1" w:val="04A0"/>
      </w:tblPr>
      <w:tblGrid>
        <w:gridCol w:w="3120"/>
        <w:gridCol w:w="3120"/>
        <w:gridCol w:w="3120"/>
      </w:tblGrid>
      <w:tr>
        <w:trPr>
          <w:tblHeader w:val="true"/>
          <w:cantSplit/>
        </w:trPr>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Dataset</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Competing events</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 xml:space="preserve">Largest relative difference from </w:t>
            </w:r>
            <w:r>
              <w:rPr>
                <w:rFonts w:ascii="Times New Roman" w:hAnsi="Times New Roman"/>
                <w:b/>
                <w:sz w:val="15"/>
              </w:rPr>
              <w:t>cmprsk::crr</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Study primary cohort</w:t>
            </w:r>
          </w:p>
        </w:tc>
        <w:tc>
          <w:tcPr>
            <w:tcW w:type="dxa" w:w="3120"/>
          </w:tcPr>
          <w:p>
            <w:pPr>
              <w:spacing w:line="240" w:lineRule="auto" w:after="0"/>
            </w:pPr>
            <w:r>
              <w:rPr>
                <w:rFonts w:ascii="Times New Roman" w:hAnsi="Times New Roman"/>
                <w:sz w:val="15"/>
              </w:rPr>
            </w:r>
            <w:r>
              <w:rPr>
                <w:rFonts w:ascii="Times New Roman" w:hAnsi="Times New Roman"/>
                <w:sz w:val="15"/>
              </w:rPr>
              <w:t>7</w:t>
            </w:r>
          </w:p>
        </w:tc>
        <w:tc>
          <w:tcPr>
            <w:tcW w:type="dxa" w:w="3120"/>
          </w:tcPr>
          <w:p>
            <w:pPr>
              <w:spacing w:line="240" w:lineRule="auto" w:after="0"/>
            </w:pPr>
            <w:r>
              <w:rPr>
                <w:rFonts w:ascii="Times New Roman" w:hAnsi="Times New Roman"/>
                <w:sz w:val="15"/>
              </w:rPr>
            </w:r>
            <w:r>
              <w:rPr>
                <w:rFonts w:ascii="Times New Roman" w:hAnsi="Times New Roman"/>
                <w:sz w:val="15"/>
              </w:rPr>
              <w:t>0.0045%</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Simulated benchmark</w:t>
            </w:r>
          </w:p>
        </w:tc>
        <w:tc>
          <w:tcPr>
            <w:tcW w:type="dxa" w:w="3120"/>
          </w:tcPr>
          <w:p>
            <w:pPr>
              <w:spacing w:line="240" w:lineRule="auto" w:after="0"/>
            </w:pPr>
            <w:r>
              <w:rPr>
                <w:rFonts w:ascii="Times New Roman" w:hAnsi="Times New Roman"/>
                <w:sz w:val="15"/>
              </w:rPr>
            </w:r>
            <w:r>
              <w:rPr>
                <w:rFonts w:ascii="Times New Roman" w:hAnsi="Times New Roman"/>
                <w:sz w:val="15"/>
              </w:rPr>
              <w:t>2,084</w:t>
            </w:r>
          </w:p>
        </w:tc>
        <w:tc>
          <w:tcPr>
            <w:tcW w:type="dxa" w:w="3120"/>
          </w:tcPr>
          <w:p>
            <w:pPr>
              <w:spacing w:line="240" w:lineRule="auto" w:after="0"/>
            </w:pPr>
            <w:r>
              <w:rPr>
                <w:rFonts w:ascii="Times New Roman" w:hAnsi="Times New Roman"/>
                <w:sz w:val="15"/>
              </w:rPr>
            </w:r>
            <w:r>
              <w:rPr>
                <w:rFonts w:ascii="Times New Roman" w:hAnsi="Times New Roman"/>
                <w:sz w:val="15"/>
              </w:rPr>
              <w:t>0.0001%</w:t>
            </w:r>
          </w:p>
        </w:tc>
      </w:tr>
    </w:tbl>
    <w:p/>
    <w:p>
      <w:pPr>
        <w:jc w:val="left"/>
      </w:pPr>
      <w:r>
        <w:rPr>
          <w:b/>
        </w:rPr>
        <w:t>Largest discrepancy across both datasets: 0.0045%</w:t>
      </w:r>
      <w:r>
        <w:t>, on the top lactate stratum of the study cohort.</w:t>
      </w:r>
    </w:p>
    <w:p>
      <w:pPr>
        <w:jc w:val="left"/>
      </w:pPr>
      <w:r>
        <w:t>An earlier draft of the manuscript stated this as "within 0.004%". That was wrong: the computed maximum is 0.004483%. The error was found by the automated number audit (</w:t>
      </w:r>
      <w:r>
        <w:rPr>
          <w:rFonts w:ascii="Consolas" w:hAnsi="Consolas"/>
          <w:sz w:val="18"/>
        </w:rPr>
        <w:t>analysis/gate14_manuscript_number_audit.py</w:t>
      </w:r>
      <w:r>
        <w:t>) before submission and the manuscript now reads 0.0045%.</w:t>
      </w:r>
    </w:p>
    <w:p>
      <w:pPr>
        <w:pStyle w:val="Heading2"/>
        <w:keepNext/>
        <w:spacing w:line="276" w:lineRule="auto" w:before="200" w:after="80"/>
      </w:pPr>
      <w:r>
        <w:rPr>
          <w:rFonts w:ascii="Times New Roman" w:hAnsi="Times New Roman"/>
          <w:color w:val="000000"/>
        </w:rPr>
        <w:t>5. What this validation does and does not establish</w:t>
      </w:r>
    </w:p>
    <w:p>
      <w:pPr>
        <w:jc w:val="left"/>
      </w:pPr>
      <w:r>
        <w:t xml:space="preserve">It establishes that the Python implementation computes the same estimator as </w:t>
      </w:r>
      <w:r>
        <w:rPr>
          <w:rFonts w:ascii="Consolas" w:hAnsi="Consolas"/>
          <w:sz w:val="18"/>
        </w:rPr>
        <w:t>cmprsk::crr</w:t>
      </w:r>
      <w:r>
        <w:t>, including the censoring-distribution weighting, the handling of subjects who experience the competing event, and the Breslow treatment of tied event times, under both a low and a high competing-event burden.</w:t>
      </w:r>
    </w:p>
    <w:p>
      <w:pPr>
        <w:jc w:val="left"/>
      </w:pPr>
      <w:r>
        <w:t>It does not establish that the Fine-Gray model is the right model for this question. That is a separate judgement, and the manuscript addresses it by reporting cause-specific hazard ratios as the primary estimate and subdistribution hazard ratios alongside them, noting that with 7 competing events and competing-death cumulative incidence below 1% in every stratum the two answer nearly the same question here.</w:t>
      </w:r>
    </w:p>
    <w:p>
      <w:pPr>
        <w:jc w:val="left"/>
      </w:pPr>
      <w:r>
        <w:t xml:space="preserve">It also does not validate the standard errors of the Python implementation, which differ from </w:t>
      </w:r>
      <w:r>
        <w:rPr>
          <w:rFonts w:ascii="Consolas" w:hAnsi="Consolas"/>
          <w:sz w:val="18"/>
        </w:rPr>
        <w:t>cmprsk</w:t>
      </w:r>
      <w:r>
        <w:t xml:space="preserve"> by up to 2.5% for the reason given in Section 2. Any reported subdistribution interval in the manuscript comes from </w:t>
      </w:r>
      <w:r>
        <w:rPr>
          <w:rFonts w:ascii="Consolas" w:hAnsi="Consolas"/>
          <w:sz w:val="18"/>
        </w:rPr>
        <w:t>cmprsk</w:t>
      </w:r>
      <w:r>
        <w:t>.</w:t>
      </w:r>
    </w:p>
    <w:p>
      <w:pPr>
        <w:pStyle w:val="Heading2"/>
        <w:keepNext/>
        <w:spacing w:line="276" w:lineRule="auto" w:before="200" w:after="80"/>
      </w:pPr>
      <w:r>
        <w:rPr>
          <w:rFonts w:ascii="Times New Roman" w:hAnsi="Times New Roman"/>
          <w:color w:val="000000"/>
        </w:rPr>
        <w:t>6. Reproduction</w:t>
      </w:r>
    </w:p>
    <w:p>
      <w:pPr>
        <w:spacing w:line="240" w:lineRule="auto"/>
      </w:pPr>
      <w:r>
        <w:rPr>
          <w:rFonts w:ascii="Consolas" w:hAnsi="Consolas"/>
          <w:sz w:val="17"/>
        </w:rPr>
        <w:t>cd "...\analysis"</w:t>
        <w:br/>
        <w:t>Rscript gate8_finegray_crosscheck.R "results\gate7\tte_primary.csv" "results\gate8\finegray_reference.csv"</w:t>
        <w:br/>
        <w:t>C:\Python314\python.exe gate8_compare_python_vs_cmprsk.py `</w:t>
        <w:br/>
        <w:t xml:space="preserve">    --tte "results\gate7\tte_primary.csv" `</w:t>
        <w:br/>
        <w:t xml:space="preserve">    --simulated "results\gate8\finegray_simulated_benchmark.csv" `</w:t>
        <w:br/>
        <w:t xml:space="preserve">    --reference "results\gate8\finegray_reference.csv" `</w:t>
        <w:br/>
        <w:t xml:space="preserve">    --output-dir "results\gate8"</w:t>
      </w:r>
    </w:p>
    <w:p>
      <w:pPr>
        <w:jc w:val="left"/>
      </w:pPr>
      <w:r>
        <w:t xml:space="preserve">Software: R 4.5.2 with </w:t>
      </w:r>
      <w:r>
        <w:rPr>
          <w:rFonts w:ascii="Consolas" w:hAnsi="Consolas"/>
          <w:sz w:val="18"/>
        </w:rPr>
        <w:t>cmprsk</w:t>
      </w:r>
      <w:r>
        <w:t xml:space="preserve">; Python 3.14 with lifelines 0.30.3, statsmodels 0.14.6, SciPy 1.18.0. Console logs for both steps are in </w:t>
      </w:r>
      <w:r>
        <w:rPr>
          <w:rFonts w:ascii="Consolas" w:hAnsi="Consolas"/>
          <w:sz w:val="18"/>
        </w:rPr>
        <w:t>analysis/results/gate8/</w:t>
      </w:r>
      <w:r>
        <w:t>.</w:t>
      </w:r>
    </w:p>
    <w:sectPr w:rsidR="00FC693F" w:rsidRPr="0006063C" w:rsidSect="00034616">
      <w:footerReference w:type="default" r:id="rId9"/>
      <w:pgSz w:w="12240" w:h="15840"/>
      <w:pgMar w:top="1440" w:right="1440" w:bottom="1440" w:left="1440" w:header="720" w:footer="720" w:gutter="0"/>
      <w:cols w:space="720"/>
      <w:docGrid w:linePitch="360"/>
      <w:lnNumType w:countBy="5" w:start="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Page </w:t>
    </w:r>
    <w:r>
      <w:rPr>
        <w:rFonts w:ascii="Times New Roman" w:hAnsi="Times New Roman"/>
        <w:sz w:val="18"/>
      </w:rPr>
      <w:fldChar w:fldCharType="begin"/>
      <w:instrText xml:space="preserve">PAGE</w:instrText>
      <w:fldChar w:fldCharType="separate"/>
      <w:fldChar w:fldCharType="end"/>
    </w:r>
    <w:r>
      <w:rPr>
        <w:rFonts w:ascii="Times New Roman" w:hAnsi="Times New Roman"/>
        <w:sz w:val="18"/>
      </w:rPr>
      <w:t xml:space="preserve"> of </w:t>
    </w:r>
    <w:r>
      <w:rPr>
        <w:rFonts w:ascii="Times New Roman" w:hAnsi="Times New Roman"/>
        <w:sz w:val="18"/>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48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4: Fine-Gray implementation validation</dc:title>
  <dc:subject>Deeply revised manuscript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