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line="276" w:lineRule="auto" w:before="200" w:after="80"/>
        <w:jc w:val="center"/>
      </w:pPr>
      <w:r>
        <w:rPr>
          <w:rFonts w:ascii="Times New Roman" w:hAnsi="Times New Roman"/>
          <w:b/>
          <w:color w:val="000000"/>
          <w:sz w:val="28"/>
        </w:rPr>
        <w:t>Additional file 1. STROBE checklist for cohort studies</w:t>
      </w:r>
    </w:p>
    <w:p>
      <w:pPr>
        <w:jc w:val="left"/>
      </w:pPr>
      <w:r>
        <w:t xml:space="preserve">Manuscript: </w:t>
      </w:r>
      <w:r>
        <w:rPr>
          <w:i/>
        </w:rPr>
        <w:t>Exposure-outcome window overlap in biomarker studies: a simulation study and reporting checklist</w:t>
      </w:r>
      <w:r>
        <w:t>.</w:t>
      </w:r>
    </w:p>
    <w:p>
      <w:pPr>
        <w:jc w:val="left"/>
      </w:pPr>
      <w:r>
        <w:t>STROBE applies to the retrospective cohort case study in Part 3. Parts 1 and 2 are a methodological framework and simulation study. Page and line numbers should be generated by the submission system; the locations below use stable section, figure and table labels.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  <w:cantSplit/>
        </w:trPr>
        <w:tc>
          <w:tcPr>
            <w:tcW w:type="dxa" w:w="3120"/>
            <w:shd w:val="clear" w:fill="E8E8E8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No.</w:t>
            </w:r>
          </w:p>
        </w:tc>
        <w:tc>
          <w:tcPr>
            <w:tcW w:type="dxa" w:w="3120"/>
            <w:shd w:val="clear" w:fill="E8E8E8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STROBE item</w:t>
            </w:r>
          </w:p>
        </w:tc>
        <w:tc>
          <w:tcPr>
            <w:tcW w:type="dxa" w:w="3120"/>
            <w:shd w:val="clear" w:fill="E8E8E8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b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Where addressed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Title and abstract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State the study design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Abstract, Methods identifies a simulation followed by a retrospective secondary cohort analysis.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1b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Balanced abstract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Structured Abstract reports design, principal simulation and cohort results, uncertainty and boundaries.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Introduction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2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Background and rationale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Background, paragraphs 1 to 6.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3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Objectives and hypotheses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Background, final paragraph. Methods states that the work was not preregistered.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Methods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4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Key design elements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opening paragraph and Parts 1 to 3.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5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Setting and relevant dates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Data source and ethics. INSPIRE provides de-identified relative times rather than usable calendar dates.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6a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Eligibility, selection and follow-up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Participants and unit of analysis; Outcomes; Figure 3B.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6b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Matching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Not applicable.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7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Variables and diagnostic criteria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Exposure, Outcomes and Statistical analysis.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8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Data sources and assessment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Data source and ethics, Exposure and Outcomes. Measurement intensity is reported rather than assumed comparable.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9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Bias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Participants, Outcomes and Sensitivity analyses; Discussion, Limitations.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10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Study size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Fixed eligible population in INSPIRE; no prospective sample-size calculation. Event counts and model degrees of freedom are reported.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11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Quantitative variables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Exposure. Lactate categories respect the 17-value de-identification grid; continuous and alternative summaries are also described.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12a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Statistical methods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Statistical analysis.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12b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Subgroups and interactions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Criterion-specific, period-specific and exposure-definition analyses in Results and Table 5. No formal interaction test is claimed.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12c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Missing data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Missing data. ASA was the only analysis covariate with missing values; complete-case and indicator analyses are reported.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12d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Loss to follow-up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Outcomes; Results, Renal observation process; Additional file 6.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12e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Sensitivity analyses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Sensitivity analyses; Additional files 3 and 6.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Results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13a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Numbers at each stage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Results, Cohort; Figure 3B; Table 2.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13b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Reasons for exclusion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Results, Cohort; Figure 3B.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13c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Flow diagram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Figure 3B.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14a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Participant characteristics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Table 1 and Table 4.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14b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Missing data by variable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Table 1, Missing column; Methods, Missing data.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14c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Follow-up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Results, Association with newly detected AKI and Renal observation process; Figure 4 number-at-risk table.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15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Outcome events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Tables 2 to 5; Figures 4 and 5.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16a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Crude and adjusted estimates with precision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Tables 3 and 5; covariate sets are defined in Methods.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16b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Category boundaries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Methods, Exposure; Tables 1, 3, 4 and 5.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16c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Absolute risk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Table 5 reports fixed-horizon cumulative incidence and risk differences.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17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Other analyses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Results, Interval-censored analysis, Renal observation process, Exposure definitions and Mortality; Additional files 3 to 7.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Discussion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18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Key results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Discussion, opening paragraphs.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19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Limitations and direction of bias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Discussion, Limitations. Uncertain directions are labelled as uncertain.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20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Cautious interpretation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Discussion, What this study establishes, and what it does not.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21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Generalisability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Discussion, Limitations. The case study is single-centre and is used as an illustration rather than a universal validation cohort.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b/>
                <w:sz w:val="15"/>
              </w:rPr>
              <w:t>Other information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22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Funding and funder role</w:t>
            </w:r>
          </w:p>
        </w:tc>
        <w:tc>
          <w:tcPr>
            <w:tcW w:type="dxa" w:w="3120"/>
          </w:tcPr>
          <w:p>
            <w:pPr>
              <w:spacing w:line="240" w:lineRule="auto" w:after="0"/>
            </w:pPr>
            <w:r>
              <w:rPr>
                <w:rFonts w:ascii="Times New Roman" w:hAnsi="Times New Roman"/>
                <w:sz w:val="15"/>
              </w:rPr>
            </w:r>
            <w:r>
              <w:rPr>
                <w:rFonts w:ascii="Times New Roman" w:hAnsi="Times New Roman"/>
                <w:sz w:val="15"/>
              </w:rPr>
              <w:t>Declarations, Funding.</w:t>
            </w:r>
          </w:p>
        </w:tc>
      </w:tr>
    </w:tbl>
    <w:p/>
    <w:p>
      <w:pPr>
        <w:pStyle w:val="Heading2"/>
        <w:keepNext/>
        <w:spacing w:line="276" w:lineRule="auto" w:before="200" w:after="80"/>
      </w:pPr>
      <w:r>
        <w:rPr>
          <w:rFonts w:ascii="Times New Roman" w:hAnsi="Times New Roman"/>
          <w:color w:val="000000"/>
        </w:rPr>
        <w:t>Clarifications</w:t>
      </w:r>
    </w:p>
    <w:p>
      <w:pPr>
        <w:jc w:val="left"/>
      </w:pPr>
      <w:r>
        <w:rPr>
          <w:b/>
        </w:rPr>
        <w:t>Prespecification.</w:t>
      </w:r>
      <w:r>
        <w:t xml:space="preserve"> The plan was not registered and has no independent timestamp. Additional file 2 separates the initial plan, analyses added during an internal methodological audit and post hoc diagnostics.</w:t>
      </w:r>
    </w:p>
    <w:p>
      <w:pPr>
        <w:jc w:val="left"/>
      </w:pPr>
      <w:r>
        <w:rPr>
          <w:b/>
        </w:rPr>
        <w:t>Calendar dates.</w:t>
      </w:r>
      <w:r>
        <w:t xml:space="preserve"> INSPIRE replaces calendar time with relative offsets. Recruitment and follow-up cannot be reported as conventional dates. Mortality ascertainment at 90 days is therefore plausible but not directly verifiable from an administrative end date.</w:t>
      </w:r>
    </w:p>
    <w:p>
      <w:pPr>
        <w:jc w:val="left"/>
      </w:pPr>
      <w:r>
        <w:rPr>
          <w:b/>
        </w:rPr>
        <w:t>Study size.</w:t>
      </w:r>
      <w:r>
        <w:t xml:space="preserve"> The cohort size was determined by eligibility in a fixed public dataset. The manuscript reports event counts and precision rather than presenting a retrospective power calculation.</w:t>
      </w:r>
    </w:p>
    <w:p>
      <w:pPr>
        <w:jc w:val="left"/>
      </w:pPr>
      <w:r>
        <w:rPr>
          <w:b/>
        </w:rPr>
        <w:t>Assessment comparability.</w:t>
      </w:r>
      <w:r>
        <w:t xml:space="preserve"> Higher lactate strata had more lactate measurements. Because peak lactate is an order statistic, unequal measurement opportunity is a substantive limitation rather than a routine measurement detail.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  <w:lnNumType w:countBy="5" w:start="1" w:restart="continuou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Page </w:t>
    </w:r>
    <w:r>
      <w:rPr>
        <w:rFonts w:ascii="Times New Roman" w:hAnsi="Times New Roman"/>
        <w:sz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hAnsi="Times New Roman"/>
        <w:sz w:val="18"/>
      </w:rPr>
      <w:t xml:space="preserve"> of </w:t>
    </w:r>
    <w:r>
      <w:rPr>
        <w:rFonts w:ascii="Times New Roman" w:hAnsi="Times New Roman"/>
        <w:sz w:val="18"/>
      </w:rP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480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1: STROBE checklist</dc:title>
  <dc:subject>Deeply revised manuscript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