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FB5B" w14:textId="622C0013" w:rsidR="00A94047" w:rsidRPr="007E122F" w:rsidRDefault="000A33FF" w:rsidP="004F7F3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1C1111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 w:rsidR="001F620A" w:rsidRPr="001C1111">
        <w:rPr>
          <w:rFonts w:ascii="Times New Roman" w:eastAsia="ＭＳ 明朝" w:hAnsi="Times New Roman" w:cs="Times New Roman"/>
          <w:b/>
          <w:bCs/>
          <w:color w:val="000000"/>
          <w:sz w:val="24"/>
        </w:rPr>
        <w:t>1</w:t>
      </w:r>
      <w:r w:rsidRPr="001C1111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. </w:t>
      </w:r>
      <w:bookmarkStart w:id="0" w:name="_Hlk236913778"/>
      <w:r w:rsidRPr="001F620A">
        <w:rPr>
          <w:rFonts w:ascii="Times New Roman" w:eastAsia="Times New Roman" w:hAnsi="Times New Roman" w:cs="Times New Roman"/>
          <w:color w:val="000000"/>
          <w:sz w:val="24"/>
        </w:rPr>
        <w:t>Definition</w:t>
      </w:r>
      <w:r w:rsidRPr="007E122F">
        <w:rPr>
          <w:rFonts w:ascii="Times New Roman" w:eastAsia="Times New Roman" w:hAnsi="Times New Roman" w:cs="Times New Roman"/>
          <w:color w:val="000000"/>
          <w:sz w:val="24"/>
        </w:rPr>
        <w:t xml:space="preserve">s of variables used in the </w:t>
      </w:r>
      <w:proofErr w:type="spellStart"/>
      <w:r w:rsidRPr="007E122F">
        <w:rPr>
          <w:rFonts w:ascii="Times New Roman" w:eastAsia="Times New Roman" w:hAnsi="Times New Roman" w:cs="Times New Roman"/>
          <w:color w:val="000000"/>
          <w:sz w:val="24"/>
        </w:rPr>
        <w:t>TriNetX</w:t>
      </w:r>
      <w:proofErr w:type="spellEnd"/>
      <w:r w:rsidRPr="007E122F">
        <w:rPr>
          <w:rFonts w:ascii="Times New Roman" w:eastAsia="Times New Roman" w:hAnsi="Times New Roman" w:cs="Times New Roman"/>
          <w:color w:val="000000"/>
          <w:sz w:val="24"/>
        </w:rPr>
        <w:t xml:space="preserve"> analysis</w:t>
      </w:r>
      <w:bookmarkEnd w:id="0"/>
    </w:p>
    <w:tbl>
      <w:tblPr>
        <w:tblStyle w:val="aa"/>
        <w:tblW w:w="5036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2"/>
        <w:gridCol w:w="2115"/>
      </w:tblGrid>
      <w:tr w:rsidR="0054568D" w14:paraId="48D2BA1E" w14:textId="77777777" w:rsidTr="005D220C">
        <w:trPr>
          <w:trHeight w:val="460"/>
        </w:trPr>
        <w:tc>
          <w:tcPr>
            <w:tcW w:w="38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08F5A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Variable name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83981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Code</w:t>
            </w:r>
          </w:p>
        </w:tc>
      </w:tr>
      <w:tr w:rsidR="0054568D" w14:paraId="7B1A6D94" w14:textId="77777777" w:rsidTr="005D220C">
        <w:trPr>
          <w:trHeight w:val="460"/>
        </w:trPr>
        <w:tc>
          <w:tcPr>
            <w:tcW w:w="3878" w:type="pct"/>
            <w:tcBorders>
              <w:top w:val="single" w:sz="4" w:space="0" w:color="auto"/>
            </w:tcBorders>
            <w:vAlign w:val="center"/>
          </w:tcPr>
          <w:p w14:paraId="573AE9D6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Age at Index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0A29A7E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Age at Index</w:t>
            </w:r>
          </w:p>
        </w:tc>
      </w:tr>
      <w:tr w:rsidR="0054568D" w14:paraId="07F4EF1B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3FEAB6D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Male sex</w:t>
            </w:r>
          </w:p>
        </w:tc>
        <w:tc>
          <w:tcPr>
            <w:tcW w:w="1122" w:type="pct"/>
            <w:vAlign w:val="center"/>
          </w:tcPr>
          <w:p w14:paraId="2A75E59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HL7: Male.</w:t>
            </w:r>
          </w:p>
        </w:tc>
      </w:tr>
      <w:tr w:rsidR="0054568D" w14:paraId="5A8217B6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5A8582D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Lansoprazole</w:t>
            </w:r>
          </w:p>
        </w:tc>
        <w:tc>
          <w:tcPr>
            <w:tcW w:w="1122" w:type="pct"/>
            <w:vAlign w:val="center"/>
          </w:tcPr>
          <w:p w14:paraId="4EF9A6D5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17128</w:t>
            </w:r>
          </w:p>
        </w:tc>
      </w:tr>
      <w:tr w:rsidR="0054568D" w14:paraId="76C627DB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BD49541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Esomeprazole</w:t>
            </w:r>
          </w:p>
        </w:tc>
        <w:tc>
          <w:tcPr>
            <w:tcW w:w="1122" w:type="pct"/>
            <w:vAlign w:val="center"/>
          </w:tcPr>
          <w:p w14:paraId="356ECD4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283742</w:t>
            </w:r>
          </w:p>
        </w:tc>
      </w:tr>
      <w:tr w:rsidR="0054568D" w14:paraId="271C51DB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2AF4018F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Omeprazole</w:t>
            </w:r>
          </w:p>
        </w:tc>
        <w:tc>
          <w:tcPr>
            <w:tcW w:w="1122" w:type="pct"/>
            <w:vAlign w:val="center"/>
          </w:tcPr>
          <w:p w14:paraId="6DEC8E4F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7646</w:t>
            </w:r>
          </w:p>
        </w:tc>
      </w:tr>
      <w:tr w:rsidR="0054568D" w14:paraId="1B248EB2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047CFA6E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Rabeprazole</w:t>
            </w:r>
          </w:p>
        </w:tc>
        <w:tc>
          <w:tcPr>
            <w:tcW w:w="1122" w:type="pct"/>
            <w:vAlign w:val="center"/>
          </w:tcPr>
          <w:p w14:paraId="49A00675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114979</w:t>
            </w:r>
          </w:p>
        </w:tc>
      </w:tr>
      <w:tr w:rsidR="0054568D" w14:paraId="3EA1E8DC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483147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Fidaxomicin</w:t>
            </w:r>
          </w:p>
        </w:tc>
        <w:tc>
          <w:tcPr>
            <w:tcW w:w="1122" w:type="pct"/>
            <w:vAlign w:val="center"/>
          </w:tcPr>
          <w:p w14:paraId="13B5C060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1111103</w:t>
            </w:r>
          </w:p>
        </w:tc>
      </w:tr>
      <w:tr w:rsidR="0054568D" w14:paraId="119C1D72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46F0C6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Vancomycin</w:t>
            </w:r>
          </w:p>
        </w:tc>
        <w:tc>
          <w:tcPr>
            <w:tcW w:w="1122" w:type="pct"/>
            <w:vAlign w:val="center"/>
          </w:tcPr>
          <w:p w14:paraId="133C768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11124</w:t>
            </w:r>
          </w:p>
        </w:tc>
      </w:tr>
      <w:tr w:rsidR="0054568D" w14:paraId="1D917D30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2D225051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Clostridioides difficile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toxin B [Presence] in Stool</w:t>
            </w:r>
          </w:p>
        </w:tc>
        <w:tc>
          <w:tcPr>
            <w:tcW w:w="1122" w:type="pct"/>
            <w:vAlign w:val="center"/>
          </w:tcPr>
          <w:p w14:paraId="18700C38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10895-1</w:t>
            </w:r>
          </w:p>
        </w:tc>
      </w:tr>
      <w:tr w:rsidR="0054568D" w14:paraId="76D9B832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717C60CB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Clostridioides difficile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toxin A+B [Presence] in Stool</w:t>
            </w:r>
          </w:p>
        </w:tc>
        <w:tc>
          <w:tcPr>
            <w:tcW w:w="1122" w:type="pct"/>
            <w:vAlign w:val="center"/>
          </w:tcPr>
          <w:p w14:paraId="4B9A3B17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34713-8</w:t>
            </w:r>
          </w:p>
        </w:tc>
      </w:tr>
      <w:tr w:rsidR="0054568D" w14:paraId="60FC2B35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197C440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Clostridioides difficile </w:t>
            </w: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toxin A+B [Presence] in Stool by immunoassay</w:t>
            </w:r>
          </w:p>
        </w:tc>
        <w:tc>
          <w:tcPr>
            <w:tcW w:w="1122" w:type="pct"/>
            <w:vAlign w:val="center"/>
          </w:tcPr>
          <w:p w14:paraId="4F49E5A8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LOINC 34468-9</w:t>
            </w:r>
          </w:p>
        </w:tc>
      </w:tr>
      <w:tr w:rsidR="0054568D" w14:paraId="1A2C98B1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5126D8A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Enterocolitis due to Clostridium difficile</w:t>
            </w:r>
          </w:p>
        </w:tc>
        <w:tc>
          <w:tcPr>
            <w:tcW w:w="1122" w:type="pct"/>
            <w:vAlign w:val="center"/>
          </w:tcPr>
          <w:p w14:paraId="6F012670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A04.7</w:t>
            </w:r>
          </w:p>
        </w:tc>
      </w:tr>
      <w:tr w:rsidR="0054568D" w14:paraId="7A483CCF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3BEA777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Chronic kidney Disease</w:t>
            </w:r>
          </w:p>
        </w:tc>
        <w:tc>
          <w:tcPr>
            <w:tcW w:w="1122" w:type="pct"/>
            <w:vAlign w:val="center"/>
          </w:tcPr>
          <w:p w14:paraId="2CF6272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N18</w:t>
            </w:r>
          </w:p>
        </w:tc>
      </w:tr>
      <w:tr w:rsidR="0054568D" w14:paraId="5B934B20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051BBE6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Other sepsis</w:t>
            </w:r>
          </w:p>
        </w:tc>
        <w:tc>
          <w:tcPr>
            <w:tcW w:w="1122" w:type="pct"/>
            <w:vAlign w:val="center"/>
          </w:tcPr>
          <w:p w14:paraId="1AA23335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A41</w:t>
            </w:r>
          </w:p>
        </w:tc>
      </w:tr>
      <w:tr w:rsidR="0054568D" w14:paraId="4F3F7336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3CB5E06B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Shock, not elsewhere classified</w:t>
            </w:r>
          </w:p>
        </w:tc>
        <w:tc>
          <w:tcPr>
            <w:tcW w:w="1122" w:type="pct"/>
            <w:vAlign w:val="center"/>
          </w:tcPr>
          <w:p w14:paraId="286F41E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R57</w:t>
            </w:r>
          </w:p>
        </w:tc>
      </w:tr>
      <w:tr w:rsidR="0054568D" w14:paraId="5FD7BE39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5033BEF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Noninfective enteritis and colitis</w:t>
            </w:r>
          </w:p>
        </w:tc>
        <w:tc>
          <w:tcPr>
            <w:tcW w:w="1122" w:type="pct"/>
            <w:vAlign w:val="center"/>
          </w:tcPr>
          <w:p w14:paraId="6C3246E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ICD-10-CM K50-52</w:t>
            </w:r>
          </w:p>
        </w:tc>
      </w:tr>
      <w:tr w:rsidR="0054568D" w14:paraId="47FA6255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72A97F86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Blood substitutes/perfusion solutions</w:t>
            </w:r>
          </w:p>
        </w:tc>
        <w:tc>
          <w:tcPr>
            <w:tcW w:w="1122" w:type="pct"/>
            <w:vAlign w:val="center"/>
          </w:tcPr>
          <w:p w14:paraId="6B8E2A51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ATC B05</w:t>
            </w:r>
          </w:p>
        </w:tc>
      </w:tr>
      <w:tr w:rsidR="0054568D" w14:paraId="0A52A0DE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B9B28E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Emergency Department Services</w:t>
            </w:r>
          </w:p>
        </w:tc>
        <w:tc>
          <w:tcPr>
            <w:tcW w:w="1122" w:type="pct"/>
            <w:vAlign w:val="center"/>
          </w:tcPr>
          <w:p w14:paraId="3A7DE1F7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CPT 1013711</w:t>
            </w:r>
          </w:p>
        </w:tc>
      </w:tr>
      <w:tr w:rsidR="0054568D" w14:paraId="65ECA17B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1EF219DA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Critical Care Services</w:t>
            </w:r>
          </w:p>
        </w:tc>
        <w:tc>
          <w:tcPr>
            <w:tcW w:w="1122" w:type="pct"/>
            <w:vAlign w:val="center"/>
          </w:tcPr>
          <w:p w14:paraId="48D67252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CPT 1013729</w:t>
            </w:r>
          </w:p>
        </w:tc>
      </w:tr>
      <w:tr w:rsidR="0054568D" w14:paraId="5423CD7A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1FBE8E4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Surgical Procedures on the Digestive System</w:t>
            </w:r>
          </w:p>
        </w:tc>
        <w:tc>
          <w:tcPr>
            <w:tcW w:w="1122" w:type="pct"/>
            <w:vAlign w:val="center"/>
          </w:tcPr>
          <w:p w14:paraId="78223A4E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CPT 1006964</w:t>
            </w:r>
          </w:p>
        </w:tc>
      </w:tr>
      <w:tr w:rsidR="0054568D" w14:paraId="0A65FFCB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7C8EA6FF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Antimicrobials</w:t>
            </w:r>
          </w:p>
        </w:tc>
        <w:tc>
          <w:tcPr>
            <w:tcW w:w="1122" w:type="pct"/>
            <w:vAlign w:val="center"/>
          </w:tcPr>
          <w:p w14:paraId="07A9712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VA AM000</w:t>
            </w:r>
          </w:p>
        </w:tc>
      </w:tr>
      <w:tr w:rsidR="0054568D" w14:paraId="754F012D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0612CB71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Anti-inflammatory and antirheumatic products, non-steroids</w:t>
            </w:r>
          </w:p>
        </w:tc>
        <w:tc>
          <w:tcPr>
            <w:tcW w:w="1122" w:type="pct"/>
            <w:vAlign w:val="center"/>
          </w:tcPr>
          <w:p w14:paraId="1A136679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ATC M01A</w:t>
            </w:r>
          </w:p>
        </w:tc>
      </w:tr>
      <w:tr w:rsidR="0054568D" w14:paraId="083EA537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72ED17A7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Tetracyclines</w:t>
            </w:r>
          </w:p>
        </w:tc>
        <w:tc>
          <w:tcPr>
            <w:tcW w:w="1122" w:type="pct"/>
            <w:vAlign w:val="center"/>
          </w:tcPr>
          <w:p w14:paraId="0CB148B3" w14:textId="5C62D073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J01A</w:t>
            </w:r>
          </w:p>
        </w:tc>
      </w:tr>
      <w:tr w:rsidR="0054568D" w14:paraId="3F1792FA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654EC92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Beta-lactam antibacterials, penicillins</w:t>
            </w:r>
          </w:p>
        </w:tc>
        <w:tc>
          <w:tcPr>
            <w:tcW w:w="1122" w:type="pct"/>
            <w:vAlign w:val="center"/>
          </w:tcPr>
          <w:p w14:paraId="630482B7" w14:textId="0B717D3D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J01C</w:t>
            </w:r>
          </w:p>
        </w:tc>
      </w:tr>
      <w:tr w:rsidR="0054568D" w14:paraId="272A16CA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CD68A85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First-generation cephalosporins</w:t>
            </w:r>
          </w:p>
        </w:tc>
        <w:tc>
          <w:tcPr>
            <w:tcW w:w="1122" w:type="pct"/>
            <w:vAlign w:val="center"/>
          </w:tcPr>
          <w:p w14:paraId="7D8D0C9E" w14:textId="4FD586BD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J01DB</w:t>
            </w:r>
          </w:p>
        </w:tc>
      </w:tr>
      <w:tr w:rsidR="0054568D" w14:paraId="462B492F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14B913EF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Second-generation cephalosporins</w:t>
            </w:r>
          </w:p>
        </w:tc>
        <w:tc>
          <w:tcPr>
            <w:tcW w:w="1122" w:type="pct"/>
            <w:vAlign w:val="center"/>
          </w:tcPr>
          <w:p w14:paraId="1B3E756B" w14:textId="20EFF078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J01DC</w:t>
            </w:r>
          </w:p>
        </w:tc>
      </w:tr>
      <w:tr w:rsidR="0054568D" w14:paraId="42677660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05A37C93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lastRenderedPageBreak/>
              <w:t>Third-generation cephalosporins</w:t>
            </w:r>
          </w:p>
        </w:tc>
        <w:tc>
          <w:tcPr>
            <w:tcW w:w="1122" w:type="pct"/>
            <w:vAlign w:val="center"/>
          </w:tcPr>
          <w:p w14:paraId="6BEEC77A" w14:textId="76287A7A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J01DD</w:t>
            </w:r>
          </w:p>
        </w:tc>
      </w:tr>
      <w:tr w:rsidR="0054568D" w14:paraId="467CC21F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16351FD0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Fourth-generation cephalosporins</w:t>
            </w:r>
          </w:p>
        </w:tc>
        <w:tc>
          <w:tcPr>
            <w:tcW w:w="1122" w:type="pct"/>
            <w:vAlign w:val="center"/>
          </w:tcPr>
          <w:p w14:paraId="0F12275D" w14:textId="3AEF2DA8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J01DE</w:t>
            </w:r>
          </w:p>
        </w:tc>
      </w:tr>
      <w:tr w:rsidR="0054568D" w14:paraId="46AFDA0F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3B3006F7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Carbapenems</w:t>
            </w:r>
          </w:p>
        </w:tc>
        <w:tc>
          <w:tcPr>
            <w:tcW w:w="1122" w:type="pct"/>
            <w:vAlign w:val="center"/>
          </w:tcPr>
          <w:p w14:paraId="3C87F431" w14:textId="4450A2ED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J01DH</w:t>
            </w:r>
          </w:p>
        </w:tc>
      </w:tr>
      <w:tr w:rsidR="0054568D" w14:paraId="1F4703C5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634D5E9E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 xml:space="preserve">Other cephalosporins and </w:t>
            </w:r>
            <w:proofErr w:type="spellStart"/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penems</w:t>
            </w:r>
            <w:proofErr w:type="spellEnd"/>
          </w:p>
        </w:tc>
        <w:tc>
          <w:tcPr>
            <w:tcW w:w="1122" w:type="pct"/>
            <w:vAlign w:val="center"/>
          </w:tcPr>
          <w:p w14:paraId="2A33C631" w14:textId="504C6DDD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J01DI</w:t>
            </w:r>
          </w:p>
        </w:tc>
      </w:tr>
      <w:tr w:rsidR="0054568D" w14:paraId="7C906E60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0268585D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Sulfonamides and trimethoprim</w:t>
            </w:r>
          </w:p>
        </w:tc>
        <w:tc>
          <w:tcPr>
            <w:tcW w:w="1122" w:type="pct"/>
            <w:vAlign w:val="center"/>
          </w:tcPr>
          <w:p w14:paraId="7812994F" w14:textId="5A058C3C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J01E</w:t>
            </w:r>
          </w:p>
        </w:tc>
      </w:tr>
      <w:tr w:rsidR="0054568D" w14:paraId="76416BFF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BE74166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Macrolides</w:t>
            </w:r>
          </w:p>
        </w:tc>
        <w:tc>
          <w:tcPr>
            <w:tcW w:w="1122" w:type="pct"/>
            <w:vAlign w:val="center"/>
          </w:tcPr>
          <w:p w14:paraId="01C4CEE2" w14:textId="51FD65E7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J01FA</w:t>
            </w:r>
          </w:p>
        </w:tc>
      </w:tr>
      <w:tr w:rsidR="0054568D" w14:paraId="5364D5C0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46D902CF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Clindamycin</w:t>
            </w:r>
          </w:p>
        </w:tc>
        <w:tc>
          <w:tcPr>
            <w:tcW w:w="1122" w:type="pct"/>
            <w:vAlign w:val="center"/>
          </w:tcPr>
          <w:p w14:paraId="0E4DA2A2" w14:textId="5CC0AFB0" w:rsidR="00A94047" w:rsidRPr="007E122F" w:rsidRDefault="009919E3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RxNorm</w:t>
            </w:r>
            <w:proofErr w:type="spellEnd"/>
            <w:r w:rsidR="00FB297C"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2582</w:t>
            </w:r>
          </w:p>
        </w:tc>
      </w:tr>
      <w:tr w:rsidR="0054568D" w14:paraId="6CECF517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5E6909BB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Aminoglycoside antibacterials</w:t>
            </w:r>
          </w:p>
        </w:tc>
        <w:tc>
          <w:tcPr>
            <w:tcW w:w="1122" w:type="pct"/>
            <w:vAlign w:val="center"/>
          </w:tcPr>
          <w:p w14:paraId="7EA722BF" w14:textId="17ABBE2C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J01G</w:t>
            </w:r>
          </w:p>
        </w:tc>
      </w:tr>
      <w:tr w:rsidR="0054568D" w14:paraId="0DA79126" w14:textId="77777777" w:rsidTr="005D220C">
        <w:trPr>
          <w:trHeight w:val="460"/>
        </w:trPr>
        <w:tc>
          <w:tcPr>
            <w:tcW w:w="3878" w:type="pct"/>
            <w:vAlign w:val="center"/>
          </w:tcPr>
          <w:p w14:paraId="59836F5C" w14:textId="77777777" w:rsidR="00A94047" w:rsidRPr="007E122F" w:rsidRDefault="000A33FF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Fluoroquinolones</w:t>
            </w:r>
          </w:p>
        </w:tc>
        <w:tc>
          <w:tcPr>
            <w:tcW w:w="1122" w:type="pct"/>
            <w:vAlign w:val="center"/>
          </w:tcPr>
          <w:p w14:paraId="22540DF1" w14:textId="55EB0E52" w:rsidR="00A94047" w:rsidRPr="007E122F" w:rsidRDefault="00FB297C" w:rsidP="005D2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ATC </w:t>
            </w:r>
            <w:r w:rsidR="000A33FF" w:rsidRPr="007E122F">
              <w:rPr>
                <w:rFonts w:ascii="Times New Roman" w:eastAsia="Times New Roman" w:hAnsi="Times New Roman" w:cs="Times New Roman"/>
                <w:color w:val="232425"/>
                <w:sz w:val="24"/>
              </w:rPr>
              <w:t>J01MA</w:t>
            </w:r>
          </w:p>
        </w:tc>
      </w:tr>
    </w:tbl>
    <w:p w14:paraId="49A162FC" w14:textId="77777777" w:rsidR="00FA32A9" w:rsidRPr="005E54C1" w:rsidRDefault="00FA32A9">
      <w:pPr>
        <w:rPr>
          <w:rFonts w:eastAsia="Yu Gothic"/>
        </w:rPr>
      </w:pPr>
    </w:p>
    <w:sectPr w:rsidR="00FA32A9" w:rsidRPr="005E5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1F2F" w14:textId="77777777" w:rsidR="009B3922" w:rsidRDefault="009B3922" w:rsidP="004F7F32">
      <w:pPr>
        <w:spacing w:after="0" w:line="240" w:lineRule="auto"/>
      </w:pPr>
      <w:r>
        <w:separator/>
      </w:r>
    </w:p>
  </w:endnote>
  <w:endnote w:type="continuationSeparator" w:id="0">
    <w:p w14:paraId="27467218" w14:textId="77777777" w:rsidR="009B3922" w:rsidRDefault="009B3922" w:rsidP="004F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5D86" w14:textId="77777777" w:rsidR="009B3922" w:rsidRDefault="009B3922" w:rsidP="004F7F32">
      <w:pPr>
        <w:spacing w:after="0" w:line="240" w:lineRule="auto"/>
      </w:pPr>
      <w:r>
        <w:separator/>
      </w:r>
    </w:p>
  </w:footnote>
  <w:footnote w:type="continuationSeparator" w:id="0">
    <w:p w14:paraId="65E8509A" w14:textId="77777777" w:rsidR="009B3922" w:rsidRDefault="009B3922" w:rsidP="004F7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47"/>
    <w:rsid w:val="000A33FF"/>
    <w:rsid w:val="001C1111"/>
    <w:rsid w:val="001C6F99"/>
    <w:rsid w:val="001E7863"/>
    <w:rsid w:val="001F620A"/>
    <w:rsid w:val="002E2098"/>
    <w:rsid w:val="004F7F32"/>
    <w:rsid w:val="0054568D"/>
    <w:rsid w:val="005D220C"/>
    <w:rsid w:val="005E54C1"/>
    <w:rsid w:val="00734F5F"/>
    <w:rsid w:val="0076645F"/>
    <w:rsid w:val="00784D62"/>
    <w:rsid w:val="0078764B"/>
    <w:rsid w:val="007C23CD"/>
    <w:rsid w:val="007E122F"/>
    <w:rsid w:val="007F4956"/>
    <w:rsid w:val="008621AC"/>
    <w:rsid w:val="00862D36"/>
    <w:rsid w:val="008F6239"/>
    <w:rsid w:val="00937A06"/>
    <w:rsid w:val="009919E3"/>
    <w:rsid w:val="009B3922"/>
    <w:rsid w:val="00A93F37"/>
    <w:rsid w:val="00A94047"/>
    <w:rsid w:val="00D70DBA"/>
    <w:rsid w:val="00DF7CBB"/>
    <w:rsid w:val="00E75ADF"/>
    <w:rsid w:val="00FA32A9"/>
    <w:rsid w:val="00FB297C"/>
    <w:rsid w:val="00FE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BAB26"/>
  <w15:chartTrackingRefBased/>
  <w15:docId w15:val="{C42BF571-BA0C-4A1E-B114-72313756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047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9404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04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047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047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047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047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047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047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047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4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A94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A94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A940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A94047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A940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A94047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A940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A940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047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A9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047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A9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4047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A94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4047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A940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404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A940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404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94047"/>
    <w:pPr>
      <w:spacing w:after="0" w:line="240" w:lineRule="auto"/>
    </w:pPr>
    <w:rPr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A94047"/>
    <w:pPr>
      <w:spacing w:after="0" w:line="240" w:lineRule="auto"/>
    </w:pPr>
    <w:rPr>
      <w:sz w:val="22"/>
      <w:lang w:eastAsia="ja-JP"/>
    </w:rPr>
  </w:style>
  <w:style w:type="character" w:styleId="ac">
    <w:name w:val="annotation reference"/>
    <w:basedOn w:val="a0"/>
    <w:uiPriority w:val="99"/>
    <w:semiHidden/>
    <w:unhideWhenUsed/>
    <w:rsid w:val="00A9404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94047"/>
    <w:pPr>
      <w:spacing w:line="240" w:lineRule="auto"/>
    </w:pPr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A94047"/>
    <w:rPr>
      <w:sz w:val="20"/>
      <w:szCs w:val="20"/>
      <w:lang w:eastAsia="ja-JP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9404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94047"/>
    <w:rPr>
      <w:b/>
      <w:bCs/>
      <w:sz w:val="20"/>
      <w:szCs w:val="20"/>
      <w:lang w:eastAsia="ja-JP"/>
    </w:rPr>
  </w:style>
  <w:style w:type="paragraph" w:styleId="af1">
    <w:name w:val="header"/>
    <w:basedOn w:val="a"/>
    <w:link w:val="af2"/>
    <w:uiPriority w:val="99"/>
    <w:unhideWhenUsed/>
    <w:rsid w:val="004F7F3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F7F32"/>
    <w:rPr>
      <w:sz w:val="22"/>
      <w:lang w:eastAsia="ja-JP"/>
    </w:rPr>
  </w:style>
  <w:style w:type="paragraph" w:styleId="af3">
    <w:name w:val="footer"/>
    <w:basedOn w:val="a"/>
    <w:link w:val="af4"/>
    <w:uiPriority w:val="99"/>
    <w:unhideWhenUsed/>
    <w:rsid w:val="004F7F32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4F7F32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12</cp:revision>
  <dcterms:created xsi:type="dcterms:W3CDTF">2026-08-06T12:44:00Z</dcterms:created>
  <dcterms:modified xsi:type="dcterms:W3CDTF">2026-08-10T11:58:00Z</dcterms:modified>
</cp:coreProperties>
</file>