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7E30F" w14:textId="77777777" w:rsidR="007E3AB8" w:rsidRPr="005E0FC6" w:rsidRDefault="007E3AB8" w:rsidP="007E3AB8">
      <w:pPr>
        <w:spacing w:line="480" w:lineRule="auto"/>
        <w:rPr>
          <w:b/>
          <w:bCs/>
          <w:color w:val="000000"/>
          <w:sz w:val="24"/>
          <w:szCs w:val="24"/>
        </w:rPr>
      </w:pPr>
      <w:r w:rsidRPr="005E0FC6">
        <w:rPr>
          <w:b/>
          <w:bCs/>
          <w:color w:val="000000"/>
          <w:sz w:val="24"/>
          <w:szCs w:val="24"/>
        </w:rPr>
        <w:t>Additional files</w:t>
      </w:r>
    </w:p>
    <w:p w14:paraId="6A6EBC32" w14:textId="77777777" w:rsidR="007E3AB8" w:rsidRPr="005E0FC6" w:rsidRDefault="007E3AB8" w:rsidP="007E3AB8">
      <w:pPr>
        <w:spacing w:line="480" w:lineRule="auto"/>
        <w:rPr>
          <w:color w:val="000000"/>
          <w:sz w:val="24"/>
          <w:szCs w:val="24"/>
          <w:lang w:eastAsia="ja-JP"/>
        </w:rPr>
      </w:pPr>
      <w:r w:rsidRPr="005E0FC6">
        <w:rPr>
          <w:color w:val="000000"/>
          <w:sz w:val="24"/>
          <w:szCs w:val="24"/>
        </w:rPr>
        <w:t xml:space="preserve">File name: Additional file </w:t>
      </w:r>
      <w:r w:rsidRPr="005E0FC6">
        <w:rPr>
          <w:color w:val="000000"/>
          <w:sz w:val="24"/>
          <w:szCs w:val="24"/>
          <w:lang w:eastAsia="ja-JP"/>
        </w:rPr>
        <w:t>1</w:t>
      </w:r>
    </w:p>
    <w:p w14:paraId="3536ACD8" w14:textId="77777777" w:rsidR="007E3AB8" w:rsidRPr="005E0FC6" w:rsidRDefault="007E3AB8" w:rsidP="007E3AB8">
      <w:pPr>
        <w:spacing w:line="480" w:lineRule="auto"/>
        <w:rPr>
          <w:color w:val="000000"/>
          <w:sz w:val="24"/>
          <w:szCs w:val="24"/>
        </w:rPr>
      </w:pPr>
      <w:r w:rsidRPr="005E0FC6">
        <w:rPr>
          <w:color w:val="000000"/>
          <w:sz w:val="24"/>
          <w:szCs w:val="24"/>
        </w:rPr>
        <w:t>File format: .docx</w:t>
      </w:r>
    </w:p>
    <w:p w14:paraId="0D91BCC7" w14:textId="77777777" w:rsidR="007E3AB8" w:rsidRPr="005E0FC6" w:rsidRDefault="007E3AB8" w:rsidP="007E3AB8">
      <w:pPr>
        <w:spacing w:line="480" w:lineRule="auto"/>
        <w:rPr>
          <w:color w:val="000000"/>
          <w:sz w:val="24"/>
          <w:szCs w:val="24"/>
        </w:rPr>
      </w:pPr>
      <w:r w:rsidRPr="005E0FC6">
        <w:rPr>
          <w:color w:val="000000"/>
          <w:sz w:val="24"/>
          <w:szCs w:val="24"/>
        </w:rPr>
        <w:t>Title of data: Definitions of variables used in the TriNetX analysis</w:t>
      </w:r>
    </w:p>
    <w:p w14:paraId="2B03DDC2" w14:textId="77777777" w:rsidR="007E3AB8" w:rsidRPr="005E0FC6" w:rsidRDefault="007E3AB8" w:rsidP="007E3AB8">
      <w:pPr>
        <w:spacing w:line="480" w:lineRule="auto"/>
        <w:rPr>
          <w:color w:val="000000"/>
          <w:sz w:val="24"/>
          <w:szCs w:val="24"/>
          <w:lang w:eastAsia="ja-JP"/>
        </w:rPr>
      </w:pPr>
      <w:r w:rsidRPr="005E0FC6">
        <w:rPr>
          <w:color w:val="000000"/>
          <w:sz w:val="24"/>
          <w:szCs w:val="24"/>
        </w:rPr>
        <w:t>Description of data:</w:t>
      </w:r>
      <w:r w:rsidRPr="005E0FC6">
        <w:rPr>
          <w:sz w:val="24"/>
          <w:szCs w:val="24"/>
        </w:rPr>
        <w:t xml:space="preserve"> </w:t>
      </w:r>
      <w:r w:rsidRPr="005E0FC6">
        <w:rPr>
          <w:color w:val="000000"/>
          <w:sz w:val="24"/>
          <w:szCs w:val="24"/>
        </w:rPr>
        <w:t>Diagnoses were ascertained using International Classification of Diseases, Tenth Revision, Clinical Modification (ICD-10-CM) codes. Medication use was identified using RxNorm, Veterans Affairs National Drug File terminology, or the Anatomical Therapeutic Chemical (ATC) Classification System. Laboratory test data were identified using Logical Observation Identifiers Names and Codes (LOINC), a standardized coding system for laboratory and clinical observations, and Current Procedural Terminology (CPT) codes, which describe medical procedures and diagnostic services, including laboratory testing</w:t>
      </w:r>
      <w:r w:rsidRPr="005E0FC6">
        <w:rPr>
          <w:color w:val="000000"/>
          <w:sz w:val="24"/>
          <w:szCs w:val="24"/>
          <w:lang w:eastAsia="ja-JP"/>
        </w:rPr>
        <w:t>.</w:t>
      </w:r>
    </w:p>
    <w:p w14:paraId="4E5F2F8C" w14:textId="77777777" w:rsidR="007E3AB8" w:rsidRPr="005E0FC6" w:rsidRDefault="007E3AB8" w:rsidP="007E3AB8">
      <w:pPr>
        <w:spacing w:line="480" w:lineRule="auto"/>
        <w:rPr>
          <w:b/>
          <w:bCs/>
          <w:color w:val="000000"/>
          <w:sz w:val="24"/>
          <w:szCs w:val="24"/>
        </w:rPr>
      </w:pPr>
    </w:p>
    <w:p w14:paraId="34AFE00F" w14:textId="77777777" w:rsidR="007E3AB8" w:rsidRPr="005E0FC6" w:rsidRDefault="007E3AB8" w:rsidP="007E3AB8">
      <w:pPr>
        <w:spacing w:line="480" w:lineRule="auto"/>
        <w:rPr>
          <w:color w:val="000000"/>
          <w:sz w:val="24"/>
          <w:szCs w:val="24"/>
          <w:lang w:eastAsia="ja-JP"/>
        </w:rPr>
      </w:pPr>
      <w:r w:rsidRPr="005E0FC6">
        <w:rPr>
          <w:b/>
          <w:bCs/>
          <w:color w:val="000000"/>
          <w:sz w:val="24"/>
          <w:szCs w:val="24"/>
        </w:rPr>
        <w:t>File name:</w:t>
      </w:r>
      <w:r w:rsidRPr="005E0FC6">
        <w:rPr>
          <w:color w:val="000000"/>
          <w:sz w:val="24"/>
          <w:szCs w:val="24"/>
        </w:rPr>
        <w:t xml:space="preserve"> Additional file </w:t>
      </w:r>
      <w:r w:rsidRPr="005E0FC6">
        <w:rPr>
          <w:color w:val="000000"/>
          <w:sz w:val="24"/>
          <w:szCs w:val="24"/>
          <w:lang w:eastAsia="ja-JP"/>
        </w:rPr>
        <w:t>2</w:t>
      </w:r>
    </w:p>
    <w:p w14:paraId="5A335CE4" w14:textId="77777777" w:rsidR="007E3AB8" w:rsidRPr="005E0FC6" w:rsidRDefault="007E3AB8" w:rsidP="007E3AB8">
      <w:pPr>
        <w:spacing w:line="480" w:lineRule="auto"/>
        <w:rPr>
          <w:color w:val="000000"/>
          <w:sz w:val="24"/>
          <w:szCs w:val="24"/>
        </w:rPr>
      </w:pPr>
      <w:r w:rsidRPr="005E0FC6">
        <w:rPr>
          <w:b/>
          <w:bCs/>
          <w:color w:val="000000"/>
          <w:sz w:val="24"/>
          <w:szCs w:val="24"/>
        </w:rPr>
        <w:t>File format:</w:t>
      </w:r>
      <w:r w:rsidRPr="005E0FC6">
        <w:rPr>
          <w:color w:val="000000"/>
          <w:sz w:val="24"/>
          <w:szCs w:val="24"/>
        </w:rPr>
        <w:t xml:space="preserve"> .docx</w:t>
      </w:r>
    </w:p>
    <w:p w14:paraId="7F7F6E91" w14:textId="77777777" w:rsidR="007E3AB8" w:rsidRPr="005E0FC6" w:rsidRDefault="007E3AB8" w:rsidP="007E3AB8">
      <w:pPr>
        <w:spacing w:line="480" w:lineRule="auto"/>
        <w:rPr>
          <w:color w:val="000000"/>
          <w:sz w:val="24"/>
          <w:szCs w:val="24"/>
        </w:rPr>
      </w:pPr>
      <w:r w:rsidRPr="005E0FC6">
        <w:rPr>
          <w:b/>
          <w:bCs/>
          <w:color w:val="000000"/>
          <w:sz w:val="24"/>
          <w:szCs w:val="24"/>
        </w:rPr>
        <w:t>Title of data:</w:t>
      </w:r>
      <w:r w:rsidRPr="005E0FC6">
        <w:rPr>
          <w:color w:val="000000"/>
          <w:sz w:val="24"/>
          <w:szCs w:val="24"/>
        </w:rPr>
        <w:t xml:space="preserve"> Study design flowchart</w:t>
      </w:r>
    </w:p>
    <w:p w14:paraId="56C1A56A" w14:textId="77777777" w:rsidR="007E3AB8" w:rsidRPr="005E0FC6" w:rsidRDefault="007E3AB8" w:rsidP="007E3AB8">
      <w:pPr>
        <w:spacing w:line="480" w:lineRule="auto"/>
        <w:rPr>
          <w:color w:val="000000"/>
          <w:sz w:val="24"/>
          <w:szCs w:val="24"/>
        </w:rPr>
      </w:pPr>
      <w:r w:rsidRPr="005E0FC6">
        <w:rPr>
          <w:b/>
          <w:bCs/>
          <w:color w:val="000000"/>
          <w:sz w:val="24"/>
          <w:szCs w:val="24"/>
        </w:rPr>
        <w:t>Description of data:</w:t>
      </w:r>
      <w:r w:rsidRPr="005E0FC6">
        <w:rPr>
          <w:sz w:val="24"/>
          <w:szCs w:val="24"/>
        </w:rPr>
        <w:t xml:space="preserve"> </w:t>
      </w:r>
      <w:r w:rsidRPr="005E0FC6">
        <w:rPr>
          <w:color w:val="000000"/>
          <w:sz w:val="24"/>
          <w:szCs w:val="24"/>
        </w:rPr>
        <w:t xml:space="preserve">The index date was defined as the date of PPI initiation. Baseline </w:t>
      </w:r>
      <w:r w:rsidRPr="005E0FC6">
        <w:rPr>
          <w:color w:val="000000"/>
          <w:sz w:val="24"/>
          <w:szCs w:val="24"/>
        </w:rPr>
        <w:lastRenderedPageBreak/>
        <w:t>covariates, including demographic characteristics, comorbidities, medication use, and healthcare utilization, were assessed during the same 365-day period preceding PPI initiation.</w:t>
      </w:r>
    </w:p>
    <w:p w14:paraId="5DF3AD58" w14:textId="77777777" w:rsidR="007E3AB8" w:rsidRPr="005E0FC6" w:rsidRDefault="007E3AB8" w:rsidP="007E3AB8">
      <w:pPr>
        <w:spacing w:line="480" w:lineRule="auto"/>
        <w:rPr>
          <w:rFonts w:eastAsia="Times New Roman"/>
          <w:color w:val="000000"/>
          <w:sz w:val="24"/>
          <w:szCs w:val="24"/>
        </w:rPr>
      </w:pPr>
      <w:r w:rsidRPr="005E0FC6">
        <w:rPr>
          <w:rFonts w:eastAsia="Times New Roman"/>
          <w:color w:val="000000"/>
          <w:sz w:val="24"/>
          <w:szCs w:val="24"/>
        </w:rPr>
        <w:t xml:space="preserve">CDI, </w:t>
      </w:r>
      <w:r w:rsidRPr="005E0FC6">
        <w:rPr>
          <w:rFonts w:eastAsia="Times New Roman"/>
          <w:i/>
          <w:color w:val="000000"/>
          <w:sz w:val="24"/>
          <w:szCs w:val="24"/>
        </w:rPr>
        <w:t>Clostridioides difficile</w:t>
      </w:r>
      <w:r w:rsidRPr="005E0FC6">
        <w:rPr>
          <w:rFonts w:eastAsia="Times New Roman"/>
          <w:color w:val="000000"/>
          <w:sz w:val="24"/>
          <w:szCs w:val="24"/>
        </w:rPr>
        <w:t xml:space="preserve"> infection; PPI, proton pump inhibitor.</w:t>
      </w:r>
    </w:p>
    <w:p w14:paraId="684E0100" w14:textId="77777777" w:rsidR="007E3AB8" w:rsidRPr="005E0FC6" w:rsidRDefault="007E3AB8" w:rsidP="007E3AB8">
      <w:pPr>
        <w:spacing w:line="480" w:lineRule="auto"/>
        <w:rPr>
          <w:color w:val="000000"/>
          <w:sz w:val="24"/>
          <w:szCs w:val="24"/>
        </w:rPr>
      </w:pPr>
    </w:p>
    <w:p w14:paraId="13895CC1" w14:textId="77777777" w:rsidR="007E3AB8" w:rsidRPr="005E0FC6" w:rsidRDefault="007E3AB8" w:rsidP="007E3AB8">
      <w:pPr>
        <w:spacing w:line="480" w:lineRule="auto"/>
        <w:rPr>
          <w:color w:val="000000"/>
          <w:sz w:val="24"/>
          <w:szCs w:val="24"/>
        </w:rPr>
      </w:pPr>
    </w:p>
    <w:p w14:paraId="17B82657" w14:textId="77777777" w:rsidR="007E3AB8" w:rsidRPr="005E0FC6" w:rsidRDefault="007E3AB8" w:rsidP="007E3AB8">
      <w:pPr>
        <w:spacing w:line="480" w:lineRule="auto"/>
        <w:rPr>
          <w:color w:val="000000"/>
          <w:sz w:val="24"/>
          <w:szCs w:val="24"/>
          <w:lang w:eastAsia="ja-JP"/>
        </w:rPr>
      </w:pPr>
      <w:r w:rsidRPr="005E0FC6">
        <w:rPr>
          <w:b/>
          <w:bCs/>
          <w:color w:val="000000"/>
          <w:sz w:val="24"/>
          <w:szCs w:val="24"/>
        </w:rPr>
        <w:t>File name:</w:t>
      </w:r>
      <w:r w:rsidRPr="005E0FC6">
        <w:rPr>
          <w:color w:val="000000"/>
          <w:sz w:val="24"/>
          <w:szCs w:val="24"/>
        </w:rPr>
        <w:t xml:space="preserve"> Additional file </w:t>
      </w:r>
      <w:r w:rsidRPr="005E0FC6">
        <w:rPr>
          <w:color w:val="000000"/>
          <w:sz w:val="24"/>
          <w:szCs w:val="24"/>
          <w:lang w:eastAsia="ja-JP"/>
        </w:rPr>
        <w:t>3</w:t>
      </w:r>
    </w:p>
    <w:p w14:paraId="0EA3A35C" w14:textId="77777777" w:rsidR="007E3AB8" w:rsidRPr="005E0FC6" w:rsidRDefault="007E3AB8" w:rsidP="007E3AB8">
      <w:pPr>
        <w:spacing w:line="480" w:lineRule="auto"/>
        <w:rPr>
          <w:color w:val="000000"/>
          <w:sz w:val="24"/>
          <w:szCs w:val="24"/>
        </w:rPr>
      </w:pPr>
      <w:r w:rsidRPr="005E0FC6">
        <w:rPr>
          <w:b/>
          <w:bCs/>
          <w:color w:val="000000"/>
          <w:sz w:val="24"/>
          <w:szCs w:val="24"/>
        </w:rPr>
        <w:t>File format:</w:t>
      </w:r>
      <w:r w:rsidRPr="005E0FC6">
        <w:rPr>
          <w:color w:val="000000"/>
          <w:sz w:val="24"/>
          <w:szCs w:val="24"/>
        </w:rPr>
        <w:t xml:space="preserve"> .docx</w:t>
      </w:r>
    </w:p>
    <w:p w14:paraId="36BECC66" w14:textId="77777777" w:rsidR="007E3AB8" w:rsidRPr="005E0FC6" w:rsidRDefault="007E3AB8" w:rsidP="007E3AB8">
      <w:pPr>
        <w:spacing w:line="480" w:lineRule="auto"/>
        <w:rPr>
          <w:color w:val="000000"/>
          <w:sz w:val="24"/>
          <w:szCs w:val="24"/>
        </w:rPr>
      </w:pPr>
      <w:r w:rsidRPr="005E0FC6">
        <w:rPr>
          <w:b/>
          <w:bCs/>
          <w:color w:val="000000"/>
          <w:sz w:val="24"/>
          <w:szCs w:val="24"/>
        </w:rPr>
        <w:t>Title of data:</w:t>
      </w:r>
      <w:r w:rsidRPr="005E0FC6">
        <w:rPr>
          <w:color w:val="000000"/>
          <w:sz w:val="24"/>
          <w:szCs w:val="24"/>
        </w:rPr>
        <w:t xml:space="preserve"> O</w:t>
      </w:r>
      <w:r w:rsidRPr="005E0FC6">
        <w:rPr>
          <w:color w:val="000000"/>
          <w:sz w:val="24"/>
          <w:szCs w:val="24"/>
          <w:lang w:eastAsia="ja-JP"/>
        </w:rPr>
        <w:t>E</w:t>
      </w:r>
      <w:r w:rsidRPr="005E0FC6">
        <w:rPr>
          <w:color w:val="000000"/>
          <w:sz w:val="24"/>
          <w:szCs w:val="24"/>
        </w:rPr>
        <w:t xml:space="preserve"> based on the percentage of time with intragastric pH &gt; 4</w:t>
      </w:r>
    </w:p>
    <w:p w14:paraId="50B445F0" w14:textId="77777777" w:rsidR="007E3AB8" w:rsidRPr="005E0FC6" w:rsidRDefault="007E3AB8" w:rsidP="007E3AB8">
      <w:pPr>
        <w:spacing w:line="480" w:lineRule="auto"/>
        <w:rPr>
          <w:color w:val="000000"/>
          <w:sz w:val="24"/>
          <w:szCs w:val="24"/>
          <w:lang w:eastAsia="ja-JP"/>
        </w:rPr>
      </w:pPr>
      <w:r w:rsidRPr="005E0FC6">
        <w:rPr>
          <w:b/>
          <w:bCs/>
          <w:color w:val="000000"/>
          <w:sz w:val="24"/>
          <w:szCs w:val="24"/>
        </w:rPr>
        <w:t>Description of data:</w:t>
      </w:r>
      <w:r w:rsidRPr="005E0FC6">
        <w:rPr>
          <w:sz w:val="24"/>
          <w:szCs w:val="24"/>
        </w:rPr>
        <w:t xml:space="preserve"> </w:t>
      </w:r>
      <w:r w:rsidRPr="005E0FC6">
        <w:rPr>
          <w:color w:val="000000"/>
          <w:sz w:val="24"/>
          <w:szCs w:val="24"/>
        </w:rPr>
        <w:t>Omeprazole-equivalent doses for individual PPIs, derived from a comprehensive assessment of the dose-dependent effects of PPIs on intragastric pH</w:t>
      </w:r>
      <w:r w:rsidRPr="005E0FC6">
        <w:rPr>
          <w:color w:val="000000"/>
          <w:sz w:val="24"/>
          <w:szCs w:val="24"/>
          <w:lang w:eastAsia="ja-JP"/>
        </w:rPr>
        <w:t xml:space="preserve"> [8]</w:t>
      </w:r>
    </w:p>
    <w:p w14:paraId="2EEBDCB5" w14:textId="77777777" w:rsidR="007E3AB8" w:rsidRPr="005E0FC6" w:rsidRDefault="007E3AB8" w:rsidP="007E3AB8">
      <w:pPr>
        <w:rPr>
          <w:sz w:val="24"/>
          <w:szCs w:val="24"/>
          <w:lang w:eastAsia="ja-JP"/>
        </w:rPr>
      </w:pPr>
      <w:r w:rsidRPr="005E0FC6">
        <w:rPr>
          <w:rFonts w:eastAsia="Times New Roman"/>
          <w:color w:val="000000"/>
          <w:sz w:val="24"/>
          <w:szCs w:val="24"/>
        </w:rPr>
        <w:t>OE, omeprazole equivalent; PPI, proton pump inhibitor.</w:t>
      </w:r>
    </w:p>
    <w:p w14:paraId="297EE166" w14:textId="77777777" w:rsidR="007E3AB8" w:rsidRPr="005E0FC6" w:rsidRDefault="007E3AB8" w:rsidP="007E3AB8">
      <w:pPr>
        <w:spacing w:line="480" w:lineRule="auto"/>
        <w:rPr>
          <w:color w:val="000000"/>
          <w:sz w:val="24"/>
          <w:szCs w:val="24"/>
        </w:rPr>
      </w:pPr>
    </w:p>
    <w:p w14:paraId="0399D123" w14:textId="77777777" w:rsidR="007E3AB8" w:rsidRPr="005E0FC6" w:rsidRDefault="007E3AB8" w:rsidP="007E3AB8">
      <w:pPr>
        <w:spacing w:line="480" w:lineRule="auto"/>
        <w:rPr>
          <w:color w:val="000000"/>
          <w:sz w:val="24"/>
          <w:szCs w:val="24"/>
          <w:lang w:eastAsia="ja-JP"/>
        </w:rPr>
      </w:pPr>
      <w:r w:rsidRPr="005E0FC6">
        <w:rPr>
          <w:b/>
          <w:bCs/>
          <w:color w:val="000000"/>
          <w:sz w:val="24"/>
          <w:szCs w:val="24"/>
        </w:rPr>
        <w:t>File name:</w:t>
      </w:r>
      <w:r w:rsidRPr="005E0FC6">
        <w:rPr>
          <w:color w:val="000000"/>
          <w:sz w:val="24"/>
          <w:szCs w:val="24"/>
        </w:rPr>
        <w:t xml:space="preserve"> Additional file </w:t>
      </w:r>
      <w:r w:rsidRPr="005E0FC6">
        <w:rPr>
          <w:color w:val="000000"/>
          <w:sz w:val="24"/>
          <w:szCs w:val="24"/>
          <w:lang w:eastAsia="ja-JP"/>
        </w:rPr>
        <w:t>4</w:t>
      </w:r>
    </w:p>
    <w:p w14:paraId="3EF8DF57" w14:textId="77777777" w:rsidR="007E3AB8" w:rsidRPr="005E0FC6" w:rsidRDefault="007E3AB8" w:rsidP="007E3AB8">
      <w:pPr>
        <w:spacing w:line="480" w:lineRule="auto"/>
        <w:rPr>
          <w:color w:val="000000"/>
          <w:sz w:val="24"/>
          <w:szCs w:val="24"/>
        </w:rPr>
      </w:pPr>
      <w:r w:rsidRPr="005E0FC6">
        <w:rPr>
          <w:b/>
          <w:bCs/>
          <w:color w:val="000000"/>
          <w:sz w:val="24"/>
          <w:szCs w:val="24"/>
        </w:rPr>
        <w:t>File format:</w:t>
      </w:r>
      <w:r w:rsidRPr="005E0FC6">
        <w:rPr>
          <w:color w:val="000000"/>
          <w:sz w:val="24"/>
          <w:szCs w:val="24"/>
        </w:rPr>
        <w:t xml:space="preserve"> .docx</w:t>
      </w:r>
    </w:p>
    <w:p w14:paraId="6C9CEC36" w14:textId="77777777" w:rsidR="007E3AB8" w:rsidRPr="005E0FC6" w:rsidRDefault="007E3AB8" w:rsidP="007E3AB8">
      <w:pPr>
        <w:spacing w:line="480" w:lineRule="auto"/>
        <w:rPr>
          <w:color w:val="000000"/>
          <w:sz w:val="24"/>
          <w:szCs w:val="24"/>
        </w:rPr>
      </w:pPr>
      <w:r w:rsidRPr="005E0FC6">
        <w:rPr>
          <w:b/>
          <w:bCs/>
          <w:color w:val="000000"/>
          <w:sz w:val="24"/>
          <w:szCs w:val="24"/>
        </w:rPr>
        <w:t>Title of data:</w:t>
      </w:r>
      <w:r w:rsidRPr="005E0FC6">
        <w:rPr>
          <w:color w:val="000000"/>
          <w:sz w:val="24"/>
          <w:szCs w:val="24"/>
        </w:rPr>
        <w:t xml:space="preserve"> Outcome definitions</w:t>
      </w:r>
    </w:p>
    <w:p w14:paraId="5B1ECB20" w14:textId="77777777" w:rsidR="007E3AB8" w:rsidRPr="005E0FC6" w:rsidRDefault="007E3AB8" w:rsidP="007E3AB8">
      <w:pPr>
        <w:spacing w:line="480" w:lineRule="auto"/>
        <w:rPr>
          <w:rFonts w:eastAsia="Times New Roman"/>
          <w:color w:val="000000"/>
          <w:sz w:val="24"/>
          <w:szCs w:val="24"/>
        </w:rPr>
      </w:pPr>
      <w:r w:rsidRPr="005E0FC6">
        <w:rPr>
          <w:b/>
          <w:bCs/>
          <w:color w:val="000000"/>
          <w:sz w:val="24"/>
          <w:szCs w:val="24"/>
        </w:rPr>
        <w:t>Description of data:</w:t>
      </w:r>
      <w:r w:rsidRPr="005E0FC6">
        <w:rPr>
          <w:rFonts w:eastAsia="Times New Roman"/>
          <w:color w:val="000000"/>
          <w:sz w:val="24"/>
          <w:szCs w:val="24"/>
        </w:rPr>
        <w:t xml:space="preserve"> ICD-10-CM, International Classification of Diseases, Tenth Revision, Clinical Modification; LOINC, Logical Observation Identifiers Names and Codes</w:t>
      </w:r>
    </w:p>
    <w:p w14:paraId="4763800A" w14:textId="77777777" w:rsidR="007E3AB8" w:rsidRPr="005E0FC6" w:rsidRDefault="007E3AB8" w:rsidP="007E3AB8">
      <w:pPr>
        <w:spacing w:line="480" w:lineRule="auto"/>
        <w:rPr>
          <w:color w:val="000000"/>
          <w:sz w:val="24"/>
          <w:szCs w:val="24"/>
        </w:rPr>
      </w:pPr>
    </w:p>
    <w:p w14:paraId="4F33CB4F" w14:textId="77777777" w:rsidR="007E3AB8" w:rsidRPr="005E0FC6" w:rsidRDefault="007E3AB8" w:rsidP="007E3AB8">
      <w:pPr>
        <w:spacing w:line="480" w:lineRule="auto"/>
        <w:rPr>
          <w:color w:val="000000"/>
          <w:sz w:val="24"/>
          <w:szCs w:val="24"/>
        </w:rPr>
      </w:pPr>
    </w:p>
    <w:p w14:paraId="110B8113" w14:textId="77777777" w:rsidR="007E3AB8" w:rsidRPr="005E0FC6" w:rsidRDefault="007E3AB8" w:rsidP="007E3AB8">
      <w:pPr>
        <w:spacing w:line="480" w:lineRule="auto"/>
        <w:rPr>
          <w:color w:val="000000"/>
          <w:sz w:val="24"/>
          <w:szCs w:val="24"/>
        </w:rPr>
      </w:pPr>
    </w:p>
    <w:p w14:paraId="0163748C" w14:textId="77777777" w:rsidR="007E3AB8" w:rsidRPr="005E0FC6" w:rsidRDefault="007E3AB8" w:rsidP="007E3AB8">
      <w:pPr>
        <w:spacing w:line="480" w:lineRule="auto"/>
        <w:rPr>
          <w:color w:val="000000"/>
          <w:sz w:val="24"/>
          <w:szCs w:val="24"/>
        </w:rPr>
      </w:pPr>
    </w:p>
    <w:p w14:paraId="5F7ACCA4" w14:textId="77777777" w:rsidR="007E3AB8" w:rsidRPr="005E0FC6" w:rsidRDefault="007E3AB8" w:rsidP="007E3AB8">
      <w:pPr>
        <w:spacing w:line="480" w:lineRule="auto"/>
        <w:rPr>
          <w:color w:val="000000"/>
          <w:sz w:val="24"/>
          <w:szCs w:val="24"/>
        </w:rPr>
      </w:pPr>
    </w:p>
    <w:p w14:paraId="050988BF" w14:textId="77777777" w:rsidR="007E3AB8" w:rsidRPr="005E0FC6" w:rsidRDefault="007E3AB8" w:rsidP="007E3AB8">
      <w:pPr>
        <w:spacing w:line="480" w:lineRule="auto"/>
        <w:rPr>
          <w:color w:val="000000"/>
          <w:sz w:val="24"/>
          <w:szCs w:val="24"/>
        </w:rPr>
      </w:pPr>
      <w:r w:rsidRPr="005E0FC6">
        <w:rPr>
          <w:b/>
          <w:bCs/>
          <w:color w:val="000000"/>
          <w:sz w:val="24"/>
          <w:szCs w:val="24"/>
        </w:rPr>
        <w:t>File name:</w:t>
      </w:r>
      <w:r w:rsidRPr="005E0FC6">
        <w:rPr>
          <w:color w:val="000000"/>
          <w:sz w:val="24"/>
          <w:szCs w:val="24"/>
        </w:rPr>
        <w:t xml:space="preserve"> Additional file 5</w:t>
      </w:r>
    </w:p>
    <w:p w14:paraId="59CFCC2B" w14:textId="77777777" w:rsidR="007E3AB8" w:rsidRPr="005E0FC6" w:rsidRDefault="007E3AB8" w:rsidP="007E3AB8">
      <w:pPr>
        <w:spacing w:line="480" w:lineRule="auto"/>
        <w:rPr>
          <w:color w:val="000000"/>
          <w:sz w:val="24"/>
          <w:szCs w:val="24"/>
        </w:rPr>
      </w:pPr>
      <w:r w:rsidRPr="005E0FC6">
        <w:rPr>
          <w:b/>
          <w:bCs/>
          <w:color w:val="000000"/>
          <w:sz w:val="24"/>
          <w:szCs w:val="24"/>
        </w:rPr>
        <w:t>File format:</w:t>
      </w:r>
      <w:r w:rsidRPr="005E0FC6">
        <w:rPr>
          <w:color w:val="000000"/>
          <w:sz w:val="24"/>
          <w:szCs w:val="24"/>
        </w:rPr>
        <w:t xml:space="preserve"> .docx</w:t>
      </w:r>
    </w:p>
    <w:p w14:paraId="13D88416" w14:textId="77777777" w:rsidR="007E3AB8" w:rsidRPr="005E0FC6" w:rsidRDefault="007E3AB8" w:rsidP="007E3AB8">
      <w:pPr>
        <w:spacing w:line="480" w:lineRule="auto"/>
        <w:rPr>
          <w:color w:val="000000"/>
          <w:sz w:val="24"/>
          <w:szCs w:val="24"/>
        </w:rPr>
      </w:pPr>
      <w:r w:rsidRPr="005E0FC6">
        <w:rPr>
          <w:b/>
          <w:bCs/>
          <w:color w:val="000000"/>
          <w:sz w:val="24"/>
          <w:szCs w:val="24"/>
        </w:rPr>
        <w:t>Title of data:</w:t>
      </w:r>
      <w:r w:rsidRPr="005E0FC6">
        <w:rPr>
          <w:color w:val="000000"/>
          <w:sz w:val="24"/>
          <w:szCs w:val="24"/>
        </w:rPr>
        <w:t xml:space="preserve"> Distribution of antibiotic classes before and after propensity score matching</w:t>
      </w:r>
    </w:p>
    <w:p w14:paraId="744FFA22" w14:textId="77777777" w:rsidR="007E3AB8" w:rsidRPr="005E0FC6" w:rsidRDefault="007E3AB8" w:rsidP="007E3AB8">
      <w:pPr>
        <w:spacing w:line="480" w:lineRule="auto"/>
        <w:rPr>
          <w:rFonts w:eastAsia="Times New Roman"/>
          <w:color w:val="000000"/>
          <w:sz w:val="24"/>
          <w:szCs w:val="24"/>
        </w:rPr>
      </w:pPr>
      <w:r w:rsidRPr="005E0FC6">
        <w:rPr>
          <w:b/>
          <w:bCs/>
          <w:color w:val="000000"/>
          <w:sz w:val="24"/>
          <w:szCs w:val="24"/>
        </w:rPr>
        <w:t>Description of data:</w:t>
      </w:r>
      <w:r w:rsidRPr="005E0FC6">
        <w:rPr>
          <w:rFonts w:eastAsia="Yu Gothic"/>
          <w:color w:val="000000"/>
          <w:sz w:val="24"/>
          <w:szCs w:val="24"/>
        </w:rPr>
        <w:t xml:space="preserve"> I</w:t>
      </w:r>
      <w:r w:rsidRPr="005E0FC6">
        <w:rPr>
          <w:rFonts w:eastAsia="Times New Roman"/>
          <w:color w:val="000000"/>
          <w:sz w:val="24"/>
          <w:szCs w:val="24"/>
        </w:rPr>
        <w:t>ndividual antimicrobial classes were presented descriptively and were not included as separate covariates.</w:t>
      </w:r>
    </w:p>
    <w:p w14:paraId="3B3BE8C2" w14:textId="77777777" w:rsidR="007E3AB8" w:rsidRPr="005E0FC6" w:rsidRDefault="007E3AB8" w:rsidP="007E3AB8">
      <w:pPr>
        <w:spacing w:line="480" w:lineRule="auto"/>
        <w:rPr>
          <w:color w:val="000000"/>
          <w:sz w:val="24"/>
          <w:szCs w:val="24"/>
          <w:lang w:eastAsia="ja-JP"/>
        </w:rPr>
      </w:pPr>
      <w:r w:rsidRPr="005E0FC6">
        <w:rPr>
          <w:rFonts w:eastAsia="Times New Roman"/>
          <w:color w:val="000000"/>
          <w:sz w:val="24"/>
          <w:szCs w:val="24"/>
        </w:rPr>
        <w:t>OE, omeprazole equivalent; SMD, standardized mean difference.</w:t>
      </w:r>
    </w:p>
    <w:p w14:paraId="045D1E71" w14:textId="77777777" w:rsidR="007E3AB8" w:rsidRPr="005E0FC6" w:rsidRDefault="007E3AB8" w:rsidP="007E3AB8">
      <w:pPr>
        <w:spacing w:line="480" w:lineRule="auto"/>
        <w:rPr>
          <w:color w:val="000000"/>
          <w:sz w:val="24"/>
          <w:szCs w:val="24"/>
        </w:rPr>
      </w:pPr>
    </w:p>
    <w:p w14:paraId="03657EDD" w14:textId="77777777" w:rsidR="007E3AB8" w:rsidRPr="005E0FC6" w:rsidRDefault="007E3AB8" w:rsidP="007E3AB8">
      <w:pPr>
        <w:spacing w:line="480" w:lineRule="auto"/>
        <w:rPr>
          <w:color w:val="000000"/>
          <w:sz w:val="24"/>
          <w:szCs w:val="24"/>
        </w:rPr>
      </w:pPr>
      <w:r w:rsidRPr="005E0FC6">
        <w:rPr>
          <w:b/>
          <w:bCs/>
          <w:color w:val="000000"/>
          <w:sz w:val="24"/>
          <w:szCs w:val="24"/>
        </w:rPr>
        <w:t>File name:</w:t>
      </w:r>
      <w:r w:rsidRPr="005E0FC6">
        <w:rPr>
          <w:color w:val="000000"/>
          <w:sz w:val="24"/>
          <w:szCs w:val="24"/>
        </w:rPr>
        <w:t xml:space="preserve"> Additional file 6</w:t>
      </w:r>
    </w:p>
    <w:p w14:paraId="67C0A565" w14:textId="77777777" w:rsidR="007E3AB8" w:rsidRPr="005E0FC6" w:rsidRDefault="007E3AB8" w:rsidP="007E3AB8">
      <w:pPr>
        <w:spacing w:line="480" w:lineRule="auto"/>
        <w:rPr>
          <w:color w:val="000000"/>
          <w:sz w:val="24"/>
          <w:szCs w:val="24"/>
        </w:rPr>
      </w:pPr>
      <w:r w:rsidRPr="005E0FC6">
        <w:rPr>
          <w:b/>
          <w:bCs/>
          <w:color w:val="000000"/>
          <w:sz w:val="24"/>
          <w:szCs w:val="24"/>
        </w:rPr>
        <w:t>File format:</w:t>
      </w:r>
      <w:r w:rsidRPr="005E0FC6">
        <w:rPr>
          <w:color w:val="000000"/>
          <w:sz w:val="24"/>
          <w:szCs w:val="24"/>
        </w:rPr>
        <w:t xml:space="preserve"> .docx</w:t>
      </w:r>
    </w:p>
    <w:p w14:paraId="64960DF9" w14:textId="77777777" w:rsidR="007E3AB8" w:rsidRPr="005E0FC6" w:rsidRDefault="007E3AB8" w:rsidP="007E3AB8">
      <w:pPr>
        <w:spacing w:line="480" w:lineRule="auto"/>
        <w:rPr>
          <w:color w:val="000000"/>
          <w:sz w:val="24"/>
          <w:szCs w:val="24"/>
        </w:rPr>
      </w:pPr>
      <w:r w:rsidRPr="005E0FC6">
        <w:rPr>
          <w:b/>
          <w:bCs/>
          <w:color w:val="000000"/>
          <w:sz w:val="24"/>
          <w:szCs w:val="24"/>
        </w:rPr>
        <w:t>Title of data:</w:t>
      </w:r>
      <w:r w:rsidRPr="005E0FC6">
        <w:rPr>
          <w:color w:val="000000"/>
          <w:sz w:val="24"/>
          <w:szCs w:val="24"/>
        </w:rPr>
        <w:t xml:space="preserve"> Incidence proportion of the composite CDI outcome within 4 weeks after PPI initiation by </w:t>
      </w:r>
      <w:r w:rsidRPr="005E0FC6">
        <w:rPr>
          <w:color w:val="000000"/>
          <w:sz w:val="24"/>
          <w:szCs w:val="24"/>
          <w:lang w:eastAsia="ja-JP"/>
        </w:rPr>
        <w:t>OE</w:t>
      </w:r>
      <w:r w:rsidRPr="005E0FC6">
        <w:rPr>
          <w:color w:val="000000"/>
          <w:sz w:val="24"/>
          <w:szCs w:val="24"/>
        </w:rPr>
        <w:t xml:space="preserve"> dose category in the unmatched cohort</w:t>
      </w:r>
    </w:p>
    <w:p w14:paraId="6BA2F414" w14:textId="77777777" w:rsidR="007E3AB8" w:rsidRPr="005E0FC6" w:rsidRDefault="007E3AB8" w:rsidP="007E3AB8">
      <w:pPr>
        <w:spacing w:line="480" w:lineRule="auto"/>
        <w:rPr>
          <w:color w:val="000000"/>
          <w:sz w:val="24"/>
          <w:szCs w:val="24"/>
        </w:rPr>
      </w:pPr>
      <w:r w:rsidRPr="005E0FC6">
        <w:rPr>
          <w:b/>
          <w:bCs/>
          <w:color w:val="000000"/>
          <w:sz w:val="24"/>
          <w:szCs w:val="24"/>
        </w:rPr>
        <w:lastRenderedPageBreak/>
        <w:t>Description of data:</w:t>
      </w:r>
    </w:p>
    <w:p w14:paraId="657A8F4F" w14:textId="77777777" w:rsidR="007E3AB8" w:rsidRPr="005E0FC6" w:rsidRDefault="007E3AB8" w:rsidP="007E3AB8">
      <w:pPr>
        <w:spacing w:line="480" w:lineRule="auto"/>
        <w:rPr>
          <w:rFonts w:eastAsia="Yu Mincho"/>
          <w:color w:val="000000"/>
          <w:sz w:val="24"/>
          <w:szCs w:val="24"/>
          <w:lang w:eastAsia="ja-JP"/>
        </w:rPr>
      </w:pPr>
      <w:r w:rsidRPr="005E0FC6">
        <w:rPr>
          <w:rFonts w:eastAsia="Times New Roman"/>
          <w:color w:val="000000"/>
          <w:sz w:val="24"/>
          <w:szCs w:val="24"/>
        </w:rPr>
        <w:t xml:space="preserve">The x-axis shows PPI OE dose categories (OE &lt;20 mg/day, 20–29 mg/day, and ≥30 mg/day), and the y-axis shows the incidence proportion of the composite CDI outcome during the 4-week (days 1–28) period following PPI initiation. </w:t>
      </w:r>
    </w:p>
    <w:p w14:paraId="29D8C735" w14:textId="77777777" w:rsidR="007E3AB8" w:rsidRPr="005E0FC6" w:rsidRDefault="007E3AB8" w:rsidP="007E3AB8">
      <w:pPr>
        <w:spacing w:line="480" w:lineRule="auto"/>
        <w:rPr>
          <w:rFonts w:eastAsia="Yu Mincho"/>
          <w:color w:val="000000"/>
          <w:sz w:val="24"/>
          <w:szCs w:val="24"/>
          <w:lang w:eastAsia="ja-JP"/>
        </w:rPr>
      </w:pPr>
      <w:r w:rsidRPr="005E0FC6">
        <w:rPr>
          <w:rFonts w:eastAsia="Times New Roman"/>
          <w:color w:val="000000"/>
          <w:sz w:val="24"/>
          <w:szCs w:val="24"/>
        </w:rPr>
        <w:t>CDI</w:t>
      </w:r>
      <w:r w:rsidRPr="005E0FC6">
        <w:rPr>
          <w:rFonts w:eastAsia="Yu Mincho"/>
          <w:color w:val="000000"/>
          <w:sz w:val="24"/>
          <w:szCs w:val="24"/>
          <w:lang w:eastAsia="ja-JP"/>
        </w:rPr>
        <w:t>,</w:t>
      </w:r>
      <w:r w:rsidRPr="005E0FC6">
        <w:rPr>
          <w:sz w:val="24"/>
          <w:szCs w:val="24"/>
        </w:rPr>
        <w:t xml:space="preserve"> </w:t>
      </w:r>
      <w:r w:rsidRPr="005E0FC6">
        <w:rPr>
          <w:rFonts w:eastAsia="Yu Mincho"/>
          <w:i/>
          <w:iCs/>
          <w:color w:val="000000"/>
          <w:sz w:val="24"/>
          <w:szCs w:val="24"/>
          <w:lang w:eastAsia="ja-JP"/>
        </w:rPr>
        <w:t xml:space="preserve">Clostridioides difficile </w:t>
      </w:r>
      <w:r w:rsidRPr="005E0FC6">
        <w:rPr>
          <w:rFonts w:eastAsia="Yu Mincho"/>
          <w:color w:val="000000"/>
          <w:sz w:val="24"/>
          <w:szCs w:val="24"/>
          <w:lang w:eastAsia="ja-JP"/>
        </w:rPr>
        <w:t>infection;</w:t>
      </w:r>
      <w:r w:rsidRPr="005E0FC6">
        <w:rPr>
          <w:rFonts w:eastAsia="Times New Roman"/>
          <w:color w:val="000000"/>
          <w:sz w:val="24"/>
          <w:szCs w:val="24"/>
        </w:rPr>
        <w:t xml:space="preserve"> OE, omeprazole equivalent</w:t>
      </w:r>
      <w:r w:rsidRPr="005E0FC6">
        <w:rPr>
          <w:rFonts w:eastAsia="Yu Mincho"/>
          <w:color w:val="000000"/>
          <w:sz w:val="24"/>
          <w:szCs w:val="24"/>
          <w:lang w:eastAsia="ja-JP"/>
        </w:rPr>
        <w:t>; PPIs, proton pump inhibitors</w:t>
      </w:r>
    </w:p>
    <w:p w14:paraId="7C5EF93E" w14:textId="77777777" w:rsidR="007E3AB8" w:rsidRPr="005E0FC6" w:rsidRDefault="007E3AB8" w:rsidP="007E3AB8">
      <w:pPr>
        <w:spacing w:line="480" w:lineRule="auto"/>
        <w:rPr>
          <w:color w:val="000000"/>
          <w:sz w:val="24"/>
          <w:szCs w:val="24"/>
        </w:rPr>
      </w:pPr>
    </w:p>
    <w:p w14:paraId="628CBA2E" w14:textId="77777777" w:rsidR="007E3AB8" w:rsidRPr="005E0FC6" w:rsidRDefault="007E3AB8" w:rsidP="007E3AB8">
      <w:pPr>
        <w:spacing w:line="480" w:lineRule="auto"/>
        <w:rPr>
          <w:color w:val="000000"/>
          <w:sz w:val="24"/>
          <w:szCs w:val="24"/>
        </w:rPr>
      </w:pPr>
      <w:r w:rsidRPr="005E0FC6">
        <w:rPr>
          <w:b/>
          <w:bCs/>
          <w:color w:val="000000"/>
          <w:sz w:val="24"/>
          <w:szCs w:val="24"/>
        </w:rPr>
        <w:t>File name:</w:t>
      </w:r>
      <w:r w:rsidRPr="005E0FC6">
        <w:rPr>
          <w:color w:val="000000"/>
          <w:sz w:val="24"/>
          <w:szCs w:val="24"/>
        </w:rPr>
        <w:t xml:space="preserve"> Additional file 7</w:t>
      </w:r>
    </w:p>
    <w:p w14:paraId="4BCF5DE3" w14:textId="77777777" w:rsidR="007E3AB8" w:rsidRPr="005E0FC6" w:rsidRDefault="007E3AB8" w:rsidP="007E3AB8">
      <w:pPr>
        <w:spacing w:line="480" w:lineRule="auto"/>
        <w:rPr>
          <w:color w:val="000000"/>
          <w:sz w:val="24"/>
          <w:szCs w:val="24"/>
        </w:rPr>
      </w:pPr>
      <w:r w:rsidRPr="005E0FC6">
        <w:rPr>
          <w:b/>
          <w:bCs/>
          <w:color w:val="000000"/>
          <w:sz w:val="24"/>
          <w:szCs w:val="24"/>
        </w:rPr>
        <w:t>File format:</w:t>
      </w:r>
      <w:r w:rsidRPr="005E0FC6">
        <w:rPr>
          <w:color w:val="000000"/>
          <w:sz w:val="24"/>
          <w:szCs w:val="24"/>
        </w:rPr>
        <w:t xml:space="preserve"> .docx</w:t>
      </w:r>
    </w:p>
    <w:p w14:paraId="6D51ABDF" w14:textId="77777777" w:rsidR="007E3AB8" w:rsidRPr="005E0FC6" w:rsidRDefault="007E3AB8" w:rsidP="007E3AB8">
      <w:pPr>
        <w:spacing w:line="480" w:lineRule="auto"/>
        <w:rPr>
          <w:color w:val="000000"/>
          <w:sz w:val="24"/>
          <w:szCs w:val="24"/>
        </w:rPr>
      </w:pPr>
      <w:r w:rsidRPr="005E0FC6">
        <w:rPr>
          <w:b/>
          <w:bCs/>
          <w:color w:val="000000"/>
          <w:sz w:val="24"/>
          <w:szCs w:val="24"/>
        </w:rPr>
        <w:t>Title of data:</w:t>
      </w:r>
      <w:r w:rsidRPr="005E0FC6">
        <w:rPr>
          <w:color w:val="000000"/>
          <w:sz w:val="24"/>
          <w:szCs w:val="24"/>
        </w:rPr>
        <w:t xml:space="preserve"> Incidence proportion of the composite CDI outcome within 4 weeks after PPI initiation stratified by age group and OE dose category in the unmatched cohort</w:t>
      </w:r>
    </w:p>
    <w:p w14:paraId="713B851E" w14:textId="77777777" w:rsidR="007E3AB8" w:rsidRPr="005E0FC6" w:rsidRDefault="007E3AB8" w:rsidP="007E3AB8">
      <w:pPr>
        <w:spacing w:line="480" w:lineRule="auto"/>
        <w:rPr>
          <w:color w:val="000000"/>
          <w:sz w:val="24"/>
          <w:szCs w:val="24"/>
        </w:rPr>
      </w:pPr>
      <w:r w:rsidRPr="005E0FC6">
        <w:rPr>
          <w:b/>
          <w:bCs/>
          <w:color w:val="000000"/>
          <w:sz w:val="24"/>
          <w:szCs w:val="24"/>
        </w:rPr>
        <w:t>Description of data:</w:t>
      </w:r>
    </w:p>
    <w:p w14:paraId="136EBA86" w14:textId="77777777" w:rsidR="007E3AB8" w:rsidRPr="005E0FC6" w:rsidRDefault="007E3AB8" w:rsidP="007E3AB8">
      <w:pPr>
        <w:spacing w:line="480" w:lineRule="auto"/>
        <w:rPr>
          <w:rFonts w:eastAsia="Yu Mincho"/>
          <w:color w:val="000000"/>
          <w:sz w:val="24"/>
          <w:szCs w:val="24"/>
          <w:lang w:eastAsia="ja-JP"/>
        </w:rPr>
      </w:pPr>
      <w:r w:rsidRPr="005E0FC6">
        <w:rPr>
          <w:rFonts w:eastAsia="Times New Roman"/>
          <w:color w:val="000000"/>
          <w:sz w:val="24"/>
          <w:szCs w:val="24"/>
        </w:rPr>
        <w:t>The bar chart shows the incidence proportion (%) of the composite CDI outcome within 4 weeks after initiation of a PPI, stratified by age group and daily PPI dose. The x-axis presents 5-year age categories from 0–4 years to &gt;85 years, while the y-axis displays the incidence proportion of the composite CDI outcome. White bars represent doses of &lt;20 mg/day, gray bars represent 20–29 mg/day, and black bars represent ≥30 mg/day.</w:t>
      </w:r>
    </w:p>
    <w:p w14:paraId="19F66C71" w14:textId="77777777" w:rsidR="007E3AB8" w:rsidRPr="005E0FC6" w:rsidRDefault="007E3AB8" w:rsidP="007E3AB8">
      <w:pPr>
        <w:spacing w:line="480" w:lineRule="auto"/>
        <w:rPr>
          <w:rFonts w:eastAsia="Yu Mincho"/>
          <w:color w:val="000000"/>
          <w:sz w:val="24"/>
          <w:szCs w:val="24"/>
          <w:lang w:eastAsia="ja-JP"/>
        </w:rPr>
      </w:pPr>
      <w:r w:rsidRPr="005E0FC6">
        <w:rPr>
          <w:rFonts w:eastAsia="Times New Roman"/>
          <w:color w:val="000000"/>
          <w:sz w:val="24"/>
          <w:szCs w:val="24"/>
        </w:rPr>
        <w:lastRenderedPageBreak/>
        <w:t>CDI, </w:t>
      </w:r>
      <w:r w:rsidRPr="005E0FC6">
        <w:rPr>
          <w:rFonts w:eastAsia="Times New Roman"/>
          <w:i/>
          <w:color w:val="000000"/>
          <w:sz w:val="24"/>
          <w:szCs w:val="24"/>
        </w:rPr>
        <w:t>Clostridioides difficile</w:t>
      </w:r>
      <w:r w:rsidRPr="005E0FC6">
        <w:rPr>
          <w:rFonts w:eastAsia="Times New Roman"/>
          <w:color w:val="000000"/>
          <w:sz w:val="24"/>
          <w:szCs w:val="24"/>
        </w:rPr>
        <w:t> infection</w:t>
      </w:r>
      <w:r w:rsidRPr="005E0FC6">
        <w:rPr>
          <w:color w:val="000000"/>
          <w:sz w:val="24"/>
          <w:szCs w:val="24"/>
        </w:rPr>
        <w:t>;</w:t>
      </w:r>
      <w:r w:rsidRPr="005E0FC6">
        <w:rPr>
          <w:rFonts w:eastAsia="Times New Roman"/>
          <w:color w:val="000000"/>
          <w:sz w:val="24"/>
          <w:szCs w:val="24"/>
        </w:rPr>
        <w:t xml:space="preserve"> OE, omeprazole-equivalent; PPI, proton pump inhibitor.</w:t>
      </w:r>
    </w:p>
    <w:p w14:paraId="10F0BC90" w14:textId="77777777" w:rsidR="00E023F9" w:rsidRDefault="00E023F9"/>
    <w:sectPr w:rsidR="00E023F9" w:rsidSect="007E3AB8">
      <w:pgSz w:w="11906" w:h="16838"/>
      <w:pgMar w:top="1440" w:right="1440" w:bottom="1440" w:left="1440" w:header="850" w:footer="994" w:gutter="0"/>
      <w:lnNumType w:countBy="1" w:restart="continuous"/>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AB8"/>
    <w:rsid w:val="000C4033"/>
    <w:rsid w:val="00173ED8"/>
    <w:rsid w:val="002F50B1"/>
    <w:rsid w:val="004B42CB"/>
    <w:rsid w:val="005F2B46"/>
    <w:rsid w:val="006E1731"/>
    <w:rsid w:val="007E3AB8"/>
    <w:rsid w:val="00817ECD"/>
    <w:rsid w:val="00866D74"/>
    <w:rsid w:val="00882A73"/>
    <w:rsid w:val="00906905"/>
    <w:rsid w:val="0095305D"/>
    <w:rsid w:val="00B10170"/>
    <w:rsid w:val="00B260B7"/>
    <w:rsid w:val="00B85331"/>
    <w:rsid w:val="00C94D66"/>
    <w:rsid w:val="00DE7E69"/>
    <w:rsid w:val="00E023F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EB3DF"/>
  <w15:chartTrackingRefBased/>
  <w15:docId w15:val="{9A09623D-C483-4073-84E9-E23ED7D4A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3AB8"/>
    <w:pPr>
      <w:widowControl w:val="0"/>
      <w:spacing w:line="259" w:lineRule="auto"/>
    </w:pPr>
    <w:rPr>
      <w:rFonts w:ascii="Times New Roman" w:eastAsia="MS Mincho" w:hAnsi="Times New Roman" w:cs="Times New Roman"/>
      <w:kern w:val="0"/>
      <w:sz w:val="20"/>
      <w:szCs w:val="20"/>
      <w:lang w:val="en-US" w:eastAsia="zh-TW"/>
      <w14:ligatures w14:val="none"/>
    </w:rPr>
  </w:style>
  <w:style w:type="paragraph" w:styleId="Heading1">
    <w:name w:val="heading 1"/>
    <w:basedOn w:val="Normal"/>
    <w:next w:val="Normal"/>
    <w:link w:val="Heading1Char"/>
    <w:uiPriority w:val="9"/>
    <w:qFormat/>
    <w:rsid w:val="007E3AB8"/>
    <w:pPr>
      <w:keepNext/>
      <w:keepLines/>
      <w:widowControl/>
      <w:spacing w:before="360" w:after="80" w:line="278" w:lineRule="auto"/>
      <w:outlineLvl w:val="0"/>
    </w:pPr>
    <w:rPr>
      <w:rFonts w:asciiTheme="majorHAnsi" w:eastAsiaTheme="majorEastAsia" w:hAnsiTheme="majorHAnsi" w:cstheme="majorBidi"/>
      <w:color w:val="0F4761" w:themeColor="accent1" w:themeShade="BF"/>
      <w:kern w:val="2"/>
      <w:sz w:val="40"/>
      <w:szCs w:val="40"/>
      <w:lang w:val="en-IN" w:eastAsia="en-US"/>
      <w14:ligatures w14:val="standardContextual"/>
    </w:rPr>
  </w:style>
  <w:style w:type="paragraph" w:styleId="Heading2">
    <w:name w:val="heading 2"/>
    <w:basedOn w:val="Normal"/>
    <w:next w:val="Normal"/>
    <w:link w:val="Heading2Char"/>
    <w:uiPriority w:val="9"/>
    <w:semiHidden/>
    <w:unhideWhenUsed/>
    <w:qFormat/>
    <w:rsid w:val="007E3AB8"/>
    <w:pPr>
      <w:keepNext/>
      <w:keepLines/>
      <w:widowControl/>
      <w:spacing w:before="160" w:after="80" w:line="278" w:lineRule="auto"/>
      <w:outlineLvl w:val="1"/>
    </w:pPr>
    <w:rPr>
      <w:rFonts w:asciiTheme="majorHAnsi" w:eastAsiaTheme="majorEastAsia" w:hAnsiTheme="majorHAnsi" w:cstheme="majorBidi"/>
      <w:color w:val="0F4761" w:themeColor="accent1" w:themeShade="BF"/>
      <w:kern w:val="2"/>
      <w:sz w:val="32"/>
      <w:szCs w:val="32"/>
      <w:lang w:val="en-IN" w:eastAsia="en-US"/>
      <w14:ligatures w14:val="standardContextual"/>
    </w:rPr>
  </w:style>
  <w:style w:type="paragraph" w:styleId="Heading3">
    <w:name w:val="heading 3"/>
    <w:basedOn w:val="Normal"/>
    <w:next w:val="Normal"/>
    <w:link w:val="Heading3Char"/>
    <w:uiPriority w:val="9"/>
    <w:semiHidden/>
    <w:unhideWhenUsed/>
    <w:qFormat/>
    <w:rsid w:val="007E3AB8"/>
    <w:pPr>
      <w:keepNext/>
      <w:keepLines/>
      <w:widowControl/>
      <w:spacing w:before="160" w:after="80" w:line="278" w:lineRule="auto"/>
      <w:outlineLvl w:val="2"/>
    </w:pPr>
    <w:rPr>
      <w:rFonts w:asciiTheme="minorHAnsi" w:eastAsiaTheme="majorEastAsia" w:hAnsiTheme="minorHAnsi" w:cstheme="majorBidi"/>
      <w:color w:val="0F4761" w:themeColor="accent1" w:themeShade="BF"/>
      <w:kern w:val="2"/>
      <w:sz w:val="28"/>
      <w:szCs w:val="28"/>
      <w:lang w:val="en-IN" w:eastAsia="en-US"/>
      <w14:ligatures w14:val="standardContextual"/>
    </w:rPr>
  </w:style>
  <w:style w:type="paragraph" w:styleId="Heading4">
    <w:name w:val="heading 4"/>
    <w:basedOn w:val="Normal"/>
    <w:next w:val="Normal"/>
    <w:link w:val="Heading4Char"/>
    <w:uiPriority w:val="9"/>
    <w:semiHidden/>
    <w:unhideWhenUsed/>
    <w:qFormat/>
    <w:rsid w:val="007E3AB8"/>
    <w:pPr>
      <w:keepNext/>
      <w:keepLines/>
      <w:widowControl/>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IN" w:eastAsia="en-US"/>
      <w14:ligatures w14:val="standardContextual"/>
    </w:rPr>
  </w:style>
  <w:style w:type="paragraph" w:styleId="Heading5">
    <w:name w:val="heading 5"/>
    <w:basedOn w:val="Normal"/>
    <w:next w:val="Normal"/>
    <w:link w:val="Heading5Char"/>
    <w:uiPriority w:val="9"/>
    <w:semiHidden/>
    <w:unhideWhenUsed/>
    <w:qFormat/>
    <w:rsid w:val="007E3AB8"/>
    <w:pPr>
      <w:keepNext/>
      <w:keepLines/>
      <w:widowControl/>
      <w:spacing w:before="80" w:after="40" w:line="278" w:lineRule="auto"/>
      <w:outlineLvl w:val="4"/>
    </w:pPr>
    <w:rPr>
      <w:rFonts w:asciiTheme="minorHAnsi" w:eastAsiaTheme="majorEastAsia" w:hAnsiTheme="minorHAnsi" w:cstheme="majorBidi"/>
      <w:color w:val="0F4761" w:themeColor="accent1" w:themeShade="BF"/>
      <w:kern w:val="2"/>
      <w:sz w:val="24"/>
      <w:szCs w:val="24"/>
      <w:lang w:val="en-IN" w:eastAsia="en-US"/>
      <w14:ligatures w14:val="standardContextual"/>
    </w:rPr>
  </w:style>
  <w:style w:type="paragraph" w:styleId="Heading6">
    <w:name w:val="heading 6"/>
    <w:basedOn w:val="Normal"/>
    <w:next w:val="Normal"/>
    <w:link w:val="Heading6Char"/>
    <w:uiPriority w:val="9"/>
    <w:semiHidden/>
    <w:unhideWhenUsed/>
    <w:qFormat/>
    <w:rsid w:val="007E3AB8"/>
    <w:pPr>
      <w:keepNext/>
      <w:keepLines/>
      <w:widowControl/>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IN" w:eastAsia="en-US"/>
      <w14:ligatures w14:val="standardContextual"/>
    </w:rPr>
  </w:style>
  <w:style w:type="paragraph" w:styleId="Heading7">
    <w:name w:val="heading 7"/>
    <w:basedOn w:val="Normal"/>
    <w:next w:val="Normal"/>
    <w:link w:val="Heading7Char"/>
    <w:uiPriority w:val="9"/>
    <w:semiHidden/>
    <w:unhideWhenUsed/>
    <w:qFormat/>
    <w:rsid w:val="007E3AB8"/>
    <w:pPr>
      <w:keepNext/>
      <w:keepLines/>
      <w:widowControl/>
      <w:spacing w:before="40" w:after="0" w:line="278" w:lineRule="auto"/>
      <w:outlineLvl w:val="6"/>
    </w:pPr>
    <w:rPr>
      <w:rFonts w:asciiTheme="minorHAnsi" w:eastAsiaTheme="majorEastAsia" w:hAnsiTheme="minorHAnsi" w:cstheme="majorBidi"/>
      <w:color w:val="595959" w:themeColor="text1" w:themeTint="A6"/>
      <w:kern w:val="2"/>
      <w:sz w:val="24"/>
      <w:szCs w:val="24"/>
      <w:lang w:val="en-IN" w:eastAsia="en-US"/>
      <w14:ligatures w14:val="standardContextual"/>
    </w:rPr>
  </w:style>
  <w:style w:type="paragraph" w:styleId="Heading8">
    <w:name w:val="heading 8"/>
    <w:basedOn w:val="Normal"/>
    <w:next w:val="Normal"/>
    <w:link w:val="Heading8Char"/>
    <w:uiPriority w:val="9"/>
    <w:semiHidden/>
    <w:unhideWhenUsed/>
    <w:qFormat/>
    <w:rsid w:val="007E3AB8"/>
    <w:pPr>
      <w:keepNext/>
      <w:keepLines/>
      <w:widowControl/>
      <w:spacing w:after="0" w:line="278" w:lineRule="auto"/>
      <w:outlineLvl w:val="7"/>
    </w:pPr>
    <w:rPr>
      <w:rFonts w:asciiTheme="minorHAnsi" w:eastAsiaTheme="majorEastAsia" w:hAnsiTheme="minorHAnsi" w:cstheme="majorBidi"/>
      <w:i/>
      <w:iCs/>
      <w:color w:val="272727" w:themeColor="text1" w:themeTint="D8"/>
      <w:kern w:val="2"/>
      <w:sz w:val="24"/>
      <w:szCs w:val="24"/>
      <w:lang w:val="en-IN" w:eastAsia="en-US"/>
      <w14:ligatures w14:val="standardContextual"/>
    </w:rPr>
  </w:style>
  <w:style w:type="paragraph" w:styleId="Heading9">
    <w:name w:val="heading 9"/>
    <w:basedOn w:val="Normal"/>
    <w:next w:val="Normal"/>
    <w:link w:val="Heading9Char"/>
    <w:uiPriority w:val="9"/>
    <w:semiHidden/>
    <w:unhideWhenUsed/>
    <w:qFormat/>
    <w:rsid w:val="007E3AB8"/>
    <w:pPr>
      <w:keepNext/>
      <w:keepLines/>
      <w:widowControl/>
      <w:spacing w:after="0" w:line="278" w:lineRule="auto"/>
      <w:outlineLvl w:val="8"/>
    </w:pPr>
    <w:rPr>
      <w:rFonts w:asciiTheme="minorHAnsi" w:eastAsiaTheme="majorEastAsia" w:hAnsiTheme="minorHAnsi" w:cstheme="majorBidi"/>
      <w:color w:val="272727" w:themeColor="text1" w:themeTint="D8"/>
      <w:kern w:val="2"/>
      <w:sz w:val="24"/>
      <w:szCs w:val="24"/>
      <w:lang w:val="en-IN"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3A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3A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3A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3A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3A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3A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3A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3A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3AB8"/>
    <w:rPr>
      <w:rFonts w:eastAsiaTheme="majorEastAsia" w:cstheme="majorBidi"/>
      <w:color w:val="272727" w:themeColor="text1" w:themeTint="D8"/>
    </w:rPr>
  </w:style>
  <w:style w:type="paragraph" w:styleId="Title">
    <w:name w:val="Title"/>
    <w:basedOn w:val="Normal"/>
    <w:next w:val="Normal"/>
    <w:link w:val="TitleChar"/>
    <w:uiPriority w:val="10"/>
    <w:qFormat/>
    <w:rsid w:val="007E3AB8"/>
    <w:pPr>
      <w:widowControl/>
      <w:spacing w:after="80" w:line="240" w:lineRule="auto"/>
      <w:contextualSpacing/>
    </w:pPr>
    <w:rPr>
      <w:rFonts w:asciiTheme="majorHAnsi" w:eastAsiaTheme="majorEastAsia" w:hAnsiTheme="majorHAnsi" w:cstheme="majorBidi"/>
      <w:spacing w:val="-10"/>
      <w:kern w:val="28"/>
      <w:sz w:val="56"/>
      <w:szCs w:val="56"/>
      <w:lang w:val="en-IN" w:eastAsia="en-US"/>
      <w14:ligatures w14:val="standardContextual"/>
    </w:rPr>
  </w:style>
  <w:style w:type="character" w:customStyle="1" w:styleId="TitleChar">
    <w:name w:val="Title Char"/>
    <w:basedOn w:val="DefaultParagraphFont"/>
    <w:link w:val="Title"/>
    <w:uiPriority w:val="10"/>
    <w:rsid w:val="007E3A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3AB8"/>
    <w:pPr>
      <w:widowControl/>
      <w:numPr>
        <w:ilvl w:val="1"/>
      </w:numPr>
      <w:spacing w:line="278" w:lineRule="auto"/>
    </w:pPr>
    <w:rPr>
      <w:rFonts w:asciiTheme="minorHAnsi" w:eastAsiaTheme="majorEastAsia" w:hAnsiTheme="minorHAnsi" w:cstheme="majorBidi"/>
      <w:color w:val="595959" w:themeColor="text1" w:themeTint="A6"/>
      <w:spacing w:val="15"/>
      <w:kern w:val="2"/>
      <w:sz w:val="28"/>
      <w:szCs w:val="28"/>
      <w:lang w:val="en-IN" w:eastAsia="en-US"/>
      <w14:ligatures w14:val="standardContextual"/>
    </w:rPr>
  </w:style>
  <w:style w:type="character" w:customStyle="1" w:styleId="SubtitleChar">
    <w:name w:val="Subtitle Char"/>
    <w:basedOn w:val="DefaultParagraphFont"/>
    <w:link w:val="Subtitle"/>
    <w:uiPriority w:val="11"/>
    <w:rsid w:val="007E3A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3AB8"/>
    <w:pPr>
      <w:widowControl/>
      <w:spacing w:before="160" w:line="278" w:lineRule="auto"/>
      <w:jc w:val="center"/>
    </w:pPr>
    <w:rPr>
      <w:rFonts w:asciiTheme="minorHAnsi" w:eastAsiaTheme="minorHAnsi" w:hAnsiTheme="minorHAnsi" w:cstheme="minorBidi"/>
      <w:i/>
      <w:iCs/>
      <w:color w:val="404040" w:themeColor="text1" w:themeTint="BF"/>
      <w:kern w:val="2"/>
      <w:sz w:val="24"/>
      <w:szCs w:val="24"/>
      <w:lang w:val="en-IN" w:eastAsia="en-US"/>
      <w14:ligatures w14:val="standardContextual"/>
    </w:rPr>
  </w:style>
  <w:style w:type="character" w:customStyle="1" w:styleId="QuoteChar">
    <w:name w:val="Quote Char"/>
    <w:basedOn w:val="DefaultParagraphFont"/>
    <w:link w:val="Quote"/>
    <w:uiPriority w:val="29"/>
    <w:rsid w:val="007E3AB8"/>
    <w:rPr>
      <w:i/>
      <w:iCs/>
      <w:color w:val="404040" w:themeColor="text1" w:themeTint="BF"/>
    </w:rPr>
  </w:style>
  <w:style w:type="paragraph" w:styleId="ListParagraph">
    <w:name w:val="List Paragraph"/>
    <w:basedOn w:val="Normal"/>
    <w:uiPriority w:val="34"/>
    <w:qFormat/>
    <w:rsid w:val="007E3AB8"/>
    <w:pPr>
      <w:widowControl/>
      <w:spacing w:line="278" w:lineRule="auto"/>
      <w:ind w:left="720"/>
      <w:contextualSpacing/>
    </w:pPr>
    <w:rPr>
      <w:rFonts w:asciiTheme="minorHAnsi" w:eastAsiaTheme="minorHAnsi" w:hAnsiTheme="minorHAnsi" w:cstheme="minorBidi"/>
      <w:kern w:val="2"/>
      <w:sz w:val="24"/>
      <w:szCs w:val="24"/>
      <w:lang w:val="en-IN" w:eastAsia="en-US"/>
      <w14:ligatures w14:val="standardContextual"/>
    </w:rPr>
  </w:style>
  <w:style w:type="character" w:styleId="IntenseEmphasis">
    <w:name w:val="Intense Emphasis"/>
    <w:basedOn w:val="DefaultParagraphFont"/>
    <w:uiPriority w:val="21"/>
    <w:qFormat/>
    <w:rsid w:val="007E3AB8"/>
    <w:rPr>
      <w:i/>
      <w:iCs/>
      <w:color w:val="0F4761" w:themeColor="accent1" w:themeShade="BF"/>
    </w:rPr>
  </w:style>
  <w:style w:type="paragraph" w:styleId="IntenseQuote">
    <w:name w:val="Intense Quote"/>
    <w:basedOn w:val="Normal"/>
    <w:next w:val="Normal"/>
    <w:link w:val="IntenseQuoteChar"/>
    <w:uiPriority w:val="30"/>
    <w:qFormat/>
    <w:rsid w:val="007E3AB8"/>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IN" w:eastAsia="en-US"/>
      <w14:ligatures w14:val="standardContextual"/>
    </w:rPr>
  </w:style>
  <w:style w:type="character" w:customStyle="1" w:styleId="IntenseQuoteChar">
    <w:name w:val="Intense Quote Char"/>
    <w:basedOn w:val="DefaultParagraphFont"/>
    <w:link w:val="IntenseQuote"/>
    <w:uiPriority w:val="30"/>
    <w:rsid w:val="007E3AB8"/>
    <w:rPr>
      <w:i/>
      <w:iCs/>
      <w:color w:val="0F4761" w:themeColor="accent1" w:themeShade="BF"/>
    </w:rPr>
  </w:style>
  <w:style w:type="character" w:styleId="IntenseReference">
    <w:name w:val="Intense Reference"/>
    <w:basedOn w:val="DefaultParagraphFont"/>
    <w:uiPriority w:val="32"/>
    <w:qFormat/>
    <w:rsid w:val="007E3AB8"/>
    <w:rPr>
      <w:b/>
      <w:bCs/>
      <w:smallCaps/>
      <w:color w:val="0F4761" w:themeColor="accent1" w:themeShade="BF"/>
      <w:spacing w:val="5"/>
    </w:rPr>
  </w:style>
  <w:style w:type="character" w:styleId="LineNumber">
    <w:name w:val="line number"/>
    <w:basedOn w:val="DefaultParagraphFont"/>
    <w:uiPriority w:val="99"/>
    <w:semiHidden/>
    <w:unhideWhenUsed/>
    <w:rsid w:val="007E3A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511</Words>
  <Characters>2914</Characters>
  <Application>Microsoft Office Word</Application>
  <DocSecurity>0</DocSecurity>
  <Lines>24</Lines>
  <Paragraphs>6</Paragraphs>
  <ScaleCrop>false</ScaleCrop>
  <Company/>
  <LinksUpToDate>false</LinksUpToDate>
  <CharactersWithSpaces>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Trupti Sudge</dc:creator>
  <cp:keywords/>
  <dc:description/>
  <cp:lastModifiedBy>Trupti Sudge</cp:lastModifiedBy>
  <cp:revision>1</cp:revision>
  <dcterms:created xsi:type="dcterms:W3CDTF">2026-09-10T12:00:00Z</dcterms:created>
  <dcterms:modified xsi:type="dcterms:W3CDTF">2026-09-10T12:00:00Z</dcterms:modified>
</cp:coreProperties>
</file>