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2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8"/>
        <w:gridCol w:w="1365"/>
        <w:gridCol w:w="821"/>
        <w:gridCol w:w="895"/>
        <w:gridCol w:w="895"/>
        <w:gridCol w:w="1365"/>
        <w:gridCol w:w="821"/>
        <w:gridCol w:w="895"/>
        <w:gridCol w:w="895"/>
      </w:tblGrid>
      <w:tr w14:paraId="1644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80" w:type="dxa"/>
            <w:gridSpan w:val="9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8847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Table S1 </w:t>
            </w:r>
            <w:r>
              <w:rPr>
                <w:rStyle w:val="5"/>
                <w:rFonts w:eastAsia="宋体"/>
                <w:bdr w:val="none" w:color="auto" w:sz="0" w:space="0"/>
                <w:lang w:val="en-US" w:eastAsia="zh-CN" w:bidi="ar"/>
              </w:rPr>
              <w:t>Bootstrap estimation for standarized regression coefficients of multivariate logistic regression</w:t>
            </w:r>
          </w:p>
        </w:tc>
      </w:tr>
      <w:tr w14:paraId="28497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4E5DF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95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CCC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pCR</w:t>
            </w:r>
          </w:p>
        </w:tc>
        <w:tc>
          <w:tcPr>
            <w:tcW w:w="3825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B55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MPR</w:t>
            </w:r>
          </w:p>
        </w:tc>
      </w:tr>
      <w:tr w14:paraId="402C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86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5428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 w:colFirst="1" w:colLast="8"/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DEF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Standardized regression coefficients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4E1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DE0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2.50%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5DE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97.50%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77B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Standardized regression coefficients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7BF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5CE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2.50%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363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97.50%</w:t>
            </w:r>
          </w:p>
        </w:tc>
      </w:tr>
      <w:bookmarkEnd w:id="0"/>
      <w:tr w14:paraId="1D776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BAC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Sex (male vs female)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C5F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36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703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05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0.0168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CEE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C5C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BD1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88B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0.1211</w:t>
            </w:r>
          </w:p>
        </w:tc>
      </w:tr>
      <w:tr w14:paraId="70B8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7FF32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Age (&gt;65 vs 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Style w:val="5"/>
                <w:rFonts w:eastAsia="宋体"/>
                <w:bdr w:val="none" w:color="auto" w:sz="0" w:space="0"/>
                <w:lang w:val="en-US" w:eastAsia="zh-CN" w:bidi="ar"/>
              </w:rPr>
              <w:t>65)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4EA88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-0.0313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48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0.0499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0AA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-0.1306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42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0.0692</w:t>
            </w: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5117A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0.019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3F2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0.0489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B1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-0.0728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1B5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0.1171</w:t>
            </w:r>
          </w:p>
        </w:tc>
      </w:tr>
      <w:tr w14:paraId="2B7D2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70854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Anatomical location (middle vs proximal)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466BF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-0.0688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29F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0.0743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BEB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-0.2109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CC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0.0763</w:t>
            </w: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69DD7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-0.0375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99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0.0688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EDD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-0.1735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22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0.1004</w:t>
            </w:r>
          </w:p>
        </w:tc>
      </w:tr>
      <w:tr w14:paraId="5EC41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A8AB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Anatomical location (distal vs proximal)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866F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-0.1111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0B20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943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-0.2503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05A2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0.0361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AB5F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-0.1614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A42D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DC1F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-0.2894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6499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-0.0228</w:t>
            </w:r>
          </w:p>
        </w:tc>
      </w:tr>
      <w:tr w14:paraId="3560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931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TNM stage (III vs II)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AE9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CA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77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A5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0.0497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716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04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20A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225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0.0225</w:t>
            </w:r>
          </w:p>
        </w:tc>
      </w:tr>
      <w:tr w14:paraId="76AA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428E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TNM stage (IV vs II)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C274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-0.0404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FF0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5BB7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-0.1622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E87B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0.0821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E483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-0.0806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7506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53FE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-0.2006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B96B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0.0343</w:t>
            </w:r>
          </w:p>
        </w:tc>
      </w:tr>
      <w:tr w14:paraId="0E28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292A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Narrowing type (yes vs others)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436C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-0.1327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04BB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D5BC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-0.1873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DC6B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-0.0626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8F47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-0.1123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0282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7E5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-0.1927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9EF3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-0.0228</w:t>
            </w:r>
          </w:p>
        </w:tc>
      </w:tr>
      <w:tr w14:paraId="3FF5E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CDD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ICI (camrelizumab vs tislelizumab)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3BA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77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8E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27E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0.0762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CAD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3E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87C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DDF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0.0566</w:t>
            </w:r>
          </w:p>
        </w:tc>
      </w:tr>
      <w:tr w14:paraId="2172C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79D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ICI (sintilimab vs tislelizumab)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EA8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39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36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19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0.1183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D59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699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2F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63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0.1113</w:t>
            </w:r>
          </w:p>
        </w:tc>
      </w:tr>
      <w:tr w14:paraId="76ADF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4E0B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ICI (toripalimab vs tislelizumab)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8E5F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-0.0434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1BAF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3BCE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-0.1392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98F6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0.0639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13DC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242B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46FF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-0.0627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F72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0.125</w:t>
            </w:r>
          </w:p>
        </w:tc>
      </w:tr>
      <w:tr w14:paraId="4DB9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300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Taxanes (albumin-bound paclitaxel vs pacilitaxel)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479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349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97D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1F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0.0967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8AA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47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6C1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595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0.0598</w:t>
            </w:r>
          </w:p>
        </w:tc>
      </w:tr>
      <w:tr w14:paraId="6612E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552B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Taxanes (docetaxel vs pacilitaxel)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FB8B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-0.0994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67A0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929A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-0.2353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6D56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0.035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9E8B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-0.1303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C1D2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5256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-0.2689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BE19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-0.0003</w:t>
            </w:r>
          </w:p>
        </w:tc>
      </w:tr>
      <w:tr w14:paraId="71930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8D7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Platinum (carboplatin vs cisplatin)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6BD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191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D81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C8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0.3149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AE1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C7A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7A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3EB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0.3304</w:t>
            </w:r>
          </w:p>
        </w:tc>
      </w:tr>
      <w:tr w14:paraId="76F0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A15A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Platinum (nedaplatin vs cisplatin)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09B3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0.1322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C16E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2DBA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0.0092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F2C2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0.2416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EEB7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713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5C8C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-0.0881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3ADF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0.1824</w:t>
            </w:r>
          </w:p>
        </w:tc>
      </w:tr>
      <w:tr w14:paraId="4AA0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8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8AF3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Cycle neoadjuvant treatment (&gt; 2 cycles vs 2 cycles)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64ED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0.0297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8FE4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1637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A3DF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0.1273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FFBD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0.0244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A3C9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8C77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-0.0769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6F16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0.126</w:t>
            </w:r>
          </w:p>
        </w:tc>
      </w:tr>
    </w:tbl>
    <w:p w14:paraId="60274438">
      <w:pPr>
        <w:widowControl/>
        <w:jc w:val="left"/>
        <w:textAlignment w:val="center"/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</w:p>
    <w:p w14:paraId="507FC3A4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BF1AE0C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</w:p>
    <w:tbl>
      <w:tblPr>
        <w:tblStyle w:val="2"/>
        <w:tblW w:w="8312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666"/>
        <w:gridCol w:w="1275"/>
        <w:gridCol w:w="1163"/>
        <w:gridCol w:w="1225"/>
        <w:gridCol w:w="1087"/>
      </w:tblGrid>
      <w:tr w14:paraId="03EA0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12" w:type="dxa"/>
            <w:gridSpan w:val="6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58704B7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S2</w:t>
            </w:r>
            <w:r>
              <w:rPr>
                <w:rStyle w:val="4"/>
                <w:rFonts w:eastAsia="宋体"/>
                <w:lang w:bidi="ar"/>
              </w:rPr>
              <w:t xml:space="preserve"> Association of clinicopathological features with platinum agents</w:t>
            </w:r>
          </w:p>
        </w:tc>
      </w:tr>
      <w:tr w14:paraId="65B1A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62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0ED23FB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0B82D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Carboplatin</w:t>
            </w:r>
          </w:p>
        </w:tc>
        <w:tc>
          <w:tcPr>
            <w:tcW w:w="116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E8425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Cisplatin</w:t>
            </w:r>
          </w:p>
        </w:tc>
        <w:tc>
          <w:tcPr>
            <w:tcW w:w="122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61759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Nedaplatin</w:t>
            </w:r>
          </w:p>
        </w:tc>
        <w:tc>
          <w:tcPr>
            <w:tcW w:w="108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7B9B6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14:paraId="02315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74A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0BA6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BFE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52 (17.2)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6EA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(18.2)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398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(12.2)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52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0.550 </w:t>
            </w:r>
          </w:p>
        </w:tc>
      </w:tr>
      <w:tr w14:paraId="52C03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6C971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8909E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E98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250 (82.8)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607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 (81.8)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0DF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65 (87.8)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BF9B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C0D8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FED1A0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A42300C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&gt; 65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2F264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150 (49.7)</w:t>
            </w:r>
          </w:p>
        </w:tc>
        <w:tc>
          <w:tcPr>
            <w:tcW w:w="116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89DB7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(36.4)</w:t>
            </w:r>
          </w:p>
        </w:tc>
        <w:tc>
          <w:tcPr>
            <w:tcW w:w="122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42A43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 (51.4)</w:t>
            </w:r>
          </w:p>
        </w:tc>
        <w:tc>
          <w:tcPr>
            <w:tcW w:w="1087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FCD0A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0.313 </w:t>
            </w:r>
          </w:p>
        </w:tc>
      </w:tr>
      <w:tr w14:paraId="57635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324D963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9181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≤ 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DF7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152 (50.3)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7A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(63.6)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620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36 (48.6)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B9243A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95B7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F04BFE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Location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EB22C23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Distal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5F893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106 (35.1)</w:t>
            </w:r>
          </w:p>
        </w:tc>
        <w:tc>
          <w:tcPr>
            <w:tcW w:w="116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D9F87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(45.5)</w:t>
            </w:r>
          </w:p>
        </w:tc>
        <w:tc>
          <w:tcPr>
            <w:tcW w:w="122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764E2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 (37.8)</w:t>
            </w:r>
          </w:p>
        </w:tc>
        <w:tc>
          <w:tcPr>
            <w:tcW w:w="108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5A4C3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0.808 </w:t>
            </w:r>
          </w:p>
        </w:tc>
      </w:tr>
      <w:tr w14:paraId="0BFCA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247B0C9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5637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Middle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23D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142 (47.0)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8E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(39.4)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B7B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(43.2)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325A90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4508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5C8A0FE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3B8534D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Proximal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4B4E7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54 (17.9)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BB4AE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(15.1)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9906C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(18.9)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CC5CAB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60B6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0C30A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 stage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08994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3F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66 (21.9)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1E0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(24.2)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09D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(14.9)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A62D7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0.256 </w:t>
            </w:r>
          </w:p>
        </w:tc>
      </w:tr>
      <w:tr w14:paraId="0FC8C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339AAC7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CD824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949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212 (70.2)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A2E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(63.7)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1D6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52 (70.3)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EEECA9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06CD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7496FD0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843BB85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3B56C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24 (8.0)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989B8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(12.1)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B8E4B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(14.8)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C1CEC2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F653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77B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 stage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30E3A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D0E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 (8.9)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35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(12.1)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C6D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(10.8)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E2D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0.180 </w:t>
            </w:r>
          </w:p>
        </w:tc>
      </w:tr>
      <w:tr w14:paraId="15AA4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E526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B2FC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0DB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135 (44.7)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CB8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(48.5)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C5B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37 (50.0)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1E9C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4752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56FD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32606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FEC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127 (42.1)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F9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(36.4)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D0C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(28.4)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90B8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A68B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AB636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85847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093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(4.3)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7DC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(3.0)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AB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(10.8)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2F31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1238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B259B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Clinical Stage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B3EE17F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II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FAE8F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61 (20.2)</w:t>
            </w:r>
          </w:p>
        </w:tc>
        <w:tc>
          <w:tcPr>
            <w:tcW w:w="116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86978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(27.3)</w:t>
            </w:r>
          </w:p>
        </w:tc>
        <w:tc>
          <w:tcPr>
            <w:tcW w:w="122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2876A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(13.5)</w:t>
            </w:r>
          </w:p>
        </w:tc>
        <w:tc>
          <w:tcPr>
            <w:tcW w:w="108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A323A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0.039 </w:t>
            </w:r>
          </w:p>
        </w:tc>
      </w:tr>
      <w:tr w14:paraId="4FBBB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4770DC7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CDDFB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61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207 (68.5)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F98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 (57.6)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248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46 (62.2)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43E93C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9140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8E04BA0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2085B45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IVA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189A6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34 (11.3)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45740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(15.2)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C3F38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 (24.3)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6C254B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8E7E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93459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Neoadjuvant treatment Cycles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73A41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&gt; 2 cycles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5E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86 (28.5)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49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(39.4)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6BA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31 (41.9)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A8325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</w:tr>
      <w:tr w14:paraId="2D407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1743D8E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4F3AE36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cycles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8C83B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216 (71.5)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6C11E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 (60.6)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E04C8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43 (58.1)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4AA7C1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DF10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6B11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ICIs agents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523CB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amrelizumab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7CF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133 (44.0)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16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 (54.6)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AE7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 (47.3)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F2E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0.799 </w:t>
            </w:r>
          </w:p>
        </w:tc>
      </w:tr>
      <w:tr w14:paraId="224FC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13CAB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FE54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intilimab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E1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(3.6)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7EA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 (0.0)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984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(4.1)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47E8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35E2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870C9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9D0B2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islelizumab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504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143 (47.4)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58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(45.4)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30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34 (45.9)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3851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C173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0F5ED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13DB8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oripalimab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5ED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(5.0)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05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 (0.0)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53B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(2.7)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78F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A88A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9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670A21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Taxane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770A795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lbumin-bound paclitaxel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A2540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259 (85.8)</w:t>
            </w:r>
          </w:p>
        </w:tc>
        <w:tc>
          <w:tcPr>
            <w:tcW w:w="116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13BC0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 (60.6)</w:t>
            </w:r>
          </w:p>
        </w:tc>
        <w:tc>
          <w:tcPr>
            <w:tcW w:w="122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6CF61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46 (62.1)</w:t>
            </w:r>
          </w:p>
        </w:tc>
        <w:tc>
          <w:tcPr>
            <w:tcW w:w="108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927B2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14:paraId="63D98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48C3F81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1FF34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ocetaxel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516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 (6.6)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7A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(15.2)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306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(23.0)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EBAB18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0F68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FA0B822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02FCAE9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aclitaxel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41873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 (7.6)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2DC7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(24.2)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2887E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(14.9)</w:t>
            </w: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AEF654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AE21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FAE22E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Tumor gross type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5B57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onstrictive type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405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(7.0)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8E7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(6.1)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A8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(8.1)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9E5CD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0.741 </w:t>
            </w:r>
          </w:p>
        </w:tc>
      </w:tr>
      <w:tr w14:paraId="5CF85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CBB042F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CFCB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edullary type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64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170 (56.3)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46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(51.5)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50C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43 (58.1)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1D04FB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8809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2DC4762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ECAC3">
            <w:pPr>
              <w:widowControl/>
              <w:jc w:val="right"/>
              <w:textAlignment w:val="center"/>
              <w:rPr>
                <w:rFonts w:ascii="Times New Roman" w:hAnsi="Times New Roman" w:eastAsia="E-HZ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E-HZ" w:cs="Times New Roman"/>
                <w:color w:val="000000"/>
                <w:kern w:val="0"/>
                <w:sz w:val="22"/>
                <w:szCs w:val="22"/>
                <w:lang w:bidi="ar"/>
              </w:rPr>
              <w:t>Mushroom-</w:t>
            </w:r>
          </w:p>
          <w:p w14:paraId="6FF19F1D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E-HZ" w:cs="Times New Roman"/>
                <w:color w:val="000000"/>
                <w:kern w:val="0"/>
                <w:sz w:val="22"/>
                <w:szCs w:val="22"/>
                <w:lang w:bidi="ar"/>
              </w:rPr>
              <w:t>umbrella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type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EFA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53 (17.6)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0CC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(12.1)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D82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(18.9)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D0BD98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4F00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96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ABC19E4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D93A7D9"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U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lcerative type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DD291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58 (19.2)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A6CC7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(30.3)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6D0F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(14.9)</w:t>
            </w:r>
          </w:p>
        </w:tc>
        <w:tc>
          <w:tcPr>
            <w:tcW w:w="108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6D02D9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</w:tbl>
    <w:p w14:paraId="17B1FAD7"/>
    <w:sectPr>
      <w:pgSz w:w="11906" w:h="16838"/>
      <w:pgMar w:top="1440" w:right="1803" w:bottom="1440" w:left="180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E-HZ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C81A70B6-85DA-4440-8D7D-BA120ABAD0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55CF2"/>
    <w:rsid w:val="004B6A4F"/>
    <w:rsid w:val="007607CF"/>
    <w:rsid w:val="00AE3338"/>
    <w:rsid w:val="1FCB5E84"/>
    <w:rsid w:val="3B064C5A"/>
    <w:rsid w:val="6B33774D"/>
    <w:rsid w:val="7165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1168</Characters>
  <Lines>10</Lines>
  <Paragraphs>3</Paragraphs>
  <TotalTime>43</TotalTime>
  <ScaleCrop>false</ScaleCrop>
  <LinksUpToDate>false</LinksUpToDate>
  <CharactersWithSpaces>1293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2026-04-20T06:21:00Z</dcterms:created>
  <dc:creator>杨骁</dc:creator>
  <cp:lastModifiedBy>杨骁</cp:lastModifiedBy>
  <dcterms:modified xsi:type="dcterms:W3CDTF">2026-08-10T07:54:37Z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191922D6F3D14B1786ADAFB9C23C78ED_11</vt:lpwstr>
  </property>
  <property fmtid="{D5CDD505-2E9C-101B-9397-08002B2CF9AE}" pid="4" name="KSOTemplateDocerSaveRecord">
    <vt:lpwstr>eyJoZGlkIjoiMjcxMDhjZjExMTJkOWQwYzQwZGI1N2M2YmQxZTZiMDciLCJ1c2VySWQiOiIyMDg4NTc3NzcifQ==</vt:lpwstr>
  </property>
</Properties>
</file>