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EDC36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eastAsia="宋体" w:cs="Times New Roman"/>
          <w:b/>
          <w:bCs/>
          <w:color w:val="0F1115"/>
          <w:sz w:val="24"/>
          <w:szCs w:val="24"/>
          <w:shd w:val="clear" w:fill="FFFFFF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color w:val="0F1115"/>
          <w:kern w:val="2"/>
          <w:sz w:val="24"/>
          <w:szCs w:val="24"/>
          <w:shd w:val="clear" w:fill="FFFFFF"/>
          <w:lang w:val="en-US" w:eastAsia="zh-CN" w:bidi="ar"/>
        </w:rPr>
        <w:t xml:space="preserve">Supplementary </w:t>
      </w:r>
      <w:r>
        <w:rPr>
          <w:rFonts w:hint="default" w:ascii="Times New Roman" w:hAnsi="Times New Roman" w:eastAsia="宋体" w:cs="Times New Roman"/>
          <w:b/>
          <w:bCs/>
          <w:color w:val="0F1115"/>
          <w:kern w:val="2"/>
          <w:sz w:val="24"/>
          <w:szCs w:val="24"/>
          <w:shd w:val="clear" w:fill="FFFFFF"/>
          <w:lang w:val="en-US" w:eastAsia="zh-CN" w:bidi="ar"/>
        </w:rPr>
        <w:t>Figure Legend</w:t>
      </w:r>
      <w:bookmarkStart w:id="0" w:name="_GoBack"/>
      <w:bookmarkEnd w:id="0"/>
    </w:p>
    <w:p w14:paraId="6A5E4549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="Times New Roman" w:hAnsi="Times New Roman" w:eastAsia="微软雅黑" w:cs="Times New Roman"/>
          <w:b/>
          <w:bCs/>
          <w:color w:val="0F1115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color w:val="0F1115"/>
          <w:kern w:val="2"/>
          <w:sz w:val="24"/>
          <w:szCs w:val="24"/>
          <w:shd w:val="clear" w:fill="FFFFFF"/>
          <w:lang w:val="en-US" w:eastAsia="zh-CN" w:bidi="ar"/>
        </w:rPr>
        <w:t xml:space="preserve">Figure S1. </w:t>
      </w:r>
      <w:r>
        <w:rPr>
          <w:rFonts w:hint="default" w:ascii="Times New Roman" w:hAnsi="Times New Roman" w:eastAsia="微软雅黑" w:cs="Times New Roman"/>
          <w:color w:val="0F1115"/>
          <w:kern w:val="2"/>
          <w:sz w:val="24"/>
          <w:szCs w:val="24"/>
          <w:shd w:val="clear" w:fill="FFFFFF"/>
          <w:lang w:val="en-US" w:eastAsia="zh-CN" w:bidi="ar"/>
        </w:rPr>
        <w:t>Logistic regression analysis between platinum agents and clinical stage or taxane agents.</w:t>
      </w:r>
    </w:p>
    <w:p w14:paraId="4D25847B"/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79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2026-04-23T03:38:06Z</dcterms:created>
  <dc:creator>sun shuo</dc:creator>
  <cp:lastModifiedBy>ssh</cp:lastModifiedBy>
  <dcterms:modified xsi:type="dcterms:W3CDTF">2026-04-23T03:38:30Z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eyJoZGlkIjoiMWJhYzMxN2RkZDhiZTdlMmNhZTk1MzhkOTc0ZmFmZDEiLCJ1c2VySWQiOiIyMzU0ODkyNjcifQ==</vt:lpwstr>
  </property>
  <property fmtid="{D5CDD505-2E9C-101B-9397-08002B2CF9AE}" pid="4" name="ICV">
    <vt:lpwstr>E8D2C175ABAD4C0B9F0FF1896E993517_12</vt:lpwstr>
  </property>
</Properties>
</file>