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7826" w14:textId="023A9911" w:rsidR="0001230B" w:rsidRDefault="009F4FAB">
      <w:pPr>
        <w:keepNext/>
        <w:spacing w:after="60"/>
      </w:pPr>
      <w:r>
        <w:rPr>
          <w:rFonts w:ascii="Calibri" w:hAnsi="Calibri"/>
          <w:b/>
          <w:color w:val="333333"/>
        </w:rPr>
        <w:t>Table 2. IPTW-adjusted association between digoxin treatment and 365-day clinical outcomes</w:t>
      </w:r>
      <w:r>
        <w:rPr>
          <w:rFonts w:ascii="Calibri" w:hAnsi="Calibri"/>
          <w:i/>
          <w:color w:val="333333"/>
          <w:vertAlign w:val="superscript"/>
        </w:rPr>
        <w:t>1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087"/>
        <w:gridCol w:w="1414"/>
        <w:gridCol w:w="799"/>
        <w:gridCol w:w="1494"/>
        <w:gridCol w:w="1164"/>
      </w:tblGrid>
      <w:tr w:rsidR="0001230B" w14:paraId="575647E0" w14:textId="77777777" w:rsidTr="0001230B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0B9953E7" w14:textId="77777777" w:rsidR="0001230B" w:rsidRDefault="009F4FA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Outcome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14346F68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Events, 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3AA29BE2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HR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0B43024C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95% CI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24BBE53E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p value</w:t>
            </w:r>
          </w:p>
        </w:tc>
      </w:tr>
      <w:tr w:rsidR="0001230B" w14:paraId="4356D287" w14:textId="77777777" w:rsidTr="0001230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1039BD" w14:textId="77777777" w:rsidR="0001230B" w:rsidRDefault="009F4FA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Composite endpoint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83C794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278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8C29EB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30FC35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0.73–1.70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483CF1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0.61</w:t>
            </w:r>
          </w:p>
        </w:tc>
      </w:tr>
      <w:tr w:rsidR="0001230B" w14:paraId="161FC4B7" w14:textId="77777777" w:rsidTr="0001230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D74AE0" w14:textId="77777777" w:rsidR="0001230B" w:rsidRDefault="009F4FA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All-cause mortality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60584F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157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287596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1.58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33DFC0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0.97–2.59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1B9494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0.067</w:t>
            </w:r>
          </w:p>
        </w:tc>
      </w:tr>
      <w:tr w:rsidR="0001230B" w14:paraId="3A6DD7A3" w14:textId="77777777" w:rsidTr="0001230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CA56E1" w14:textId="77777777" w:rsidR="0001230B" w:rsidRDefault="009F4FA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Heart failure rehospitalization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73CAA1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187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317AFA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477F4B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0.50–1.44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EB3C1B" w14:textId="77777777" w:rsidR="0001230B" w:rsidRDefault="009F4FA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0.55</w:t>
            </w:r>
          </w:p>
        </w:tc>
      </w:tr>
      <w:tr w:rsidR="0001230B" w14:paraId="60700C84" w14:textId="77777777" w:rsidTr="0001230B">
        <w:trPr>
          <w:cantSplit/>
          <w:jc w:val="center"/>
        </w:trPr>
        <w:tc>
          <w:tcPr>
            <w:tcW w:w="0" w:type="auto"/>
            <w:gridSpan w:val="5"/>
          </w:tcPr>
          <w:p w14:paraId="22F65D8F" w14:textId="77777777" w:rsidR="0001230B" w:rsidRDefault="009F4FAB">
            <w:pPr>
              <w:keepNext/>
              <w:spacing w:after="60"/>
            </w:pP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  <w:r>
              <w:rPr>
                <w:rFonts w:ascii="Calibri" w:hAnsi="Calibri"/>
                <w:sz w:val="20"/>
              </w:rPr>
              <w:t>Hazard ratios were estimated using inverse probability of treatment weighting based on the propensity score.</w:t>
            </w:r>
          </w:p>
        </w:tc>
      </w:tr>
      <w:tr w:rsidR="0001230B" w14:paraId="353F49B5" w14:textId="77777777" w:rsidTr="0001230B">
        <w:trPr>
          <w:cantSplit/>
          <w:jc w:val="center"/>
        </w:trPr>
        <w:tc>
          <w:tcPr>
            <w:tcW w:w="0" w:type="auto"/>
            <w:gridSpan w:val="5"/>
          </w:tcPr>
          <w:p w14:paraId="459D0E6D" w14:textId="77777777" w:rsidR="0001230B" w:rsidRDefault="009F4FA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The composite endpoint was defined as all-cause mortality or heart failure rehospitaliza</w:t>
            </w:r>
            <w:r>
              <w:rPr>
                <w:rFonts w:ascii="Calibri" w:hAnsi="Calibri"/>
                <w:sz w:val="20"/>
              </w:rPr>
              <w:t>tion within 365 days after discharge.</w:t>
            </w:r>
          </w:p>
        </w:tc>
      </w:tr>
    </w:tbl>
    <w:p w14:paraId="57FB83FD" w14:textId="77777777" w:rsidR="0001230B" w:rsidRDefault="0001230B">
      <w:pPr>
        <w:pStyle w:val="FirstParagraph"/>
      </w:pPr>
    </w:p>
    <w:sectPr w:rsidR="0001230B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937A577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30B"/>
    <w:rsid w:val="0001230B"/>
    <w:rsid w:val="009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F259"/>
  <w15:docId w15:val="{417F59EB-A16B-452B-9534-3FB5DAA1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Textoindependiente"/>
    <w:qFormat/>
    <w:pPr>
      <w:keepNext/>
      <w:keepLines/>
    </w:pPr>
    <w:rPr>
      <w:sz w:val="24"/>
      <w:szCs w:val="24"/>
    </w:rPr>
  </w:style>
  <w:style w:type="paragraph" w:styleId="Fecha">
    <w:name w:val="Date"/>
    <w:basedOn w:val="Ttulo"/>
    <w:next w:val="Textoindependiente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436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Jorge Rubio Gracia</cp:lastModifiedBy>
  <cp:revision>2</cp:revision>
  <dcterms:created xsi:type="dcterms:W3CDTF">2026-06-14T18:09:00Z</dcterms:created>
  <dcterms:modified xsi:type="dcterms:W3CDTF">2026-06-14T18:09:00Z</dcterms:modified>
</cp:coreProperties>
</file>