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8"/>
        <w:gridCol w:w="1501"/>
        <w:gridCol w:w="1489"/>
        <w:gridCol w:w="1504"/>
        <w:gridCol w:w="776"/>
      </w:tblGrid>
      <w:tr w:rsidR="00F71F22" w:rsidTr="00F71F22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Characteristic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Overall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N = 572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No digoxin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N = 463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Age, years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83 (77–87)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82 (77–87)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83 (79–88)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Female sex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288 (50%)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210 (45%)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78 (72%)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&lt;0.001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NYHA functional class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0.031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90 (16%)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81 (18%)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 (8.7%)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II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332 (59%)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270 (59%)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62 (60%)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III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132 (24%)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99 (22%)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33 (32%)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IV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 (0.7%)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 (0.9%)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 (0%)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Systolic blood pressure, mmHg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135 (120–154)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135 (120–157)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135 (120–146)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Diastolic blood pressure, mmHg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73 (64–84)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74 (65–85)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70 (62–80)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0.055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Heart rate, beats/min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80 (68–93)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79 (68–93)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81 (70–95)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Jugular venous distension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379 (68%)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306 (67%)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73 (69%)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Peripheral oedema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442 (79%)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357 (78%)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85 (80%)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Pulmonary crackles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343 (68%)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275 (67%)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68 (75%)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Previous heart failure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365 (64%)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285 (62%)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80 (73%)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0.024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Hypertension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484 (85%)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392 (85%)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92 (84%)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&gt;0.9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Ischaemic heart disease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163 (28%)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142 (31%)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21 (19%)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0.018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Dyslipidaemia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276 (48%)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232 (50%)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44 (40%)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0.061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Diabetes mellitus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227 (40%)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187 (40%)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40 (37%)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Atrial fibrillation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357 (62%)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264 (57%)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93 (85%)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&lt;0.001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Chronic obstructive pulmonary disease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114 (20%)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100 (22%)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14 (13%)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0.040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Chronic kidney disease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197 (35%)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167 (36%)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30 (28%)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0.10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Pacemaker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59 (10%)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51 (11%)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 (7.3%)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Left ventricular ejection fraction, 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54 (42–63)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53 (40–62)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60 (49–65)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0.003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Heart failure phenotype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0.004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</w:t>
            </w:r>
            <w:proofErr w:type="spellStart"/>
            <w:r>
              <w:rPr>
                <w:rFonts w:ascii="Calibri" w:hAnsi="Calibri"/>
                <w:sz w:val="20"/>
              </w:rPr>
              <w:t>HFrEF</w:t>
            </w:r>
            <w:proofErr w:type="spellEnd"/>
            <w:r w:rsidR="001828D0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183 (39%)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159 (42%)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24 (26%)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HFpEF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284 (61%)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216 (58%)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68 (74%)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F71F22">
            <w:pPr>
              <w:keepNext/>
              <w:spacing w:after="60"/>
              <w:jc w:val="center"/>
            </w:pP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NT-proBNP at admission, pg/mL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4,005 (2,133–8,226)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4,184 (2,163–8,676)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3,866 (1,881–6,649)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CA125 at admission, U/mL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51 (25–106)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47 (22–100)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57 (37–113)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0.035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Urea at admission, mg/dL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59 (44–81)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60 (44–83)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56 (43–73)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0.052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Creatinine at admission, mg/dL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1.16 (0.90–1.54)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1.18 (0.93–1.59)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1.05 (0.84–1.27)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&lt;0.001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Uric acid at admission, mg/dL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7.70 (6.30–9.30)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7.70 (6.20–9.30)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7.75 (6.70–9.30)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Sodium at admission, mmol/L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141.7 (139.0–143.9)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141.9 (139.0–144.0)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141.0 (139.0–143.5)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Potassium at admission, mmol/L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4.08 (3.74–4.43)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4.10 (3.76–4.42)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4.01 (3.71–4.45)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Haemoglobin at admission, g/dL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12.05 (10.70–13.50)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12.00 (10.70–13.50)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12.10 (10.90–13.60)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Haematocrit at admission, 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37 (33–41)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37 (33–41)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37 (33–42)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Loop diuretics at discharge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465 (83%)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372 (82%)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93 (89%)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lastRenderedPageBreak/>
              <w:t>Loop diuretic dose, mg/day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30 (20–40)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30 (20–40)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30 (20–40)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&gt;0.9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Beta-blockers at discharge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310 (56%)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261 (58%)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49 (47%)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0.042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ACEI/ARB/ARNI at discharge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350 (63%)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279 (62%)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71 (68%)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Mineralocorticoid receptor antagonists at discharge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139 (25%)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104 (23%)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35 (33%)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0.029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SGLT2 inhibitors at discharge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58 (10%)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56 (12%)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 (1.8%)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0.001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Oral anticoagulants at discharge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340 (61%)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251 (55%)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Default="00000000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89 (85%)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F71F22" w:rsidRPr="00ED2B47" w:rsidRDefault="00000000">
            <w:pPr>
              <w:keepNext/>
              <w:spacing w:after="60"/>
              <w:jc w:val="center"/>
              <w:rPr>
                <w:b/>
                <w:bCs/>
              </w:rPr>
            </w:pPr>
            <w:r w:rsidRPr="00ED2B47">
              <w:rPr>
                <w:rFonts w:ascii="Calibri" w:hAnsi="Calibri"/>
                <w:b/>
                <w:bCs/>
                <w:sz w:val="20"/>
              </w:rPr>
              <w:t>&lt;0.001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gridSpan w:val="5"/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  <w:r>
              <w:rPr>
                <w:rFonts w:ascii="Calibri" w:hAnsi="Calibri"/>
                <w:sz w:val="20"/>
              </w:rPr>
              <w:t>Median (Q1–Q3); n (%)</w:t>
            </w:r>
          </w:p>
        </w:tc>
      </w:tr>
      <w:tr w:rsidR="00F71F22" w:rsidTr="00F71F22">
        <w:trPr>
          <w:cantSplit/>
          <w:jc w:val="center"/>
        </w:trPr>
        <w:tc>
          <w:tcPr>
            <w:tcW w:w="0" w:type="auto"/>
            <w:gridSpan w:val="5"/>
          </w:tcPr>
          <w:p w:rsidR="00F71F22" w:rsidRDefault="00000000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2</w:t>
            </w:r>
            <w:r>
              <w:rPr>
                <w:rFonts w:ascii="Calibri" w:hAnsi="Calibri"/>
                <w:sz w:val="20"/>
              </w:rPr>
              <w:t>Wilcoxon rank sum test; Pearson's Chi-squared test; Fisher's exact test</w:t>
            </w:r>
          </w:p>
        </w:tc>
      </w:tr>
    </w:tbl>
    <w:p w:rsidR="001828D0" w:rsidRPr="001828D0" w:rsidRDefault="001828D0" w:rsidP="001828D0">
      <w:pPr>
        <w:autoSpaceDE w:val="0"/>
        <w:autoSpaceDN w:val="0"/>
        <w:adjustRightInd w:val="0"/>
        <w:jc w:val="both"/>
        <w:rPr>
          <w:rFonts w:ascii="Calibri" w:hAnsi="Calibri"/>
          <w:sz w:val="20"/>
        </w:rPr>
      </w:pPr>
    </w:p>
    <w:p w:rsidR="001828D0" w:rsidRPr="001828D0" w:rsidRDefault="001828D0" w:rsidP="001828D0">
      <w:pPr>
        <w:autoSpaceDE w:val="0"/>
        <w:autoSpaceDN w:val="0"/>
        <w:adjustRightInd w:val="0"/>
        <w:jc w:val="both"/>
        <w:rPr>
          <w:rFonts w:ascii="Calibri" w:hAnsi="Calibri"/>
          <w:sz w:val="20"/>
        </w:rPr>
      </w:pPr>
      <w:r w:rsidRPr="001828D0">
        <w:rPr>
          <w:rFonts w:ascii="Calibri" w:hAnsi="Calibri"/>
          <w:b/>
          <w:bCs/>
          <w:sz w:val="20"/>
        </w:rPr>
        <w:t>Abbreviations</w:t>
      </w:r>
      <w:r w:rsidRPr="001828D0">
        <w:rPr>
          <w:rFonts w:ascii="Calibri" w:hAnsi="Calibri"/>
          <w:sz w:val="20"/>
        </w:rPr>
        <w:t xml:space="preserve">: </w:t>
      </w:r>
      <w:proofErr w:type="spellStart"/>
      <w:r w:rsidRPr="001828D0">
        <w:rPr>
          <w:rFonts w:ascii="Calibri" w:hAnsi="Calibri"/>
          <w:sz w:val="20"/>
        </w:rPr>
        <w:t>ACEi</w:t>
      </w:r>
      <w:proofErr w:type="spellEnd"/>
      <w:r w:rsidRPr="001828D0">
        <w:rPr>
          <w:rFonts w:ascii="Calibri" w:hAnsi="Calibri"/>
          <w:sz w:val="20"/>
        </w:rPr>
        <w:t xml:space="preserve">: angiotensin-converting enzyme inhibitors; ARB: angiotensin receptor blockers; CA125: cancer antigen 125; </w:t>
      </w:r>
      <w:proofErr w:type="spellStart"/>
      <w:r w:rsidRPr="001828D0">
        <w:rPr>
          <w:rFonts w:ascii="Calibri" w:hAnsi="Calibri"/>
          <w:sz w:val="20"/>
        </w:rPr>
        <w:t>HFpEF</w:t>
      </w:r>
      <w:proofErr w:type="spellEnd"/>
      <w:r w:rsidRPr="001828D0">
        <w:rPr>
          <w:rFonts w:ascii="Calibri" w:hAnsi="Calibri"/>
          <w:sz w:val="20"/>
        </w:rPr>
        <w:t xml:space="preserve">: heart failure with preserved ejection fraction; </w:t>
      </w:r>
      <w:proofErr w:type="spellStart"/>
      <w:r w:rsidRPr="001828D0">
        <w:rPr>
          <w:rFonts w:ascii="Calibri" w:hAnsi="Calibri"/>
          <w:sz w:val="20"/>
        </w:rPr>
        <w:t>HFrEF</w:t>
      </w:r>
      <w:proofErr w:type="spellEnd"/>
      <w:r w:rsidRPr="001828D0">
        <w:rPr>
          <w:rFonts w:ascii="Calibri" w:hAnsi="Calibri"/>
          <w:sz w:val="20"/>
        </w:rPr>
        <w:t xml:space="preserve">: heart failure with reduced ejection fraction; iSGLT2: sodium-glucose co-transporter-2 inhibitors; </w:t>
      </w:r>
      <w:r w:rsidRPr="001828D0">
        <w:rPr>
          <w:rFonts w:ascii="Calibri" w:hAnsi="Calibri"/>
          <w:sz w:val="20"/>
        </w:rPr>
        <w:t>NYHA: New York Heart Association</w:t>
      </w:r>
      <w:r w:rsidRPr="001828D0">
        <w:rPr>
          <w:rFonts w:ascii="Calibri" w:hAnsi="Calibri"/>
          <w:sz w:val="20"/>
        </w:rPr>
        <w:t>; NT-</w:t>
      </w:r>
      <w:proofErr w:type="spellStart"/>
      <w:r w:rsidRPr="001828D0">
        <w:rPr>
          <w:rFonts w:ascii="Calibri" w:hAnsi="Calibri"/>
          <w:sz w:val="20"/>
        </w:rPr>
        <w:t>proBNP</w:t>
      </w:r>
      <w:proofErr w:type="spellEnd"/>
      <w:r w:rsidRPr="001828D0">
        <w:rPr>
          <w:rFonts w:ascii="Calibri" w:hAnsi="Calibri"/>
          <w:sz w:val="20"/>
        </w:rPr>
        <w:t xml:space="preserve">: N-terminal pro b-type natriuretic peptide.  </w:t>
      </w:r>
    </w:p>
    <w:p w:rsidR="00F71F22" w:rsidRDefault="00F71F22">
      <w:pPr>
        <w:pStyle w:val="FirstParagraph"/>
      </w:pPr>
    </w:p>
    <w:sectPr w:rsidR="00F71F22">
      <w:headerReference w:type="default" r:id="rId7"/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79C5" w:rsidRDefault="00B779C5" w:rsidP="00ED2B47">
      <w:pPr>
        <w:spacing w:after="0"/>
      </w:pPr>
      <w:r>
        <w:separator/>
      </w:r>
    </w:p>
  </w:endnote>
  <w:endnote w:type="continuationSeparator" w:id="0">
    <w:p w:rsidR="00B779C5" w:rsidRDefault="00B779C5" w:rsidP="00ED2B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79C5" w:rsidRDefault="00B779C5" w:rsidP="00ED2B47">
      <w:pPr>
        <w:spacing w:after="0"/>
      </w:pPr>
      <w:r>
        <w:separator/>
      </w:r>
    </w:p>
  </w:footnote>
  <w:footnote w:type="continuationSeparator" w:id="0">
    <w:p w:rsidR="00B779C5" w:rsidRDefault="00B779C5" w:rsidP="00ED2B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B47" w:rsidRPr="001828D0" w:rsidRDefault="00ED2B47" w:rsidP="00ED2B47">
    <w:pPr>
      <w:spacing w:before="100" w:beforeAutospacing="1" w:after="100" w:afterAutospacing="1"/>
      <w:rPr>
        <w:rFonts w:ascii="Calibri" w:eastAsia="Times New Roman" w:hAnsi="Calibri" w:cs="Calibri"/>
        <w:lang w:eastAsia="es-ES_tradnl"/>
      </w:rPr>
    </w:pPr>
    <w:r w:rsidRPr="00ED2B47">
      <w:rPr>
        <w:rFonts w:ascii="Calibri" w:eastAsia="Times New Roman" w:hAnsi="Calibri" w:cs="Calibri"/>
        <w:b/>
        <w:bCs/>
        <w:lang w:eastAsia="es-ES_tradnl"/>
      </w:rPr>
      <w:t xml:space="preserve">Table 1. </w:t>
    </w:r>
    <w:r w:rsidRPr="001828D0">
      <w:rPr>
        <w:rFonts w:ascii="Calibri" w:eastAsia="Times New Roman" w:hAnsi="Calibri" w:cs="Calibri"/>
        <w:lang w:eastAsia="es-ES_tradnl"/>
      </w:rPr>
      <w:t>Baseline demographic, clinical, echocardiographic, laboratory, therapeutic, and prognostic characteristics according to digoxin treatment.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5A6A01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6359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22"/>
    <w:rsid w:val="001828D0"/>
    <w:rsid w:val="00AE026C"/>
    <w:rsid w:val="00B779C5"/>
    <w:rsid w:val="00ED2B47"/>
    <w:rsid w:val="00F7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BE7D24"/>
  <w15:docId w15:val="{E302FEF2-F83F-1142-8890-8B6D24EA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styleId="Fecha">
    <w:name w:val="Date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Encabezado">
    <w:name w:val="header"/>
    <w:basedOn w:val="Normal"/>
    <w:link w:val="EncabezadoCar"/>
    <w:rsid w:val="00ED2B4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ED2B47"/>
  </w:style>
  <w:style w:type="paragraph" w:styleId="Piedepgina">
    <w:name w:val="footer"/>
    <w:basedOn w:val="Normal"/>
    <w:link w:val="PiedepginaCar"/>
    <w:rsid w:val="00ED2B4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ED2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476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Amelia Campos</cp:lastModifiedBy>
  <cp:revision>3</cp:revision>
  <dcterms:created xsi:type="dcterms:W3CDTF">2026-06-14T17:06:00Z</dcterms:created>
  <dcterms:modified xsi:type="dcterms:W3CDTF">2026-07-23T07:46:00Z</dcterms:modified>
</cp:coreProperties>
</file>