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37D7C" w14:textId="77777777" w:rsidR="00C33824" w:rsidRDefault="00C33824" w:rsidP="00C33824">
      <w:pPr>
        <w:spacing w:line="480" w:lineRule="auto"/>
      </w:pPr>
      <w:r>
        <w:rPr>
          <w:noProof/>
        </w:rPr>
        <w:drawing>
          <wp:inline distT="0" distB="0" distL="0" distR="0" wp14:anchorId="48E4F8AA" wp14:editId="1709B0B5">
            <wp:extent cx="6867147" cy="32861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541" cy="328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1A010" w14:textId="77777777" w:rsidR="00C33824" w:rsidRPr="0024394C" w:rsidRDefault="00C33824" w:rsidP="00C33824">
      <w:pPr>
        <w:spacing w:line="480" w:lineRule="auto"/>
      </w:pPr>
      <w:r w:rsidRPr="0024394C">
        <w:rPr>
          <w:b/>
          <w:bCs/>
        </w:rPr>
        <w:t xml:space="preserve">Supplemental Figure 1: Bray-Curtis NMDS for Genus through Phylum. </w:t>
      </w:r>
      <w:r w:rsidRPr="0024394C">
        <w:t>(A) Genus, (B) Family, (C) Order, (D) Class, and (E) Phylum-level NMDS plots with PERMANOVA and β-dispersion p-values shown at the top. An R</w:t>
      </w:r>
      <w:r w:rsidRPr="0024394C">
        <w:rPr>
          <w:vertAlign w:val="superscript"/>
        </w:rPr>
        <w:t>2</w:t>
      </w:r>
      <w:r w:rsidRPr="0024394C">
        <w:t xml:space="preserve"> value is also indicated for PERMANOVA testing.  Asterisks indicate significant results. </w:t>
      </w:r>
    </w:p>
    <w:p w14:paraId="0866717D" w14:textId="77777777" w:rsidR="00C33824" w:rsidRDefault="00C33824" w:rsidP="00C33824">
      <w:pPr>
        <w:spacing w:line="480" w:lineRule="auto"/>
      </w:pPr>
    </w:p>
    <w:p w14:paraId="5D1C882C" w14:textId="77777777" w:rsidR="00C33824" w:rsidRDefault="00C33824" w:rsidP="00C33824">
      <w:pPr>
        <w:spacing w:line="480" w:lineRule="auto"/>
      </w:pPr>
    </w:p>
    <w:p w14:paraId="2AA0EFEE" w14:textId="2489A223" w:rsidR="00C33824" w:rsidRDefault="00C33824" w:rsidP="00C33824">
      <w:pPr>
        <w:spacing w:line="480" w:lineRule="auto"/>
      </w:pPr>
    </w:p>
    <w:p w14:paraId="4F1DED29" w14:textId="4A200C92" w:rsidR="00C33824" w:rsidRDefault="00C33824" w:rsidP="00C33824">
      <w:pPr>
        <w:spacing w:line="480" w:lineRule="auto"/>
      </w:pPr>
    </w:p>
    <w:p w14:paraId="4A8F0C3D" w14:textId="77777777" w:rsidR="00C33824" w:rsidRDefault="00C33824" w:rsidP="00C33824">
      <w:pPr>
        <w:spacing w:line="480" w:lineRule="auto"/>
      </w:pPr>
    </w:p>
    <w:p w14:paraId="7B213F2B" w14:textId="77777777" w:rsidR="00C33824" w:rsidRDefault="00C33824" w:rsidP="00C33824">
      <w:pPr>
        <w:spacing w:line="480" w:lineRule="auto"/>
      </w:pPr>
      <w:r>
        <w:rPr>
          <w:noProof/>
        </w:rPr>
        <w:lastRenderedPageBreak/>
        <w:drawing>
          <wp:inline distT="0" distB="0" distL="0" distR="0" wp14:anchorId="7A235D04" wp14:editId="59A73B12">
            <wp:extent cx="6667500" cy="33432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858" cy="3343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1604A" w14:textId="77777777" w:rsidR="00C33824" w:rsidRPr="0024394C" w:rsidRDefault="00C33824" w:rsidP="00C33824">
      <w:pPr>
        <w:spacing w:line="480" w:lineRule="auto"/>
      </w:pPr>
      <w:r w:rsidRPr="0024394C">
        <w:rPr>
          <w:b/>
          <w:bCs/>
        </w:rPr>
        <w:t xml:space="preserve">Supplemental Figure 2: Mean Group Composition for NAFLD-positive and </w:t>
      </w:r>
      <w:r>
        <w:rPr>
          <w:b/>
          <w:bCs/>
        </w:rPr>
        <w:t>n</w:t>
      </w:r>
      <w:r w:rsidRPr="0024394C">
        <w:rPr>
          <w:b/>
          <w:bCs/>
        </w:rPr>
        <w:t xml:space="preserve">egative Groups. </w:t>
      </w:r>
      <w:r w:rsidRPr="0024394C">
        <w:t xml:space="preserve">(A) Species and (B) phylum bar plots with the average relative abundance of each group displayed. </w:t>
      </w:r>
    </w:p>
    <w:p w14:paraId="0F57C08A" w14:textId="77777777" w:rsidR="00C33824" w:rsidRDefault="00C33824" w:rsidP="00C33824">
      <w:pPr>
        <w:spacing w:line="480" w:lineRule="auto"/>
      </w:pPr>
    </w:p>
    <w:p w14:paraId="348236D0" w14:textId="77777777" w:rsidR="00C33824" w:rsidRDefault="00C33824" w:rsidP="00C33824">
      <w:pPr>
        <w:spacing w:line="480" w:lineRule="auto"/>
      </w:pPr>
    </w:p>
    <w:p w14:paraId="027DAAC0" w14:textId="77777777" w:rsidR="00C33824" w:rsidRDefault="00C33824" w:rsidP="00C33824">
      <w:pPr>
        <w:spacing w:line="480" w:lineRule="auto"/>
      </w:pPr>
    </w:p>
    <w:p w14:paraId="2A0C2B6B" w14:textId="77777777" w:rsidR="00C33824" w:rsidRDefault="00C33824" w:rsidP="00C33824">
      <w:pPr>
        <w:spacing w:line="480" w:lineRule="auto"/>
      </w:pPr>
    </w:p>
    <w:p w14:paraId="2FEA6D09" w14:textId="77777777" w:rsidR="00C33824" w:rsidRDefault="00C33824" w:rsidP="00C33824">
      <w:pPr>
        <w:spacing w:line="480" w:lineRule="auto"/>
      </w:pPr>
    </w:p>
    <w:p w14:paraId="4F65AF7C" w14:textId="77777777" w:rsidR="00C33824" w:rsidRDefault="00C33824" w:rsidP="00C33824">
      <w:pPr>
        <w:spacing w:line="480" w:lineRule="auto"/>
      </w:pPr>
    </w:p>
    <w:p w14:paraId="0B0A1140" w14:textId="77777777" w:rsidR="00C33824" w:rsidRDefault="00C33824" w:rsidP="00C33824">
      <w:pPr>
        <w:spacing w:line="480" w:lineRule="auto"/>
      </w:pPr>
    </w:p>
    <w:p w14:paraId="1C4478A1" w14:textId="77777777" w:rsidR="00C33824" w:rsidRPr="00F05B35" w:rsidRDefault="00C33824" w:rsidP="00C33824">
      <w:pPr>
        <w:spacing w:line="480" w:lineRule="auto"/>
      </w:pPr>
      <w:r>
        <w:rPr>
          <w:noProof/>
        </w:rPr>
        <w:lastRenderedPageBreak/>
        <w:drawing>
          <wp:inline distT="0" distB="0" distL="0" distR="0" wp14:anchorId="54AA61D9" wp14:editId="64BB2E60">
            <wp:extent cx="6871547" cy="5324475"/>
            <wp:effectExtent l="0" t="0" r="571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4626" cy="5326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46AB2" w14:textId="77777777" w:rsidR="00C33824" w:rsidRPr="0024394C" w:rsidRDefault="00C33824" w:rsidP="00C33824">
      <w:pPr>
        <w:spacing w:line="480" w:lineRule="auto"/>
      </w:pPr>
      <w:r w:rsidRPr="0024394C">
        <w:rPr>
          <w:b/>
          <w:bCs/>
        </w:rPr>
        <w:t xml:space="preserve">Supplemental Figure 3: Boxplots of Differentially Abundant Species. </w:t>
      </w:r>
      <w:r w:rsidRPr="0024394C">
        <w:t xml:space="preserve">Relative abundances are plotted along the y-axis. Note that scales change for each taxon displayed. </w:t>
      </w:r>
    </w:p>
    <w:p w14:paraId="350DD69A" w14:textId="77777777" w:rsidR="00C33824" w:rsidRDefault="00C33824" w:rsidP="00C33824">
      <w:pPr>
        <w:spacing w:line="480" w:lineRule="auto"/>
      </w:pPr>
    </w:p>
    <w:p w14:paraId="6EEEA4AA" w14:textId="77777777" w:rsidR="00C33824" w:rsidRDefault="00C33824" w:rsidP="00C33824">
      <w:pPr>
        <w:spacing w:line="480" w:lineRule="auto"/>
      </w:pPr>
      <w:r>
        <w:rPr>
          <w:noProof/>
        </w:rPr>
        <w:lastRenderedPageBreak/>
        <w:drawing>
          <wp:inline distT="0" distB="0" distL="0" distR="0" wp14:anchorId="5B4BEC62" wp14:editId="23567AC2">
            <wp:extent cx="6804660" cy="54864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66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542FFBFA" w14:textId="77777777" w:rsidR="00C33824" w:rsidRPr="0024394C" w:rsidRDefault="00C33824" w:rsidP="00C33824">
      <w:pPr>
        <w:spacing w:line="480" w:lineRule="auto"/>
      </w:pPr>
      <w:r w:rsidRPr="0024394C">
        <w:rPr>
          <w:b/>
          <w:bCs/>
        </w:rPr>
        <w:t xml:space="preserve">Supplemental Figure 4: Boxplots of Differentially Abundant Genera. </w:t>
      </w:r>
      <w:r w:rsidRPr="0024394C">
        <w:t>Relative abundances are plotted along the y-axis. Note that scales change for each taxon displayed.</w:t>
      </w:r>
    </w:p>
    <w:p w14:paraId="4FE28727" w14:textId="77777777" w:rsidR="00C33824" w:rsidRDefault="00C33824" w:rsidP="00C33824">
      <w:pPr>
        <w:spacing w:line="480" w:lineRule="auto"/>
      </w:pPr>
    </w:p>
    <w:p w14:paraId="4067BB22" w14:textId="77777777" w:rsidR="00C33824" w:rsidRDefault="00C33824" w:rsidP="00C33824">
      <w:pPr>
        <w:spacing w:line="480" w:lineRule="auto"/>
      </w:pPr>
    </w:p>
    <w:p w14:paraId="6682EAA1" w14:textId="77777777" w:rsidR="00C33824" w:rsidRDefault="00C33824" w:rsidP="00C33824">
      <w:pPr>
        <w:spacing w:line="480" w:lineRule="auto"/>
      </w:pPr>
    </w:p>
    <w:p w14:paraId="4770162D" w14:textId="77777777" w:rsidR="00C33824" w:rsidRDefault="00C33824" w:rsidP="00C33824">
      <w:pPr>
        <w:spacing w:line="480" w:lineRule="auto"/>
      </w:pPr>
    </w:p>
    <w:p w14:paraId="320FA792" w14:textId="77777777" w:rsidR="00C33824" w:rsidRDefault="00C33824" w:rsidP="00C33824">
      <w:pPr>
        <w:spacing w:line="480" w:lineRule="auto"/>
      </w:pPr>
    </w:p>
    <w:p w14:paraId="1D9C631C" w14:textId="77777777" w:rsidR="00C33824" w:rsidRDefault="00C33824" w:rsidP="00C33824">
      <w:pPr>
        <w:spacing w:line="480" w:lineRule="auto"/>
      </w:pPr>
      <w:r>
        <w:rPr>
          <w:noProof/>
        </w:rPr>
        <w:lastRenderedPageBreak/>
        <w:drawing>
          <wp:inline distT="0" distB="0" distL="0" distR="0" wp14:anchorId="5E9F7FEE" wp14:editId="6C08191D">
            <wp:extent cx="6797040" cy="4600575"/>
            <wp:effectExtent l="0" t="0" r="381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040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2DF33" w14:textId="77777777" w:rsidR="00C33824" w:rsidRPr="0024394C" w:rsidRDefault="00C33824" w:rsidP="00C33824">
      <w:pPr>
        <w:spacing w:line="480" w:lineRule="auto"/>
      </w:pPr>
      <w:r w:rsidRPr="0024394C">
        <w:rPr>
          <w:b/>
          <w:bCs/>
        </w:rPr>
        <w:t xml:space="preserve">Supplemental Figure 5: Boxplots of Differentially Abundant Families. </w:t>
      </w:r>
      <w:r w:rsidRPr="0024394C">
        <w:t>Relative abundances are plotted along the y-axis. Note that scales change for each taxon displayed.</w:t>
      </w:r>
    </w:p>
    <w:p w14:paraId="04895995" w14:textId="77777777" w:rsidR="00C33824" w:rsidRDefault="00C33824" w:rsidP="00C33824">
      <w:pPr>
        <w:spacing w:line="480" w:lineRule="auto"/>
      </w:pPr>
    </w:p>
    <w:p w14:paraId="243E697F" w14:textId="77777777" w:rsidR="00C33824" w:rsidRDefault="00C33824" w:rsidP="00C33824">
      <w:pPr>
        <w:spacing w:line="480" w:lineRule="auto"/>
      </w:pPr>
    </w:p>
    <w:p w14:paraId="0961E1BD" w14:textId="77777777" w:rsidR="00C33824" w:rsidRDefault="00C33824" w:rsidP="00C33824">
      <w:pPr>
        <w:spacing w:line="480" w:lineRule="auto"/>
      </w:pPr>
    </w:p>
    <w:p w14:paraId="0B1DD6C5" w14:textId="77777777" w:rsidR="00C33824" w:rsidRDefault="00C33824" w:rsidP="00C33824">
      <w:pPr>
        <w:spacing w:line="480" w:lineRule="auto"/>
      </w:pPr>
    </w:p>
    <w:p w14:paraId="12C50582" w14:textId="77777777" w:rsidR="00C33824" w:rsidRDefault="00C33824" w:rsidP="00C33824">
      <w:pPr>
        <w:spacing w:line="480" w:lineRule="auto"/>
      </w:pPr>
    </w:p>
    <w:p w14:paraId="2B70F9B6" w14:textId="77777777" w:rsidR="00C33824" w:rsidRDefault="00C33824" w:rsidP="00C33824">
      <w:pPr>
        <w:spacing w:line="480" w:lineRule="auto"/>
      </w:pPr>
      <w:r>
        <w:rPr>
          <w:noProof/>
        </w:rPr>
        <w:lastRenderedPageBreak/>
        <w:drawing>
          <wp:inline distT="0" distB="0" distL="0" distR="0" wp14:anchorId="7FEE7CDE" wp14:editId="27FC373E">
            <wp:extent cx="6842760" cy="50196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760" cy="501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87869" w14:textId="77777777" w:rsidR="00C33824" w:rsidRPr="0024394C" w:rsidRDefault="00C33824" w:rsidP="00C33824">
      <w:pPr>
        <w:spacing w:line="480" w:lineRule="auto"/>
      </w:pPr>
      <w:r w:rsidRPr="0024394C">
        <w:rPr>
          <w:b/>
          <w:bCs/>
        </w:rPr>
        <w:t xml:space="preserve">Supplemental Figure 6: Boxplots of Differentially Abundant Orders. </w:t>
      </w:r>
      <w:r w:rsidRPr="0024394C">
        <w:t xml:space="preserve">Relative abundances are plotted along the y-axis. </w:t>
      </w:r>
    </w:p>
    <w:p w14:paraId="33A01DF3" w14:textId="77777777" w:rsidR="00C33824" w:rsidRDefault="00C33824" w:rsidP="00C33824">
      <w:pPr>
        <w:spacing w:line="480" w:lineRule="auto"/>
      </w:pPr>
      <w:r>
        <w:rPr>
          <w:noProof/>
        </w:rPr>
        <w:lastRenderedPageBreak/>
        <w:drawing>
          <wp:inline distT="0" distB="0" distL="0" distR="0" wp14:anchorId="628BD999" wp14:editId="23C3E780">
            <wp:extent cx="6835140" cy="5838825"/>
            <wp:effectExtent l="0" t="0" r="381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40" cy="583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9C9E6" w14:textId="77777777" w:rsidR="00C33824" w:rsidRPr="0024394C" w:rsidRDefault="00C33824" w:rsidP="00C33824">
      <w:pPr>
        <w:spacing w:line="480" w:lineRule="auto"/>
      </w:pPr>
      <w:r w:rsidRPr="0024394C">
        <w:rPr>
          <w:b/>
          <w:bCs/>
        </w:rPr>
        <w:t xml:space="preserve">Supplemental Figure 7: Boxplots of Differentially Abundant Classes. </w:t>
      </w:r>
      <w:r w:rsidRPr="0024394C">
        <w:t>Relative abundances are plotted along the y-axis. Note that scales change for each taxon displayed.</w:t>
      </w:r>
    </w:p>
    <w:p w14:paraId="2CB32F22" w14:textId="77777777" w:rsidR="00C33824" w:rsidRDefault="00C33824" w:rsidP="00C33824">
      <w:pPr>
        <w:spacing w:line="480" w:lineRule="auto"/>
      </w:pPr>
      <w:r>
        <w:rPr>
          <w:noProof/>
        </w:rPr>
        <w:lastRenderedPageBreak/>
        <w:drawing>
          <wp:inline distT="0" distB="0" distL="0" distR="0" wp14:anchorId="4C91ADF1" wp14:editId="76FB153F">
            <wp:extent cx="6819900" cy="58102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581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3F621" w14:textId="77777777" w:rsidR="00C33824" w:rsidRPr="0024394C" w:rsidRDefault="00C33824" w:rsidP="00C33824">
      <w:pPr>
        <w:spacing w:line="480" w:lineRule="auto"/>
      </w:pPr>
      <w:r w:rsidRPr="0024394C">
        <w:rPr>
          <w:b/>
          <w:bCs/>
        </w:rPr>
        <w:t xml:space="preserve">Supplemental Figure 8: Boxplots of the Four Most Abundant Phyla. </w:t>
      </w:r>
      <w:r w:rsidRPr="0024394C">
        <w:t>Bacteroidetes was the only phylum found to be differentially abundant by ANCOM-BC. Relative abundances are plotted along the y-axis. Note that scales change for each taxon displayed.</w:t>
      </w:r>
    </w:p>
    <w:p w14:paraId="0BA63478" w14:textId="77777777" w:rsidR="00C33824" w:rsidRDefault="00C33824" w:rsidP="00C33824">
      <w:pPr>
        <w:spacing w:line="480" w:lineRule="auto"/>
      </w:pPr>
    </w:p>
    <w:p w14:paraId="0237A967" w14:textId="77777777" w:rsidR="00C33824" w:rsidRDefault="00C33824" w:rsidP="00C33824">
      <w:pPr>
        <w:spacing w:line="480" w:lineRule="auto"/>
      </w:pPr>
    </w:p>
    <w:p w14:paraId="2C6A84AC" w14:textId="77777777" w:rsidR="00C33824" w:rsidRDefault="00C33824" w:rsidP="00C33824">
      <w:pPr>
        <w:spacing w:line="480" w:lineRule="auto"/>
      </w:pPr>
      <w:r>
        <w:rPr>
          <w:noProof/>
        </w:rPr>
        <w:lastRenderedPageBreak/>
        <w:drawing>
          <wp:inline distT="0" distB="0" distL="0" distR="0" wp14:anchorId="7DC92815" wp14:editId="2913BBEB">
            <wp:extent cx="6524625" cy="45339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0936E" w14:textId="77777777" w:rsidR="00C33824" w:rsidRPr="00862576" w:rsidRDefault="00C33824" w:rsidP="00C33824">
      <w:pPr>
        <w:spacing w:line="480" w:lineRule="auto"/>
      </w:pPr>
      <w:r w:rsidRPr="00862576">
        <w:rPr>
          <w:b/>
          <w:bCs/>
        </w:rPr>
        <w:t>Supplemental Figure 9: Barplots Showing Relative Contribution of Individual Species to Total MetaCyc Pathway Abundance Per Sample.</w:t>
      </w:r>
      <w:r w:rsidRPr="00862576">
        <w:t xml:space="preserve"> Samples are grouped and color coded based on NAFLD-status. Species contributions found to be statistically significantly different are marked with an asterisk and colored based on which group the species is elevated in. </w:t>
      </w:r>
      <w:r w:rsidRPr="0044250A">
        <w:rPr>
          <w:i/>
          <w:iCs/>
        </w:rPr>
        <w:t>Bacteroides ovatus</w:t>
      </w:r>
      <w:r>
        <w:t xml:space="preserve">, </w:t>
      </w:r>
      <w:r w:rsidRPr="0044250A">
        <w:rPr>
          <w:i/>
          <w:iCs/>
        </w:rPr>
        <w:t>Bacteroides stercoris</w:t>
      </w:r>
      <w:r>
        <w:t xml:space="preserve">, </w:t>
      </w:r>
      <w:r w:rsidRPr="0044250A">
        <w:rPr>
          <w:i/>
          <w:iCs/>
        </w:rPr>
        <w:t>Bacteroiedes thetaiotamicron</w:t>
      </w:r>
      <w:r>
        <w:t xml:space="preserve">, and </w:t>
      </w:r>
      <w:r w:rsidRPr="0044250A">
        <w:rPr>
          <w:i/>
          <w:iCs/>
        </w:rPr>
        <w:t>Parabacteroides distasonis</w:t>
      </w:r>
      <w:r>
        <w:rPr>
          <w:i/>
          <w:iCs/>
        </w:rPr>
        <w:t xml:space="preserve"> </w:t>
      </w:r>
      <w:r>
        <w:t>are grouped into the “other” category but were found to be significantly elevated in the NAFLD negative group.</w:t>
      </w:r>
    </w:p>
    <w:p w14:paraId="32D49E61" w14:textId="77777777" w:rsidR="00C33824" w:rsidRDefault="00C33824" w:rsidP="00C33824">
      <w:pPr>
        <w:spacing w:line="480" w:lineRule="auto"/>
      </w:pPr>
    </w:p>
    <w:p w14:paraId="21CCCAA7" w14:textId="77777777" w:rsidR="00C33824" w:rsidRDefault="00C33824" w:rsidP="00C33824">
      <w:pPr>
        <w:spacing w:line="480" w:lineRule="auto"/>
      </w:pPr>
    </w:p>
    <w:p w14:paraId="48873339" w14:textId="77777777" w:rsidR="00C33824" w:rsidRDefault="00C33824" w:rsidP="00C33824">
      <w:pPr>
        <w:spacing w:line="480" w:lineRule="auto"/>
      </w:pPr>
    </w:p>
    <w:p w14:paraId="05C4E149" w14:textId="77777777" w:rsidR="00C33824" w:rsidRDefault="00C33824" w:rsidP="00C33824">
      <w:pPr>
        <w:spacing w:line="480" w:lineRule="auto"/>
      </w:pPr>
    </w:p>
    <w:p w14:paraId="6D035D3F" w14:textId="77777777" w:rsidR="00C33824" w:rsidRPr="0063348E" w:rsidRDefault="00C33824" w:rsidP="00C33824">
      <w:pPr>
        <w:spacing w:line="480" w:lineRule="auto"/>
        <w:rPr>
          <w:i/>
          <w:iCs/>
        </w:rPr>
      </w:pPr>
      <w:r>
        <w:rPr>
          <w:noProof/>
        </w:rPr>
        <w:drawing>
          <wp:inline distT="0" distB="0" distL="0" distR="0" wp14:anchorId="751CFDCF" wp14:editId="7441ED6D">
            <wp:extent cx="6528816" cy="4535424"/>
            <wp:effectExtent l="0" t="0" r="5715" b="0"/>
            <wp:docPr id="14" name="Pictur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816" cy="4535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250A">
        <w:rPr>
          <w:b/>
          <w:bCs/>
          <w:i/>
          <w:iCs/>
        </w:rPr>
        <w:t xml:space="preserve"> </w:t>
      </w:r>
      <w:r w:rsidRPr="00E1446C">
        <w:rPr>
          <w:b/>
          <w:bCs/>
        </w:rPr>
        <w:t>Supplemental Figure 10: Barplots Showing Relative Contribution of Individual Species to Total MetaCyc Pathway Abundance Per Sample.</w:t>
      </w:r>
      <w:r w:rsidRPr="00E1446C">
        <w:t xml:space="preserve"> Samples are grouped and color coded based on NAFLD-status. Species contributions found to be statistically significantly different are marked with an asterisk and colored based on which group the species is elevated in.</w:t>
      </w:r>
      <w:r w:rsidRPr="0063348E">
        <w:rPr>
          <w:i/>
          <w:iCs/>
        </w:rPr>
        <w:t xml:space="preserve"> </w:t>
      </w:r>
    </w:p>
    <w:p w14:paraId="351D2EC7" w14:textId="77777777" w:rsidR="00C33824" w:rsidRDefault="00C33824" w:rsidP="00C33824">
      <w:pPr>
        <w:spacing w:line="480" w:lineRule="auto"/>
      </w:pPr>
    </w:p>
    <w:p w14:paraId="3B98498E" w14:textId="77777777" w:rsidR="00C33824" w:rsidRDefault="00C33824" w:rsidP="00C33824">
      <w:pPr>
        <w:spacing w:line="480" w:lineRule="auto"/>
      </w:pPr>
    </w:p>
    <w:p w14:paraId="5C4AAE71" w14:textId="77777777" w:rsidR="00C33824" w:rsidRDefault="00C33824" w:rsidP="00C33824">
      <w:pPr>
        <w:spacing w:line="480" w:lineRule="auto"/>
      </w:pPr>
    </w:p>
    <w:p w14:paraId="3813076F" w14:textId="77777777" w:rsidR="00C33824" w:rsidRDefault="00C33824" w:rsidP="00C33824">
      <w:pPr>
        <w:spacing w:line="480" w:lineRule="auto"/>
      </w:pPr>
    </w:p>
    <w:p w14:paraId="4D10F3C2" w14:textId="77777777" w:rsidR="00C33824" w:rsidRDefault="00C33824" w:rsidP="00C33824">
      <w:pPr>
        <w:spacing w:line="480" w:lineRule="auto"/>
      </w:pPr>
    </w:p>
    <w:p w14:paraId="1E64296D" w14:textId="77777777" w:rsidR="00C33824" w:rsidRDefault="00C33824" w:rsidP="00C33824">
      <w:pPr>
        <w:spacing w:line="480" w:lineRule="auto"/>
      </w:pPr>
    </w:p>
    <w:p w14:paraId="03960D2C" w14:textId="77777777" w:rsidR="00C33824" w:rsidRDefault="00C33824" w:rsidP="00C33824">
      <w:pPr>
        <w:spacing w:line="480" w:lineRule="auto"/>
      </w:pPr>
      <w:r>
        <w:rPr>
          <w:noProof/>
        </w:rPr>
        <w:drawing>
          <wp:inline distT="0" distB="0" distL="0" distR="0" wp14:anchorId="203E58EC" wp14:editId="12E625FC">
            <wp:extent cx="6528816" cy="4535424"/>
            <wp:effectExtent l="0" t="0" r="5715" b="0"/>
            <wp:docPr id="15" name="Pictur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816" cy="4535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40AE8" w14:textId="77777777" w:rsidR="00C33824" w:rsidRPr="00705994" w:rsidRDefault="00C33824" w:rsidP="00C33824">
      <w:pPr>
        <w:spacing w:line="480" w:lineRule="auto"/>
      </w:pPr>
      <w:r w:rsidRPr="00705994">
        <w:rPr>
          <w:b/>
          <w:bCs/>
        </w:rPr>
        <w:t>Supplemental Figure 11: Barplots Showing Relative Contribution of Individual Species to Total MetaCyc Pathway Abundance Per Sample.</w:t>
      </w:r>
      <w:r w:rsidRPr="00705994">
        <w:t xml:space="preserve"> Samples are grouped and color coded based on NAFLD-status. Species contributions found to be statistically significantly different are marked with an asterisk and colored based on which group the species is elevated in. </w:t>
      </w:r>
      <w:r w:rsidRPr="0044250A">
        <w:rPr>
          <w:i/>
          <w:iCs/>
        </w:rPr>
        <w:t>Bacteroides ovatus</w:t>
      </w:r>
      <w:r>
        <w:t xml:space="preserve">, </w:t>
      </w:r>
      <w:r w:rsidRPr="0044250A">
        <w:rPr>
          <w:i/>
          <w:iCs/>
        </w:rPr>
        <w:t>Bacteroides stercoris</w:t>
      </w:r>
      <w:r>
        <w:t xml:space="preserve">, </w:t>
      </w:r>
      <w:r w:rsidRPr="0044250A">
        <w:rPr>
          <w:i/>
          <w:iCs/>
        </w:rPr>
        <w:t>Bacteroiedes thetaiotamicron</w:t>
      </w:r>
      <w:r>
        <w:t xml:space="preserve">, and </w:t>
      </w:r>
      <w:r w:rsidRPr="0044250A">
        <w:rPr>
          <w:i/>
          <w:iCs/>
        </w:rPr>
        <w:t>Parabacteroides distasonis</w:t>
      </w:r>
      <w:r>
        <w:rPr>
          <w:i/>
          <w:iCs/>
        </w:rPr>
        <w:t xml:space="preserve"> </w:t>
      </w:r>
      <w:r>
        <w:t>are grouped into the “other” category but were found to be significantly elevated in the NAFLD negative group.</w:t>
      </w:r>
    </w:p>
    <w:p w14:paraId="1AA3296B" w14:textId="77777777" w:rsidR="00C33824" w:rsidRDefault="00C33824" w:rsidP="00C33824">
      <w:pPr>
        <w:spacing w:line="480" w:lineRule="auto"/>
      </w:pPr>
    </w:p>
    <w:p w14:paraId="0078BE20" w14:textId="77777777" w:rsidR="00C33824" w:rsidRDefault="00C33824" w:rsidP="00C33824">
      <w:pPr>
        <w:spacing w:line="480" w:lineRule="auto"/>
      </w:pPr>
    </w:p>
    <w:p w14:paraId="33227358" w14:textId="77777777" w:rsidR="00C33824" w:rsidRDefault="00C33824" w:rsidP="00C33824">
      <w:pPr>
        <w:spacing w:line="480" w:lineRule="auto"/>
      </w:pPr>
      <w:r>
        <w:rPr>
          <w:noProof/>
        </w:rPr>
        <w:lastRenderedPageBreak/>
        <w:drawing>
          <wp:inline distT="0" distB="0" distL="0" distR="0" wp14:anchorId="224BFCA1" wp14:editId="58277C49">
            <wp:extent cx="6528816" cy="4535424"/>
            <wp:effectExtent l="0" t="0" r="5715" b="0"/>
            <wp:docPr id="16" name="Pictur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816" cy="4535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FC6C5" w14:textId="77777777" w:rsidR="00C33824" w:rsidRPr="0044250A" w:rsidRDefault="00C33824" w:rsidP="00C33824">
      <w:pPr>
        <w:spacing w:line="480" w:lineRule="auto"/>
      </w:pPr>
      <w:r w:rsidRPr="0044250A">
        <w:rPr>
          <w:b/>
          <w:bCs/>
        </w:rPr>
        <w:t>Supplemental Figure 12: Barplots Showing Relative Contribution of Individual Species to Total MetaCyc Pathway Abundance Per Sample.</w:t>
      </w:r>
      <w:r w:rsidRPr="0044250A">
        <w:t xml:space="preserve"> Samples are grouped and color coded based on NAFLD-status. Species contributions found to be statistically significantly different are marked with an asterisk and colored based on which group the species is elevated in. </w:t>
      </w:r>
      <w:r w:rsidRPr="0044250A">
        <w:rPr>
          <w:i/>
          <w:iCs/>
        </w:rPr>
        <w:t>Bacteroides ovatus</w:t>
      </w:r>
      <w:r>
        <w:t xml:space="preserve">, </w:t>
      </w:r>
      <w:r w:rsidRPr="0044250A">
        <w:rPr>
          <w:i/>
          <w:iCs/>
        </w:rPr>
        <w:t>Bacteroides stercoris</w:t>
      </w:r>
      <w:r>
        <w:t xml:space="preserve">, </w:t>
      </w:r>
      <w:r w:rsidRPr="0044250A">
        <w:rPr>
          <w:i/>
          <w:iCs/>
        </w:rPr>
        <w:t>Bacteroiedes thetaiotamicron</w:t>
      </w:r>
      <w:r>
        <w:t xml:space="preserve">, and </w:t>
      </w:r>
      <w:r w:rsidRPr="0044250A">
        <w:rPr>
          <w:i/>
          <w:iCs/>
        </w:rPr>
        <w:t>Parabacteroides distasonis</w:t>
      </w:r>
      <w:r>
        <w:rPr>
          <w:i/>
          <w:iCs/>
        </w:rPr>
        <w:t xml:space="preserve"> </w:t>
      </w:r>
      <w:r>
        <w:t>are grouped into the “other” category but were found to be significantly elevated in the NAFLD negative group.</w:t>
      </w:r>
    </w:p>
    <w:p w14:paraId="316943B4" w14:textId="77777777" w:rsidR="00C33824" w:rsidRPr="0044250A" w:rsidRDefault="00C33824" w:rsidP="00C33824">
      <w:pPr>
        <w:spacing w:line="480" w:lineRule="auto"/>
      </w:pPr>
    </w:p>
    <w:p w14:paraId="2E57212A" w14:textId="77777777" w:rsidR="00C33824" w:rsidRDefault="00C33824" w:rsidP="00C33824">
      <w:pPr>
        <w:spacing w:line="480" w:lineRule="auto"/>
      </w:pPr>
    </w:p>
    <w:p w14:paraId="5FA01AC1" w14:textId="77777777" w:rsidR="00C33824" w:rsidRDefault="00C33824" w:rsidP="00C33824">
      <w:pPr>
        <w:spacing w:line="480" w:lineRule="auto"/>
      </w:pPr>
    </w:p>
    <w:p w14:paraId="1C2F376E" w14:textId="77777777" w:rsidR="00C33824" w:rsidRDefault="00C33824" w:rsidP="00C33824">
      <w:pPr>
        <w:spacing w:line="480" w:lineRule="auto"/>
      </w:pPr>
      <w:r>
        <w:rPr>
          <w:noProof/>
        </w:rPr>
        <w:lastRenderedPageBreak/>
        <w:drawing>
          <wp:inline distT="0" distB="0" distL="0" distR="0" wp14:anchorId="7DD7E784" wp14:editId="5ED99B7A">
            <wp:extent cx="5939790" cy="3241040"/>
            <wp:effectExtent l="0" t="0" r="381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24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E3E37" w14:textId="77777777" w:rsidR="00C33824" w:rsidRPr="0044250A" w:rsidRDefault="00C33824" w:rsidP="00C33824">
      <w:pPr>
        <w:spacing w:line="480" w:lineRule="auto"/>
      </w:pPr>
      <w:r w:rsidRPr="0044250A">
        <w:rPr>
          <w:b/>
          <w:bCs/>
        </w:rPr>
        <w:t>Supplemental Figure 13: Barplots Showing Relative Contribution of Individual Species to Total MetaCyc Pathway Abundance Per Sample.</w:t>
      </w:r>
      <w:r w:rsidRPr="0044250A">
        <w:t xml:space="preserve"> Samples are grouped and color coded based on NAFLD-status. Species contributions found to be statistically significantly different are marked with an asterisk and colored based on which group the species is elevated in. </w:t>
      </w:r>
    </w:p>
    <w:p w14:paraId="5255BA37" w14:textId="77777777" w:rsidR="00C33824" w:rsidRDefault="00C33824" w:rsidP="00C33824">
      <w:pPr>
        <w:spacing w:line="480" w:lineRule="auto"/>
      </w:pPr>
    </w:p>
    <w:p w14:paraId="3DD5C1F2" w14:textId="77777777" w:rsidR="00C33824" w:rsidRDefault="00C33824" w:rsidP="00C33824">
      <w:pPr>
        <w:spacing w:line="480" w:lineRule="auto"/>
      </w:pPr>
      <w:r>
        <w:rPr>
          <w:noProof/>
        </w:rPr>
        <w:lastRenderedPageBreak/>
        <w:drawing>
          <wp:inline distT="0" distB="0" distL="0" distR="0" wp14:anchorId="5D2E8025" wp14:editId="5BF6E9B3">
            <wp:extent cx="6696075" cy="457200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E4551" w14:textId="77777777" w:rsidR="00C33824" w:rsidRPr="0044250A" w:rsidRDefault="00C33824" w:rsidP="00C33824">
      <w:pPr>
        <w:spacing w:line="480" w:lineRule="auto"/>
      </w:pPr>
      <w:r w:rsidRPr="0044250A">
        <w:rPr>
          <w:b/>
          <w:bCs/>
        </w:rPr>
        <w:t>Supplemental Figure 14: Barplots Showing Relative Contribution of Individual Species to Total MetaCyc Pathway Abundance Per Sample.</w:t>
      </w:r>
      <w:r w:rsidRPr="0044250A">
        <w:t xml:space="preserve"> Samples are grouped and color coded based on NAFLD-status. Species contributions found to be statistically significantly different are marked with an asterisk and colored based on which group the species is elevated in. </w:t>
      </w:r>
      <w:r w:rsidRPr="0044250A">
        <w:rPr>
          <w:i/>
          <w:iCs/>
        </w:rPr>
        <w:t>Streptococcus thermophilus</w:t>
      </w:r>
      <w:r w:rsidRPr="0044250A">
        <w:t xml:space="preserve"> and </w:t>
      </w:r>
      <w:r w:rsidRPr="0044250A">
        <w:rPr>
          <w:i/>
          <w:iCs/>
        </w:rPr>
        <w:t>Streptococcus salivarius</w:t>
      </w:r>
      <w:r>
        <w:rPr>
          <w:i/>
          <w:iCs/>
        </w:rPr>
        <w:t xml:space="preserve"> </w:t>
      </w:r>
      <w:r>
        <w:t>are grouped into the “other” category but were found to be significantly elevated in the NAFLD positive group as well.</w:t>
      </w:r>
    </w:p>
    <w:p w14:paraId="23361D8D" w14:textId="77777777" w:rsidR="00C33824" w:rsidRDefault="00C33824" w:rsidP="00C33824">
      <w:pPr>
        <w:spacing w:line="480" w:lineRule="auto"/>
      </w:pPr>
    </w:p>
    <w:p w14:paraId="6E187DFD" w14:textId="77777777" w:rsidR="00C33824" w:rsidRDefault="00C33824" w:rsidP="00C33824">
      <w:pPr>
        <w:spacing w:line="480" w:lineRule="auto"/>
      </w:pPr>
    </w:p>
    <w:p w14:paraId="3CA655F6" w14:textId="77777777" w:rsidR="00C33824" w:rsidRDefault="00C33824" w:rsidP="00C33824">
      <w:pPr>
        <w:spacing w:line="480" w:lineRule="auto"/>
      </w:pPr>
    </w:p>
    <w:p w14:paraId="543C8C5E" w14:textId="77777777" w:rsidR="00C33824" w:rsidRDefault="00C33824" w:rsidP="00C33824">
      <w:pPr>
        <w:spacing w:line="480" w:lineRule="auto"/>
      </w:pPr>
    </w:p>
    <w:p w14:paraId="31E1CF5C" w14:textId="4E9743E9" w:rsidR="00C33824" w:rsidRDefault="00C33824" w:rsidP="00C33824">
      <w:pPr>
        <w:spacing w:line="480" w:lineRule="auto"/>
      </w:pPr>
      <w:r>
        <w:lastRenderedPageBreak/>
        <w:t>Supplemental Table 1: Full Results of Pathway Abundance Comparison</w:t>
      </w:r>
      <w:r w:rsidR="00595E86">
        <w:t xml:space="preserve"> with Species Contribution Color Coded</w:t>
      </w:r>
      <w:r>
        <w:t xml:space="preserve">. </w:t>
      </w:r>
    </w:p>
    <w:p w14:paraId="35E59871" w14:textId="77777777" w:rsidR="00DC59F9" w:rsidRDefault="00DC59F9"/>
    <w:sectPr w:rsidR="00DC59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824"/>
    <w:rsid w:val="002C1471"/>
    <w:rsid w:val="00354643"/>
    <w:rsid w:val="00595E86"/>
    <w:rsid w:val="00811BDA"/>
    <w:rsid w:val="00C33824"/>
    <w:rsid w:val="00DC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FB0DD"/>
  <w15:chartTrackingRefBased/>
  <w15:docId w15:val="{EA716E0B-4F9A-49ED-9645-0D4A53319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8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5" Type="http://schemas.openxmlformats.org/officeDocument/2006/relationships/image" Target="media/image12.png"/><Relationship Id="rId10" Type="http://schemas.openxmlformats.org/officeDocument/2006/relationships/image" Target="media/image7.tiff"/><Relationship Id="rId19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691</Words>
  <Characters>3945</Characters>
  <Application>Microsoft Office Word</Application>
  <DocSecurity>0</DocSecurity>
  <Lines>32</Lines>
  <Paragraphs>9</Paragraphs>
  <ScaleCrop>false</ScaleCrop>
  <Company/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Testerman</dc:creator>
  <cp:keywords/>
  <dc:description/>
  <cp:lastModifiedBy>Testerman, Todd</cp:lastModifiedBy>
  <cp:revision>3</cp:revision>
  <dcterms:created xsi:type="dcterms:W3CDTF">2021-10-25T18:20:00Z</dcterms:created>
  <dcterms:modified xsi:type="dcterms:W3CDTF">2021-10-29T16:08:00Z</dcterms:modified>
</cp:coreProperties>
</file>