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E11E1">
      <w:pPr>
        <w:pStyle w:val="3"/>
        <w:spacing w:before="240" w:after="120" w:line="276" w:lineRule="auto"/>
        <w:jc w:val="center"/>
      </w:pPr>
      <w:r>
        <w:rPr>
          <w:rFonts w:ascii="Calibri" w:hAnsi="Calibri" w:eastAsia="微软雅黑"/>
          <w:b/>
          <w:i w:val="0"/>
          <w:color w:val="000000"/>
          <w:sz w:val="44"/>
        </w:rPr>
        <w:t>Interview Outline: Baoding Multi-channel Financing and Payment Reform Pilot for TB Prevention and Control</w:t>
      </w:r>
    </w:p>
    <w:p w14:paraId="2B9C3394">
      <w:r>
        <w:br w:type="page"/>
      </w:r>
    </w:p>
    <w:p w14:paraId="59A3250F">
      <w:pPr>
        <w:pStyle w:val="4"/>
        <w:spacing w:before="240" w:after="120" w:line="276" w:lineRule="auto"/>
      </w:pPr>
      <w:r>
        <w:rPr>
          <w:rFonts w:ascii="Calibri" w:hAnsi="Calibri" w:eastAsia="微软雅黑"/>
          <w:b/>
          <w:i w:val="0"/>
          <w:color w:val="000000"/>
          <w:sz w:val="32"/>
        </w:rPr>
        <w:t>1. Purpose of the Interview</w:t>
      </w:r>
    </w:p>
    <w:p w14:paraId="66D24786">
      <w:pPr>
        <w:spacing w:after="120" w:line="240" w:lineRule="auto"/>
      </w:pPr>
      <w:r>
        <w:rPr>
          <w:rFonts w:ascii="Calibri" w:hAnsi="Calibri" w:eastAsia="微软雅黑"/>
          <w:sz w:val="21"/>
        </w:rPr>
        <w:t>To gain an in-depth understanding of the policy design, implementation process, key outcomes, and challenges of the Baoding multi-channel financing and payment reform pilot for tuberculosis (TB) prevention and control, and to provide evidence-based insights for scaling up TB payment reform and the "medical-preventive integration" model.</w:t>
      </w:r>
    </w:p>
    <w:p w14:paraId="3CAB676B">
      <w:pPr>
        <w:pStyle w:val="4"/>
        <w:spacing w:before="240" w:after="120" w:line="276" w:lineRule="auto"/>
      </w:pPr>
      <w:r>
        <w:rPr>
          <w:rFonts w:ascii="Calibri" w:hAnsi="Calibri" w:eastAsia="微软雅黑"/>
          <w:b/>
          <w:i w:val="0"/>
          <w:color w:val="000000"/>
          <w:sz w:val="32"/>
        </w:rPr>
        <w:t>2. Suggested Interviewees</w:t>
      </w:r>
    </w:p>
    <w:p w14:paraId="57D4D2F5">
      <w:pPr>
        <w:pStyle w:val="14"/>
        <w:numPr>
          <w:ilvl w:val="0"/>
          <w:numId w:val="7"/>
        </w:numPr>
        <w:spacing w:after="120" w:line="288" w:lineRule="auto"/>
      </w:pPr>
      <w:r>
        <w:rPr>
          <w:rFonts w:ascii="Calibri" w:hAnsi="Calibri" w:eastAsia="微软雅黑"/>
          <w:sz w:val="21"/>
        </w:rPr>
        <w:t>Lead researchers (e.g., corresponding author Jianru Jia and team members)</w:t>
      </w:r>
    </w:p>
    <w:p w14:paraId="630C4B85">
      <w:pPr>
        <w:pStyle w:val="14"/>
        <w:numPr>
          <w:ilvl w:val="0"/>
          <w:numId w:val="7"/>
        </w:numPr>
        <w:spacing w:after="120" w:line="288" w:lineRule="auto"/>
      </w:pPr>
      <w:r>
        <w:rPr>
          <w:rFonts w:ascii="Calibri" w:hAnsi="Calibri" w:eastAsia="微软雅黑"/>
          <w:sz w:val="21"/>
        </w:rPr>
        <w:t>Officials from Baoding Municipal Medical Insurance Bureau</w:t>
      </w:r>
    </w:p>
    <w:p w14:paraId="5EC48C53">
      <w:pPr>
        <w:pStyle w:val="14"/>
        <w:numPr>
          <w:ilvl w:val="0"/>
          <w:numId w:val="7"/>
        </w:numPr>
        <w:spacing w:after="120" w:line="288" w:lineRule="auto"/>
      </w:pPr>
      <w:r>
        <w:rPr>
          <w:rFonts w:ascii="Calibri" w:hAnsi="Calibri" w:eastAsia="微软雅黑"/>
          <w:sz w:val="21"/>
        </w:rPr>
        <w:t>Officials from Baoding Municipal Health Commission</w:t>
      </w:r>
    </w:p>
    <w:p w14:paraId="433D1AF8">
      <w:pPr>
        <w:pStyle w:val="14"/>
        <w:numPr>
          <w:ilvl w:val="0"/>
          <w:numId w:val="7"/>
        </w:numPr>
        <w:spacing w:after="120" w:line="288" w:lineRule="auto"/>
      </w:pPr>
      <w:r>
        <w:rPr>
          <w:rFonts w:ascii="Calibri" w:hAnsi="Calibri" w:eastAsia="微软雅黑"/>
          <w:sz w:val="21"/>
        </w:rPr>
        <w:t>Clinicians and administrators from Baoding People's Hospital (the lead hospital)</w:t>
      </w:r>
    </w:p>
    <w:p w14:paraId="7C41E074">
      <w:pPr>
        <w:pStyle w:val="4"/>
        <w:spacing w:before="240" w:after="120" w:line="276" w:lineRule="auto"/>
      </w:pPr>
      <w:r>
        <w:rPr>
          <w:rFonts w:ascii="Calibri" w:hAnsi="Calibri" w:eastAsia="微软雅黑"/>
          <w:b/>
          <w:i w:val="0"/>
          <w:color w:val="000000"/>
          <w:sz w:val="32"/>
        </w:rPr>
        <w:t>3. Interview Questions</w:t>
      </w:r>
    </w:p>
    <w:p w14:paraId="7E48DDE2">
      <w:pPr>
        <w:pStyle w:val="5"/>
        <w:spacing w:before="240" w:after="120" w:line="276" w:lineRule="auto"/>
      </w:pPr>
      <w:r>
        <w:rPr>
          <w:rFonts w:ascii="Calibri" w:hAnsi="Calibri" w:eastAsia="微软雅黑"/>
          <w:b/>
          <w:i w:val="0"/>
          <w:color w:val="000000"/>
          <w:sz w:val="28"/>
        </w:rPr>
        <w:t>Part I: Reform Background and Policy Design</w:t>
      </w:r>
    </w:p>
    <w:p w14:paraId="55E53464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1.1 Origin of the Pilot</w:t>
      </w:r>
    </w:p>
    <w:p w14:paraId="3D79EFB6">
      <w:pPr>
        <w:spacing w:after="120" w:line="240" w:lineRule="auto"/>
      </w:pPr>
      <w:r>
        <w:rPr>
          <w:rFonts w:ascii="Calibri" w:hAnsi="Calibri" w:eastAsia="微软雅黑"/>
          <w:sz w:val="21"/>
        </w:rPr>
        <w:t>What were the key opportunities that led to Baoding being designated as the national pilot? What major barriers or driving forces were encountered during the application and preparation stages?</w:t>
      </w:r>
    </w:p>
    <w:p w14:paraId="29A53899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1.2 Core Mechanism Design</w:t>
      </w:r>
    </w:p>
    <w:p w14:paraId="50DD7232">
      <w:pPr>
        <w:pStyle w:val="14"/>
        <w:numPr>
          <w:ilvl w:val="0"/>
          <w:numId w:val="8"/>
        </w:numPr>
        <w:spacing w:after="120" w:line="288" w:lineRule="auto"/>
      </w:pPr>
      <w:r>
        <w:rPr>
          <w:rFonts w:ascii="Calibri" w:hAnsi="Calibri" w:eastAsia="微软雅黑"/>
          <w:sz w:val="21"/>
        </w:rPr>
        <w:t xml:space="preserve">How were the capitation bundled payment standards calculated — </w:t>
      </w:r>
      <w:r>
        <w:rPr>
          <w:rFonts w:ascii="Calibri" w:hAnsi="Calibri" w:eastAsia="微软雅黑"/>
          <w:b/>
          <w:sz w:val="21"/>
        </w:rPr>
        <w:t>CNY 13,000/case</w:t>
      </w:r>
      <w:r>
        <w:rPr>
          <w:rFonts w:ascii="Calibri" w:hAnsi="Calibri" w:eastAsia="微软雅黑"/>
          <w:sz w:val="21"/>
        </w:rPr>
        <w:t xml:space="preserve"> for drug-susceptible TB and </w:t>
      </w:r>
      <w:r>
        <w:rPr>
          <w:rFonts w:ascii="Calibri" w:hAnsi="Calibri" w:eastAsia="微软雅黑"/>
          <w:b/>
          <w:sz w:val="21"/>
        </w:rPr>
        <w:t>CNY 100,000/case</w:t>
      </w:r>
      <w:r>
        <w:rPr>
          <w:rFonts w:ascii="Calibri" w:hAnsi="Calibri" w:eastAsia="微软雅黑"/>
          <w:sz w:val="21"/>
        </w:rPr>
        <w:t xml:space="preserve"> for drug-resistant TB?</w:t>
      </w:r>
    </w:p>
    <w:p w14:paraId="08278765">
      <w:pPr>
        <w:pStyle w:val="14"/>
        <w:numPr>
          <w:ilvl w:val="0"/>
          <w:numId w:val="8"/>
        </w:numPr>
        <w:spacing w:after="120" w:line="288" w:lineRule="auto"/>
      </w:pPr>
      <w:r>
        <w:rPr>
          <w:rFonts w:ascii="Calibri" w:hAnsi="Calibri" w:eastAsia="微软雅黑"/>
          <w:sz w:val="21"/>
        </w:rPr>
        <w:t xml:space="preserve">How were the incentive ratios for the "surplus retention, reasonable excess sharing" mechanism determined? Did the </w:t>
      </w:r>
      <w:r>
        <w:rPr>
          <w:rFonts w:ascii="Calibri" w:hAnsi="Calibri" w:eastAsia="微软雅黑"/>
          <w:b/>
          <w:sz w:val="21"/>
        </w:rPr>
        <w:t>10%</w:t>
      </w:r>
      <w:r>
        <w:rPr>
          <w:rFonts w:ascii="Calibri" w:hAnsi="Calibri" w:eastAsia="微软雅黑"/>
          <w:sz w:val="21"/>
        </w:rPr>
        <w:t xml:space="preserve"> quality performance deposit function as expected during actual operation?</w:t>
      </w:r>
    </w:p>
    <w:p w14:paraId="79CB942B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1.3 Medical-Preventive Integration Framework</w:t>
      </w:r>
    </w:p>
    <w:p w14:paraId="0C6D3ECB">
      <w:pPr>
        <w:spacing w:after="120" w:line="240" w:lineRule="auto"/>
      </w:pPr>
      <w:r>
        <w:rPr>
          <w:rFonts w:ascii="Calibri" w:hAnsi="Calibri" w:eastAsia="微软雅黑"/>
          <w:sz w:val="21"/>
        </w:rPr>
        <w:t>In the operation of the specialized alliance led by Baoding People's Hospital (1 municipal hospital + 17 district/county hospitals), how was bidirectional data sharing between healthcare institutions and CDC achieved? Were there any information silos?</w:t>
      </w:r>
    </w:p>
    <w:p w14:paraId="7C5E4254">
      <w:pPr>
        <w:pStyle w:val="5"/>
        <w:spacing w:before="240" w:after="120" w:line="276" w:lineRule="auto"/>
      </w:pPr>
      <w:r>
        <w:rPr>
          <w:rFonts w:ascii="Calibri" w:hAnsi="Calibri" w:eastAsia="微软雅黑"/>
          <w:b/>
          <w:i w:val="0"/>
          <w:color w:val="000000"/>
          <w:sz w:val="28"/>
        </w:rPr>
        <w:t>Part II: Implementation Process and Operational Mechanisms</w:t>
      </w:r>
    </w:p>
    <w:p w14:paraId="5090DADC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2.1 Payment and Settlement Process</w:t>
      </w:r>
    </w:p>
    <w:p w14:paraId="2FB107FC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Did the monthly prepayment mechanism (90% of billed amounts) operate smoothly in practice? During year-end settlement, what were the main points of contention between the medical insurance fund and healthcare providers?</w:t>
      </w:r>
    </w:p>
    <w:p w14:paraId="6EFD57C7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After the outpatient and inpatient expenses were bundled into a single payment, was there any shift of inpatient costs to outpatient settings or vice versa?</w:t>
      </w:r>
    </w:p>
    <w:p w14:paraId="6BDB6BAB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2.2 Service Package Coverage</w:t>
      </w:r>
    </w:p>
    <w:p w14:paraId="59AF2C2A">
      <w:pPr>
        <w:pStyle w:val="14"/>
        <w:numPr>
          <w:ilvl w:val="0"/>
          <w:numId w:val="10"/>
        </w:numPr>
        <w:spacing w:after="120" w:line="288" w:lineRule="auto"/>
      </w:pPr>
      <w:r>
        <w:rPr>
          <w:rFonts w:ascii="Calibri" w:hAnsi="Calibri" w:eastAsia="微软雅黑"/>
          <w:sz w:val="21"/>
        </w:rPr>
        <w:t xml:space="preserve">The paper notes that out-of-package expenses accounted for approximately </w:t>
      </w:r>
      <w:r>
        <w:rPr>
          <w:rFonts w:ascii="Calibri" w:hAnsi="Calibri" w:eastAsia="微软雅黑"/>
          <w:b/>
          <w:sz w:val="21"/>
        </w:rPr>
        <w:t>40.11%</w:t>
      </w:r>
      <w:r>
        <w:rPr>
          <w:rFonts w:ascii="Calibri" w:hAnsi="Calibri" w:eastAsia="微软雅黑"/>
          <w:sz w:val="21"/>
        </w:rPr>
        <w:t xml:space="preserve"> of total costs. What specific items constitute this portion (e.g., second-line anti-TB drugs, hepatoprotective agents)?</w:t>
      </w:r>
    </w:p>
    <w:p w14:paraId="58623CFA">
      <w:pPr>
        <w:pStyle w:val="14"/>
        <w:numPr>
          <w:ilvl w:val="0"/>
          <w:numId w:val="10"/>
        </w:numPr>
        <w:spacing w:after="120" w:line="288" w:lineRule="auto"/>
      </w:pPr>
      <w:r>
        <w:rPr>
          <w:rFonts w:ascii="Calibri" w:hAnsi="Calibri" w:eastAsia="微软雅黑"/>
          <w:sz w:val="21"/>
        </w:rPr>
        <w:t>Are there plans to expand the service package to address the high out-of-package expense ratio? What is the target ceiling for out-of-package expenses?</w:t>
      </w:r>
    </w:p>
    <w:p w14:paraId="7D3082AD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2.3 Management of Designated Healthcare Institutions</w:t>
      </w:r>
    </w:p>
    <w:p w14:paraId="2797396C">
      <w:pPr>
        <w:spacing w:after="120" w:line="240" w:lineRule="auto"/>
      </w:pPr>
      <w:r>
        <w:rPr>
          <w:rFonts w:ascii="Calibri" w:hAnsi="Calibri" w:eastAsia="微软雅黑"/>
          <w:sz w:val="21"/>
        </w:rPr>
        <w:t>Is there any competition among the 20 designated facilities for patients or reluctance to treat severe cases? How is this monitored and coordinated?</w:t>
      </w:r>
    </w:p>
    <w:p w14:paraId="2CEC2167">
      <w:pPr>
        <w:pStyle w:val="5"/>
        <w:spacing w:before="240" w:after="120" w:line="276" w:lineRule="auto"/>
      </w:pPr>
      <w:r>
        <w:rPr>
          <w:rFonts w:ascii="Calibri" w:hAnsi="Calibri" w:eastAsia="微软雅黑"/>
          <w:b/>
          <w:i w:val="0"/>
          <w:color w:val="000000"/>
          <w:sz w:val="28"/>
        </w:rPr>
        <w:t>Part III: Reform Outcomes and Lessons Learned</w:t>
      </w:r>
    </w:p>
    <w:p w14:paraId="4545EBF9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3.1 Patient-Level Benefits</w:t>
      </w:r>
    </w:p>
    <w:p w14:paraId="63F906CD">
      <w:pPr>
        <w:pStyle w:val="14"/>
        <w:numPr>
          <w:ilvl w:val="0"/>
          <w:numId w:val="11"/>
        </w:numPr>
        <w:spacing w:after="120" w:line="288" w:lineRule="auto"/>
      </w:pPr>
      <w:r>
        <w:rPr>
          <w:rFonts w:ascii="Calibri" w:hAnsi="Calibri" w:eastAsia="微软雅黑"/>
          <w:sz w:val="21"/>
        </w:rPr>
        <w:t xml:space="preserve">The standardized full-course treatment completion rate increased from </w:t>
      </w:r>
      <w:r>
        <w:rPr>
          <w:rFonts w:ascii="Calibri" w:hAnsi="Calibri" w:eastAsia="微软雅黑"/>
          <w:b/>
          <w:sz w:val="21"/>
        </w:rPr>
        <w:t>96.5%</w:t>
      </w:r>
      <w:r>
        <w:rPr>
          <w:rFonts w:ascii="Calibri" w:hAnsi="Calibri" w:eastAsia="微软雅黑"/>
          <w:sz w:val="21"/>
        </w:rPr>
        <w:t xml:space="preserve"> to </w:t>
      </w:r>
      <w:r>
        <w:rPr>
          <w:rFonts w:ascii="Calibri" w:hAnsi="Calibri" w:eastAsia="微软雅黑"/>
          <w:b/>
          <w:sz w:val="21"/>
        </w:rPr>
        <w:t>98.9%</w:t>
      </w:r>
      <w:r>
        <w:rPr>
          <w:rFonts w:ascii="Calibri" w:hAnsi="Calibri" w:eastAsia="微软雅黑"/>
          <w:sz w:val="21"/>
        </w:rPr>
        <w:t xml:space="preserve">, and the drug resistance screening rate reached </w:t>
      </w:r>
      <w:r>
        <w:rPr>
          <w:rFonts w:ascii="Calibri" w:hAnsi="Calibri" w:eastAsia="微软雅黑"/>
          <w:b/>
          <w:sz w:val="21"/>
        </w:rPr>
        <w:t>100%</w:t>
      </w:r>
      <w:r>
        <w:rPr>
          <w:rFonts w:ascii="Calibri" w:hAnsi="Calibri" w:eastAsia="微软雅黑"/>
          <w:sz w:val="21"/>
        </w:rPr>
        <w:t>. What were the key drivers behind these improvements?</w:t>
      </w:r>
    </w:p>
    <w:p w14:paraId="3B57EFBA">
      <w:pPr>
        <w:pStyle w:val="14"/>
        <w:numPr>
          <w:ilvl w:val="0"/>
          <w:numId w:val="11"/>
        </w:numPr>
        <w:spacing w:after="120" w:line="288" w:lineRule="auto"/>
      </w:pPr>
      <w:r>
        <w:rPr>
          <w:rFonts w:ascii="Calibri" w:hAnsi="Calibri" w:eastAsia="微软雅黑"/>
          <w:sz w:val="21"/>
        </w:rPr>
        <w:t>By how much did patients' out-of-pocket costs actually decrease? Have patient satisfaction surveys been conducted, and what were the results?</w:t>
      </w:r>
    </w:p>
    <w:p w14:paraId="5AF20443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3.2 Medical Insurance Fund Performance</w:t>
      </w:r>
    </w:p>
    <w:p w14:paraId="72FCD2E1">
      <w:pPr>
        <w:spacing w:after="120" w:line="240" w:lineRule="auto"/>
      </w:pPr>
      <w:r>
        <w:rPr>
          <w:rFonts w:ascii="Calibri" w:hAnsi="Calibri" w:eastAsia="微软雅黑"/>
          <w:sz w:val="21"/>
        </w:rPr>
        <w:t>At what point did the medical insurance fund shift from deficit to surplus? How was the surplus distributed?</w:t>
      </w:r>
    </w:p>
    <w:p w14:paraId="4E375C5F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3.3 Quality Assurance</w:t>
      </w:r>
    </w:p>
    <w:p w14:paraId="37409977">
      <w:pPr>
        <w:spacing w:after="120" w:line="240" w:lineRule="auto"/>
      </w:pPr>
      <w:r>
        <w:rPr>
          <w:rFonts w:ascii="Calibri" w:hAnsi="Calibri" w:eastAsia="微软雅黑"/>
          <w:sz w:val="21"/>
        </w:rPr>
        <w:t xml:space="preserve">Under the capitation payment model, how were moral hazards such as "reducing necessary services" or "shifting severe patients" prevented? How was the </w:t>
      </w:r>
      <w:r>
        <w:rPr>
          <w:rFonts w:ascii="Calibri" w:hAnsi="Calibri" w:eastAsia="微软雅黑"/>
          <w:b/>
          <w:sz w:val="21"/>
        </w:rPr>
        <w:t>100%</w:t>
      </w:r>
      <w:r>
        <w:rPr>
          <w:rFonts w:ascii="Calibri" w:hAnsi="Calibri" w:eastAsia="微软雅黑"/>
          <w:sz w:val="21"/>
        </w:rPr>
        <w:t xml:space="preserve"> clinical pathway utilization rate achieved?</w:t>
      </w:r>
    </w:p>
    <w:p w14:paraId="125995B3">
      <w:pPr>
        <w:pStyle w:val="5"/>
        <w:spacing w:before="240" w:after="120" w:line="276" w:lineRule="auto"/>
      </w:pPr>
      <w:r>
        <w:rPr>
          <w:rFonts w:ascii="Calibri" w:hAnsi="Calibri" w:eastAsia="微软雅黑"/>
          <w:b/>
          <w:i w:val="0"/>
          <w:color w:val="000000"/>
          <w:sz w:val="28"/>
        </w:rPr>
        <w:t>Part IV: Difficulties and Challenges</w:t>
      </w:r>
    </w:p>
    <w:p w14:paraId="72255CBB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4.1 Administrative Burden</w:t>
      </w:r>
    </w:p>
    <w:p w14:paraId="68FAFD65">
      <w:pPr>
        <w:spacing w:after="120" w:line="240" w:lineRule="auto"/>
      </w:pPr>
      <w:r>
        <w:rPr>
          <w:rFonts w:ascii="Calibri" w:hAnsi="Calibri" w:eastAsia="微软雅黑"/>
          <w:sz w:val="21"/>
        </w:rPr>
        <w:t xml:space="preserve">The paper indicates that the reform added approximately </w:t>
      </w:r>
      <w:r>
        <w:rPr>
          <w:rFonts w:ascii="Calibri" w:hAnsi="Calibri" w:eastAsia="微软雅黑"/>
          <w:b/>
          <w:sz w:val="21"/>
        </w:rPr>
        <w:t>5.2 hours per week</w:t>
      </w:r>
      <w:r>
        <w:rPr>
          <w:rFonts w:ascii="Calibri" w:hAnsi="Calibri" w:eastAsia="微软雅黑"/>
          <w:sz w:val="21"/>
        </w:rPr>
        <w:t xml:space="preserve"> in administrative burden on healthcare providers. Which specific processes (e.g., settlement, reconciliation, data reporting) contributed most to this burden? Are there digital solutions to alleviate it?</w:t>
      </w:r>
    </w:p>
    <w:p w14:paraId="01DB113E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4.2 Primary Care Capacity Gaps</w:t>
      </w:r>
    </w:p>
    <w:p w14:paraId="408D6C3D">
      <w:pPr>
        <w:spacing w:after="120" w:line="240" w:lineRule="auto"/>
      </w:pPr>
      <w:r>
        <w:rPr>
          <w:rFonts w:ascii="Calibri" w:hAnsi="Calibri" w:eastAsia="微软雅黑"/>
          <w:sz w:val="21"/>
        </w:rPr>
        <w:t>What specific deficiencies exist in rapid molecular testing capacity at the county level? Has a timeline been established for equipment procurement and staff training?</w:t>
      </w:r>
    </w:p>
    <w:p w14:paraId="6817E187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4.3 Management of Patients with Comorbidities</w:t>
      </w:r>
    </w:p>
    <w:p w14:paraId="600ECF5A">
      <w:pPr>
        <w:spacing w:after="120" w:line="240" w:lineRule="auto"/>
      </w:pPr>
      <w:r>
        <w:rPr>
          <w:rFonts w:ascii="Calibri" w:hAnsi="Calibri" w:eastAsia="微软雅黑"/>
          <w:sz w:val="21"/>
        </w:rPr>
        <w:t>For TB patients with comorbidities (e.g., diabetes, HIV), how does the single-disease payment model avoid the tendency toward "bill splitting" or cost shifting?</w:t>
      </w:r>
    </w:p>
    <w:p w14:paraId="2914E704">
      <w:pPr>
        <w:pStyle w:val="5"/>
        <w:spacing w:before="240" w:after="120" w:line="276" w:lineRule="auto"/>
      </w:pPr>
      <w:r>
        <w:rPr>
          <w:rFonts w:ascii="Calibri" w:hAnsi="Calibri" w:eastAsia="微软雅黑"/>
          <w:b/>
          <w:i w:val="0"/>
          <w:color w:val="000000"/>
          <w:sz w:val="28"/>
        </w:rPr>
        <w:t>Part V: Sustainability and Scalability</w:t>
      </w:r>
    </w:p>
    <w:p w14:paraId="57AC8D6C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5.1 Financial Sustainability</w:t>
      </w:r>
    </w:p>
    <w:p w14:paraId="585FA095">
      <w:pPr>
        <w:spacing w:after="120" w:line="240" w:lineRule="auto"/>
      </w:pPr>
      <w:r>
        <w:rPr>
          <w:rFonts w:ascii="Calibri" w:hAnsi="Calibri" w:eastAsia="微软雅黑"/>
          <w:sz w:val="21"/>
        </w:rPr>
        <w:t>The pilot currently relies on project-based funding. If project funding ends and the program transitions to routine budgets, how large would the funding gap be? Has a long-term financing proposal been submitted to government authorities?</w:t>
      </w:r>
    </w:p>
    <w:p w14:paraId="3CD0FFFF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5.2 Scalability</w:t>
      </w:r>
    </w:p>
    <w:p w14:paraId="339D33F8">
      <w:pPr>
        <w:pStyle w:val="14"/>
        <w:numPr>
          <w:ilvl w:val="0"/>
          <w:numId w:val="12"/>
        </w:numPr>
        <w:spacing w:after="120" w:line="288" w:lineRule="auto"/>
      </w:pPr>
      <w:r>
        <w:rPr>
          <w:rFonts w:ascii="Calibri" w:hAnsi="Calibri" w:eastAsia="微软雅黑"/>
          <w:sz w:val="21"/>
        </w:rPr>
        <w:t>What preconditions are necessary for replicating the Baoding model in other regions (e.g., IT infrastructure, medical insurance fund capacity, implementation capacity of designated facilities)?</w:t>
      </w:r>
    </w:p>
    <w:p w14:paraId="7C3DFF18">
      <w:pPr>
        <w:pStyle w:val="14"/>
        <w:numPr>
          <w:ilvl w:val="0"/>
          <w:numId w:val="12"/>
        </w:numPr>
        <w:spacing w:after="120" w:line="288" w:lineRule="auto"/>
      </w:pPr>
      <w:r>
        <w:rPr>
          <w:rFonts w:ascii="Calibri" w:hAnsi="Calibri" w:eastAsia="微软雅黑"/>
          <w:sz w:val="21"/>
        </w:rPr>
        <w:t>What lessons does this model offer for payment reform for drug-resistant TB and other respiratory infectious diseases (e.g., COVID-19, influenza)?</w:t>
      </w:r>
    </w:p>
    <w:p w14:paraId="3C0060D8">
      <w:pPr>
        <w:spacing w:after="120" w:line="240" w:lineRule="auto"/>
      </w:pPr>
      <w:r>
        <w:rPr>
          <w:rFonts w:ascii="Calibri" w:hAnsi="Calibri" w:eastAsia="微软雅黑"/>
          <w:b/>
          <w:sz w:val="21"/>
        </w:rPr>
        <w:t>5.3 Next Steps</w:t>
      </w:r>
    </w:p>
    <w:p w14:paraId="0C12094C">
      <w:pPr>
        <w:spacing w:after="120" w:line="240" w:lineRule="auto"/>
      </w:pPr>
      <w:r>
        <w:rPr>
          <w:rFonts w:ascii="Calibri" w:hAnsi="Calibri" w:eastAsia="微软雅黑"/>
          <w:sz w:val="21"/>
        </w:rPr>
        <w:t>Does the research team or Baoding city have plans to expand the pilot — for example, to include additional disease categories or to deepen value-based payment reform?</w:t>
      </w:r>
    </w:p>
    <w:p w14:paraId="3E25744F">
      <w:pPr>
        <w:pStyle w:val="5"/>
        <w:spacing w:before="240" w:after="120" w:line="276" w:lineRule="auto"/>
      </w:pPr>
      <w:r>
        <w:rPr>
          <w:rFonts w:ascii="Calibri" w:hAnsi="Calibri" w:eastAsia="微软雅黑"/>
          <w:b/>
          <w:i w:val="0"/>
          <w:color w:val="000000"/>
          <w:sz w:val="28"/>
        </w:rPr>
        <w:t>Part VI: Open-Ended Questions</w:t>
      </w:r>
    </w:p>
    <w:p w14:paraId="3D2A981D">
      <w:pPr>
        <w:spacing w:after="120" w:line="240" w:lineRule="auto"/>
      </w:pPr>
      <w:r>
        <w:rPr>
          <w:rFonts w:ascii="Calibri" w:hAnsi="Calibri" w:eastAsia="微软雅黑"/>
          <w:sz w:val="21"/>
        </w:rPr>
        <w:t>6.1 Looking back on the entire pilot process, what would you do differently if you could start over?</w:t>
      </w:r>
    </w:p>
    <w:p w14:paraId="194B69FC">
      <w:pPr>
        <w:spacing w:after="120" w:line="240" w:lineRule="auto"/>
      </w:pPr>
      <w:r>
        <w:rPr>
          <w:rFonts w:ascii="Calibri" w:hAnsi="Calibri" w:eastAsia="微软雅黑"/>
          <w:sz w:val="21"/>
        </w:rPr>
        <w:t>6.2 In your view, what is the most critical bottleneck for TB prevention and control payment reform under China's current healthcare governance system — funding constraints, institutional design issues, or implementation challenges?</w:t>
      </w:r>
    </w:p>
    <w:p w14:paraId="414C9AEB">
      <w:pPr>
        <w:spacing w:after="120" w:line="240" w:lineRule="auto"/>
        <w:jc w:val="both"/>
      </w:pPr>
      <w:bookmarkStart w:id="0" w:name="_GoBack"/>
      <w:bookmarkEnd w:id="0"/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ocumentProtection w:edit="readOnly"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8B5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838</Words>
  <Characters>5154</Characters>
  <Lines>0</Lines>
  <Paragraphs>0</Paragraphs>
  <TotalTime>0</TotalTime>
  <ScaleCrop>false</ScaleCrop>
  <LinksUpToDate>false</LinksUpToDate>
  <CharactersWithSpaces>5938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Dr.</cp:lastModifiedBy>
  <dcterms:modified xsi:type="dcterms:W3CDTF">2026-09-06T13:01:17Z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eyJoZGlkIjoiZGUyMWI3ZmU4YzAyMzA4YmU3MTEyYzJkYjczODY4YTIiLCJ1c2VySWQiOiI0NjcyMzI2ODMifQ==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968C952EBF8241CCBE70C4C5388E1709_12</vt:lpwstr>
  </property>
</Properties>
</file>