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95BD7" w:rsidRDefault="00000000">
      <w:pPr>
        <w:spacing w:after="120"/>
        <w:jc w:val="center"/>
      </w:pPr>
      <w:r>
        <w:rPr>
          <w:b/>
          <w:bCs/>
          <w:sz w:val="28"/>
          <w:szCs w:val="28"/>
        </w:rPr>
        <w:t>Supplementary Information</w:t>
      </w:r>
    </w:p>
    <w:p w:rsidR="00A95BD7" w:rsidRDefault="00000000">
      <w:pPr>
        <w:spacing w:after="300"/>
        <w:jc w:val="center"/>
      </w:pPr>
      <w:r>
        <w:rPr>
          <w:i/>
          <w:iCs/>
        </w:rPr>
        <w:t>Communicative empowerment after certification: digital marketing gaps in a community-based tourism village in Indonesia</w:t>
      </w:r>
    </w:p>
    <w:p w:rsidR="00241C06" w:rsidRDefault="00241C06">
      <w:pPr>
        <w:spacing w:before="360" w:after="200"/>
        <w:rPr>
          <w:b/>
          <w:bCs/>
          <w:sz w:val="26"/>
          <w:szCs w:val="26"/>
        </w:rPr>
      </w:pPr>
    </w:p>
    <w:p w:rsidR="00A95BD7" w:rsidRDefault="00000000">
      <w:pPr>
        <w:spacing w:before="360" w:after="200"/>
      </w:pPr>
      <w:r>
        <w:rPr>
          <w:b/>
          <w:bCs/>
          <w:sz w:val="26"/>
          <w:szCs w:val="26"/>
        </w:rPr>
        <w:t>S1. Semi-structured interview guide</w:t>
      </w:r>
    </w:p>
    <w:p w:rsidR="00A95BD7" w:rsidRDefault="00000000">
      <w:pPr>
        <w:spacing w:after="160" w:line="360" w:lineRule="auto"/>
        <w:jc w:val="both"/>
      </w:pPr>
      <w:r>
        <w:t>Interviews were conducted in Bahasa Indonesia (and, where appropriate, Minangkabau) during 2025. The guide below is the English translation of the instrument; questions were used flexibly, with probes following the informant’s responses, consistent with the semi-structured design described in the Methods section.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t>A. Opening and role context (all informants)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1.</w:t>
      </w:r>
      <w:r>
        <w:tab/>
        <w:t xml:space="preserve">Please describe your role in </w:t>
      </w:r>
      <w:proofErr w:type="spellStart"/>
      <w:r>
        <w:t>Ampiang</w:t>
      </w:r>
      <w:proofErr w:type="spellEnd"/>
      <w:r>
        <w:t xml:space="preserve"> </w:t>
      </w:r>
      <w:proofErr w:type="spellStart"/>
      <w:r>
        <w:t>Parak’s</w:t>
      </w:r>
      <w:proofErr w:type="spellEnd"/>
      <w:r>
        <w:t xml:space="preserve"> tourism activities and how long you have been involved.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2.</w:t>
      </w:r>
      <w:r>
        <w:tab/>
        <w:t>How did you first become involved in the village’s tourism or conservation work?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t>B. Certification and its aftermath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3.</w:t>
      </w:r>
      <w:r>
        <w:tab/>
        <w:t>What did the village do to prepare for the ADWI 2024 assessment, particularly for the digital readiness criterion?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4.</w:t>
      </w:r>
      <w:r>
        <w:tab/>
        <w:t>What changed in the village’s tourism operations — and in its promotion — after the award was received?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5.</w:t>
      </w:r>
      <w:r>
        <w:tab/>
        <w:t>What did you expect the award would bring in terms of visitors or visibility, and what actually happened?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t>C. Digital communication practice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6.</w:t>
      </w:r>
      <w:r>
        <w:tab/>
        <w:t>Who currently produces content for the village’s social media accounts, and how is it decided what gets posted?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7.</w:t>
      </w:r>
      <w:r>
        <w:tab/>
        <w:t>Is there a plan or schedule for posting content? How are posts related to conservation activities such as turtle hatching seasons or mangrove planting?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8.</w:t>
      </w:r>
      <w:r>
        <w:tab/>
        <w:t>Who do you imagine is the audience for the village’s online content?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9.</w:t>
      </w:r>
      <w:r>
        <w:tab/>
        <w:t>Is there a person or team whose defined job is digital communication? How is that work organised alongside daily operations?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lastRenderedPageBreak/>
        <w:t>D. Representation and voice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10.</w:t>
      </w:r>
      <w:r>
        <w:tab/>
        <w:t>When community activities are photographed or filmed, who decides how they are described and captioned?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11.</w:t>
      </w:r>
      <w:r>
        <w:tab/>
        <w:t>Have residents — for example beach patrollers, homestay hosts, or planting-group leaders — been invited or trained to tell their own stories in the village’s content?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t>E. Evaluation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12.</w:t>
      </w:r>
      <w:r>
        <w:tab/>
        <w:t>How do you know whether a post or promotion has worked? Are any indicators — reach, engagement, enquiries, visits — tracked or reviewed?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13.</w:t>
      </w:r>
      <w:r>
        <w:tab/>
        <w:t>Are the analytics features of the platforms you use ever consulted? By whom, and when?</w:t>
      </w:r>
    </w:p>
    <w:p w:rsidR="00A95BD7" w:rsidRDefault="00000000">
      <w:pPr>
        <w:spacing w:before="240" w:after="160"/>
      </w:pPr>
      <w:r>
        <w:rPr>
          <w:b/>
          <w:bCs/>
          <w:i/>
          <w:iCs/>
        </w:rPr>
        <w:t>F. Barriers and closing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14.</w:t>
      </w:r>
      <w:r>
        <w:tab/>
        <w:t>What are the main obstacles to more planned or sustained digital promotion of the village?</w:t>
      </w:r>
    </w:p>
    <w:p w:rsidR="00A95BD7" w:rsidRDefault="00000000">
      <w:pPr>
        <w:spacing w:after="120" w:line="360" w:lineRule="auto"/>
        <w:ind w:left="480" w:hanging="480"/>
        <w:jc w:val="both"/>
      </w:pPr>
      <w:r>
        <w:t>15.</w:t>
      </w:r>
      <w:r>
        <w:tab/>
        <w:t>If support were available after certification, what form of support would help the village’s communication most?</w:t>
      </w:r>
    </w:p>
    <w:p w:rsidR="00A95BD7" w:rsidRDefault="00241C06">
      <w:pPr>
        <w:spacing w:before="360" w:after="200"/>
      </w:pPr>
      <w:r>
        <w:rPr>
          <w:b/>
          <w:bCs/>
          <w:sz w:val="26"/>
          <w:szCs w:val="26"/>
        </w:rPr>
        <w:br w:type="column"/>
      </w:r>
      <w:r w:rsidR="00000000">
        <w:rPr>
          <w:b/>
          <w:bCs/>
          <w:sz w:val="26"/>
          <w:szCs w:val="26"/>
        </w:rPr>
        <w:lastRenderedPageBreak/>
        <w:t>S2. Participatory field observation protocol</w:t>
      </w:r>
    </w:p>
    <w:p w:rsidR="00A95BD7" w:rsidRDefault="00000000">
      <w:pPr>
        <w:spacing w:after="160" w:line="360" w:lineRule="auto"/>
        <w:jc w:val="both"/>
      </w:pPr>
      <w:r>
        <w:t xml:space="preserve">Observation was conducted at the destination during 2025, alongside tourism and conservation activities. The observation record focused on: (a) how digital content was produced on-site — who held the camera or phone, who directed what was captured, and whether residents were consulted about how they would be represented; (b) how community members were positioned during tourism activities (as performers of activity, as hosts, as narrators); (c) the division of communication-related labour among the tourism management body, </w:t>
      </w:r>
      <w:proofErr w:type="spellStart"/>
      <w:r>
        <w:t>Pokdarwis</w:t>
      </w:r>
      <w:proofErr w:type="spellEnd"/>
      <w:r>
        <w:t xml:space="preserve"> members and community members; and (d) any references to planning, scheduling or evaluation of digital content in the day-to-day running of activities. Field notes were written up after each observation session and included descriptive notes, methodological notes and reflexive notes on the research team’s position as academic observers.</w:t>
      </w:r>
    </w:p>
    <w:p w:rsidR="00A95BD7" w:rsidRDefault="00241C06">
      <w:pPr>
        <w:spacing w:before="360" w:after="200"/>
      </w:pPr>
      <w:r>
        <w:rPr>
          <w:b/>
          <w:bCs/>
          <w:sz w:val="26"/>
          <w:szCs w:val="26"/>
        </w:rPr>
        <w:br w:type="column"/>
      </w:r>
      <w:r w:rsidR="00000000">
        <w:rPr>
          <w:b/>
          <w:bCs/>
          <w:sz w:val="26"/>
          <w:szCs w:val="26"/>
        </w:rPr>
        <w:lastRenderedPageBreak/>
        <w:t>S3. Content-analysis protocol</w:t>
      </w:r>
    </w:p>
    <w:p w:rsidR="00A95BD7" w:rsidRDefault="00000000">
      <w:pPr>
        <w:spacing w:after="160" w:line="360" w:lineRule="auto"/>
        <w:jc w:val="both"/>
      </w:pPr>
      <w:r>
        <w:t xml:space="preserve">The content analysis covered the village’s digital platforms: its social media accounts, its listing in the national </w:t>
      </w:r>
      <w:proofErr w:type="spellStart"/>
      <w:r>
        <w:t>Jadesta</w:t>
      </w:r>
      <w:proofErr w:type="spellEnd"/>
      <w:r>
        <w:t xml:space="preserve"> village-tourism database, and available promotional documents. For each item, the analysis recorded: platform and date; content type (photo, video, text); the activity depicted; who produced and published the item; whose voice the caption carried (administrative/institutional narration versus first-person resident narration); the register of the caption (descriptive-administrative, technical-conservation, personal-narrative); and evidence of audience interaction (replies, comments engaged with, polls or direct-message prompts). Posting frequency and timing were tabulated against the destination’s conservation calendar to assess cadence. Items were coded using the codebook in S4.</w:t>
      </w:r>
    </w:p>
    <w:p w:rsidR="00A95BD7" w:rsidRDefault="00000000">
      <w:pPr>
        <w:spacing w:before="360" w:after="200"/>
      </w:pPr>
      <w:r>
        <w:rPr>
          <w:b/>
          <w:bCs/>
          <w:sz w:val="26"/>
          <w:szCs w:val="26"/>
        </w:rPr>
        <w:t>S4. Thematic codebook</w:t>
      </w:r>
    </w:p>
    <w:p w:rsidR="00A95BD7" w:rsidRDefault="00000000">
      <w:pPr>
        <w:spacing w:after="160" w:line="360" w:lineRule="auto"/>
        <w:jc w:val="both"/>
      </w:pPr>
      <w:r>
        <w:t xml:space="preserve">Analysis followed Braun and Clarke’s (2006) six-phase thematic analysis. The recognition–visibility gap, </w:t>
      </w:r>
      <w:proofErr w:type="spellStart"/>
      <w:r>
        <w:t>Scheyvens</w:t>
      </w:r>
      <w:proofErr w:type="spellEnd"/>
      <w:r>
        <w:t>’ (2002) empowerment dimensions and the proposed communicative-empowerment dimension served as sensitising concepts during coding rather than as a fixed coding frame. The final themes and codes were as follows.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900"/>
        <w:gridCol w:w="5660"/>
      </w:tblGrid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Theme</w:t>
            </w:r>
          </w:p>
        </w:tc>
        <w:tc>
          <w:tcPr>
            <w:tcW w:w="19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566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Definition (applied to interview, observation and content data)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Strategic gap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SG1 Reactive production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Digital content produced in response to events as they occur, with no forward plan.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SG2 Absent content calendar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 planning rhythm linking posts to the conservation calendar (hatching seasons, planting, school visits).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SG3 Undefined audience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 documented audience persona or segmentation for digital content.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SG4 Undefined role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 person in the village holds digital communication as a clearly defined role; informality attributed to capacity, not choice.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SG5 Certification as snapshot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Award assessment measured readiness at a single point; no strategy left behind afterwards.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Representational gap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RG1 Residents as subjects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Residents appear in photographs/videos as objects of documentation rather than sources of the narrative.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RG2 Administrative register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Captions and narration are descriptive/administrative (activity, organiser, date; counts and milestones).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RG3 Absent first-person voice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 structure (training, workflow, invitation) through which residents’ own words enter published content.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lastRenderedPageBreak/>
              <w:t>Evaluative gap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EG1 No indicators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 stated targets for reach, engagement, follower growth or conversion.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EG2 Unused analytics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Platform analytics tools not consulted in any routine review.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EG3 Impression-based judgement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Whether a post “worked” judged by informal impressions, not tracked metrics.</w:t>
            </w:r>
          </w:p>
        </w:tc>
      </w:tr>
      <w:tr w:rsidR="00A95BD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A95BD7">
            <w:pPr>
              <w:spacing w:after="40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EG4 No policy incentive</w:t>
            </w:r>
          </w:p>
        </w:tc>
        <w:tc>
          <w:tcPr>
            <w:tcW w:w="5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95BD7" w:rsidRDefault="00000000">
            <w:pPr>
              <w:spacing w:after="40"/>
            </w:pPr>
            <w:r>
              <w:rPr>
                <w:sz w:val="22"/>
                <w:szCs w:val="22"/>
              </w:rPr>
              <w:t>Nothing in the certification scheme requires or incentivises post-award measurement.</w:t>
            </w:r>
          </w:p>
        </w:tc>
      </w:tr>
    </w:tbl>
    <w:p w:rsidR="00A95BD7" w:rsidRDefault="00000000">
      <w:pPr>
        <w:spacing w:before="160" w:after="160"/>
      </w:pPr>
      <w:r>
        <w:rPr>
          <w:i/>
          <w:iCs/>
          <w:sz w:val="22"/>
          <w:szCs w:val="22"/>
        </w:rPr>
        <w:t>Table S1. Final themes and codes applied to the interview, observation and content-analysis data.</w:t>
      </w:r>
    </w:p>
    <w:p w:rsidR="00A95BD7" w:rsidRDefault="00241C06">
      <w:pPr>
        <w:spacing w:before="360" w:after="200"/>
      </w:pPr>
      <w:r>
        <w:rPr>
          <w:b/>
          <w:bCs/>
          <w:sz w:val="26"/>
          <w:szCs w:val="26"/>
        </w:rPr>
        <w:br w:type="column"/>
      </w:r>
      <w:r w:rsidR="00000000">
        <w:rPr>
          <w:b/>
          <w:bCs/>
          <w:sz w:val="26"/>
          <w:szCs w:val="26"/>
        </w:rPr>
        <w:lastRenderedPageBreak/>
        <w:t>S5. Data access</w:t>
      </w:r>
    </w:p>
    <w:p w:rsidR="00A95BD7" w:rsidRDefault="00000000">
      <w:pPr>
        <w:spacing w:after="160" w:line="360" w:lineRule="auto"/>
        <w:jc w:val="both"/>
      </w:pPr>
      <w:r>
        <w:t>Full interview transcripts and field notes are held by the corresponding author and are not publicly deposited, because informants occupy readily identifiable roles within a small community and were assured of confidentiality. De-identified interview data are available from the corresponding author on reasonable request, subject to the confidentiality conditions under which consent was obtained.</w:t>
      </w:r>
    </w:p>
    <w:sectPr w:rsidR="00A95BD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D01E0B"/>
    <w:multiLevelType w:val="hybridMultilevel"/>
    <w:tmpl w:val="71C0363A"/>
    <w:lvl w:ilvl="0" w:tplc="A3D0F614">
      <w:start w:val="1"/>
      <w:numFmt w:val="bullet"/>
      <w:lvlText w:val="●"/>
      <w:lvlJc w:val="left"/>
      <w:pPr>
        <w:ind w:left="720" w:hanging="360"/>
      </w:pPr>
    </w:lvl>
    <w:lvl w:ilvl="1" w:tplc="EC2E4AF4">
      <w:start w:val="1"/>
      <w:numFmt w:val="bullet"/>
      <w:lvlText w:val="○"/>
      <w:lvlJc w:val="left"/>
      <w:pPr>
        <w:ind w:left="1440" w:hanging="360"/>
      </w:pPr>
    </w:lvl>
    <w:lvl w:ilvl="2" w:tplc="D982DC38">
      <w:start w:val="1"/>
      <w:numFmt w:val="bullet"/>
      <w:lvlText w:val="■"/>
      <w:lvlJc w:val="left"/>
      <w:pPr>
        <w:ind w:left="2160" w:hanging="360"/>
      </w:pPr>
    </w:lvl>
    <w:lvl w:ilvl="3" w:tplc="0E121910">
      <w:start w:val="1"/>
      <w:numFmt w:val="bullet"/>
      <w:lvlText w:val="●"/>
      <w:lvlJc w:val="left"/>
      <w:pPr>
        <w:ind w:left="2880" w:hanging="360"/>
      </w:pPr>
    </w:lvl>
    <w:lvl w:ilvl="4" w:tplc="C354E74E">
      <w:start w:val="1"/>
      <w:numFmt w:val="bullet"/>
      <w:lvlText w:val="○"/>
      <w:lvlJc w:val="left"/>
      <w:pPr>
        <w:ind w:left="3600" w:hanging="360"/>
      </w:pPr>
    </w:lvl>
    <w:lvl w:ilvl="5" w:tplc="47E6AC66">
      <w:start w:val="1"/>
      <w:numFmt w:val="bullet"/>
      <w:lvlText w:val="■"/>
      <w:lvlJc w:val="left"/>
      <w:pPr>
        <w:ind w:left="4320" w:hanging="360"/>
      </w:pPr>
    </w:lvl>
    <w:lvl w:ilvl="6" w:tplc="72967384">
      <w:start w:val="1"/>
      <w:numFmt w:val="bullet"/>
      <w:lvlText w:val="●"/>
      <w:lvlJc w:val="left"/>
      <w:pPr>
        <w:ind w:left="5040" w:hanging="360"/>
      </w:pPr>
    </w:lvl>
    <w:lvl w:ilvl="7" w:tplc="3410D34C">
      <w:start w:val="1"/>
      <w:numFmt w:val="bullet"/>
      <w:lvlText w:val="●"/>
      <w:lvlJc w:val="left"/>
      <w:pPr>
        <w:ind w:left="5760" w:hanging="360"/>
      </w:pPr>
    </w:lvl>
    <w:lvl w:ilvl="8" w:tplc="892C0128">
      <w:start w:val="1"/>
      <w:numFmt w:val="bullet"/>
      <w:lvlText w:val="●"/>
      <w:lvlJc w:val="left"/>
      <w:pPr>
        <w:ind w:left="6480" w:hanging="360"/>
      </w:pPr>
    </w:lvl>
  </w:abstractNum>
  <w:num w:numId="1" w16cid:durableId="5315759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BD7"/>
    <w:rsid w:val="000056D4"/>
    <w:rsid w:val="000F1D1D"/>
    <w:rsid w:val="001E209D"/>
    <w:rsid w:val="00241C06"/>
    <w:rsid w:val="00442B30"/>
    <w:rsid w:val="00A9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15B97D"/>
  <w15:docId w15:val="{C9A3C758-14BF-464A-957E-E8ED6F39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Revi Marta</cp:lastModifiedBy>
  <cp:revision>2</cp:revision>
  <dcterms:created xsi:type="dcterms:W3CDTF">2026-08-29T10:25:00Z</dcterms:created>
  <dcterms:modified xsi:type="dcterms:W3CDTF">2026-08-29T10:25:00Z</dcterms:modified>
</cp:coreProperties>
</file>