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b/>
          <w:i w:val="0"/>
          <w:color w:val="000000"/>
          <w:sz w:val="30"/>
        </w:rPr>
        <w:t>Supplementary Material</w:t>
      </w:r>
    </w:p>
    <w:p>
      <w:pPr>
        <w:jc w:val="center"/>
      </w:pPr>
      <w:r>
        <w:rPr>
          <w:rFonts w:ascii="Times New Roman" w:hAnsi="Times New Roman" w:eastAsia="Times New Roman"/>
          <w:b/>
          <w:i w:val="0"/>
          <w:color w:val="000000"/>
          <w:sz w:val="23"/>
        </w:rPr>
        <w:t>Fifty-Year Seismicity Analysis of the East Anatolian Fault System (1976–2026): Leakage-Safe Probabilistic Fault-Trace Forecasting</w:t>
      </w:r>
    </w:p>
    <w:p>
      <w:pPr>
        <w:jc w:val="center"/>
      </w:pPr>
      <w:r>
        <w:rPr>
          <w:rFonts w:ascii="Times New Roman" w:hAnsi="Times New Roman" w:eastAsia="Times New Roman"/>
          <w:b w:val="0"/>
          <w:i w:val="0"/>
          <w:color w:val="000000"/>
          <w:sz w:val="21"/>
        </w:rPr>
        <w:t>Mehmet Tevfik AĞDAŞ</w:t>
      </w:r>
    </w:p>
    <w:p>
      <w:pPr>
        <w:pStyle w:val="Heading1"/>
      </w:pPr>
      <w:r>
        <w:t>S1. Source-traceable fault records</w:t>
      </w:r>
    </w:p>
    <w:p>
      <w:r>
        <w:rPr>
          <w:rFonts w:ascii="Times New Roman" w:hAnsi="Times New Roman" w:eastAsia="Times New Roman"/>
          <w:b/>
          <w:i w:val="0"/>
          <w:color w:val="000000"/>
          <w:sz w:val="19"/>
        </w:rPr>
        <w:t>Supplementary Table S1. Selected high-activity source-traceable fault IDs.</w:t>
      </w:r>
    </w:p>
    <w:tbl>
      <w:tblPr>
        <w:tblW w:type="auto" w:w="0"/>
        <w:tblLook w:firstColumn="1" w:firstRow="1" w:lastColumn="0" w:lastRow="0" w:noHBand="0" w:noVBand="1" w:val="04A0"/>
      </w:tblPr>
      <w:tblGrid>
        <w:gridCol w:w="2448"/>
        <w:gridCol w:w="2448"/>
        <w:gridCol w:w="2448"/>
        <w:gridCol w:w="2448"/>
      </w:tblGrid>
      <w:tr>
        <w:tc>
          <w:tcPr>
            <w:tcW w:type="dxa" w:w="2448"/>
          </w:tcPr>
          <w:p>
            <w:r>
              <w:rPr>
                <w:rFonts w:ascii="Times New Roman" w:hAnsi="Times New Roman" w:eastAsia="Times New Roman"/>
                <w:b/>
                <w:i w:val="0"/>
                <w:color w:val="000000"/>
                <w:sz w:val="16"/>
              </w:rPr>
              <w:t>Fault trace ID</w:t>
            </w:r>
          </w:p>
        </w:tc>
        <w:tc>
          <w:tcPr>
            <w:tcW w:type="dxa" w:w="2448"/>
          </w:tcPr>
          <w:p>
            <w:r>
              <w:rPr>
                <w:rFonts w:ascii="Times New Roman" w:hAnsi="Times New Roman" w:eastAsia="Times New Roman"/>
                <w:b/>
                <w:i w:val="0"/>
                <w:color w:val="000000"/>
                <w:sz w:val="16"/>
              </w:rPr>
              <w:t>Complete events</w:t>
            </w:r>
          </w:p>
        </w:tc>
        <w:tc>
          <w:tcPr>
            <w:tcW w:type="dxa" w:w="2448"/>
          </w:tcPr>
          <w:p>
            <w:r>
              <w:rPr>
                <w:rFonts w:ascii="Times New Roman" w:hAnsi="Times New Roman" w:eastAsia="Times New Roman"/>
                <w:b/>
                <w:i w:val="0"/>
                <w:color w:val="000000"/>
                <w:sz w:val="16"/>
              </w:rPr>
              <w:t>Max Mw</w:t>
            </w:r>
          </w:p>
        </w:tc>
        <w:tc>
          <w:tcPr>
            <w:tcW w:type="dxa" w:w="2448"/>
          </w:tcPr>
          <w:p>
            <w:r>
              <w:rPr>
                <w:rFonts w:ascii="Times New Roman" w:hAnsi="Times New Roman" w:eastAsia="Times New Roman"/>
                <w:b/>
                <w:i w:val="0"/>
                <w:color w:val="000000"/>
                <w:sz w:val="16"/>
              </w:rPr>
              <w:t>Median assignment distance (km)</w:t>
            </w:r>
          </w:p>
        </w:tc>
      </w:tr>
      <w:tr>
        <w:tc>
          <w:tcPr>
            <w:tcW w:type="dxa" w:w="2448"/>
          </w:tcPr>
          <w:p>
            <w:r>
              <w:rPr>
                <w:rFonts w:ascii="Times New Roman" w:hAnsi="Times New Roman" w:eastAsia="Times New Roman"/>
                <w:b w:val="0"/>
                <w:i w:val="0"/>
                <w:color w:val="000000"/>
                <w:sz w:val="16"/>
              </w:rPr>
              <w:t>ME_TRCS056_cbdf69478b607027</w:t>
            </w:r>
          </w:p>
        </w:tc>
        <w:tc>
          <w:tcPr>
            <w:tcW w:type="dxa" w:w="2448"/>
          </w:tcPr>
          <w:p>
            <w:r>
              <w:rPr>
                <w:rFonts w:ascii="Times New Roman" w:hAnsi="Times New Roman" w:eastAsia="Times New Roman"/>
                <w:b w:val="0"/>
                <w:i w:val="0"/>
                <w:color w:val="000000"/>
                <w:sz w:val="16"/>
              </w:rPr>
              <w:t>1,328</w:t>
            </w:r>
          </w:p>
        </w:tc>
        <w:tc>
          <w:tcPr>
            <w:tcW w:type="dxa" w:w="2448"/>
          </w:tcPr>
          <w:p>
            <w:r>
              <w:rPr>
                <w:rFonts w:ascii="Times New Roman" w:hAnsi="Times New Roman" w:eastAsia="Times New Roman"/>
                <w:b w:val="0"/>
                <w:i w:val="0"/>
                <w:color w:val="000000"/>
                <w:sz w:val="16"/>
              </w:rPr>
              <w:t>7.8</w:t>
            </w:r>
          </w:p>
        </w:tc>
        <w:tc>
          <w:tcPr>
            <w:tcW w:type="dxa" w:w="2448"/>
          </w:tcPr>
          <w:p>
            <w:r>
              <w:rPr>
                <w:rFonts w:ascii="Times New Roman" w:hAnsi="Times New Roman" w:eastAsia="Times New Roman"/>
                <w:b w:val="0"/>
                <w:i w:val="0"/>
                <w:color w:val="000000"/>
                <w:sz w:val="16"/>
              </w:rPr>
              <w:t>4.43</w:t>
            </w:r>
          </w:p>
        </w:tc>
      </w:tr>
      <w:tr>
        <w:tc>
          <w:tcPr>
            <w:tcW w:type="dxa" w:w="2448"/>
          </w:tcPr>
          <w:p>
            <w:r>
              <w:rPr>
                <w:rFonts w:ascii="Times New Roman" w:hAnsi="Times New Roman" w:eastAsia="Times New Roman"/>
                <w:b w:val="0"/>
                <w:i w:val="0"/>
                <w:color w:val="000000"/>
                <w:sz w:val="16"/>
              </w:rPr>
              <w:t>EUR_TRCS372_a59beaa53cb69a4d</w:t>
            </w:r>
          </w:p>
        </w:tc>
        <w:tc>
          <w:tcPr>
            <w:tcW w:type="dxa" w:w="2448"/>
          </w:tcPr>
          <w:p>
            <w:r>
              <w:rPr>
                <w:rFonts w:ascii="Times New Roman" w:hAnsi="Times New Roman" w:eastAsia="Times New Roman"/>
                <w:b w:val="0"/>
                <w:i w:val="0"/>
                <w:color w:val="000000"/>
                <w:sz w:val="16"/>
              </w:rPr>
              <w:t>2,891</w:t>
            </w:r>
          </w:p>
        </w:tc>
        <w:tc>
          <w:tcPr>
            <w:tcW w:type="dxa" w:w="2448"/>
          </w:tcPr>
          <w:p>
            <w:r>
              <w:rPr>
                <w:rFonts w:ascii="Times New Roman" w:hAnsi="Times New Roman" w:eastAsia="Times New Roman"/>
                <w:b w:val="0"/>
                <w:i w:val="0"/>
                <w:color w:val="000000"/>
                <w:sz w:val="16"/>
              </w:rPr>
              <w:t>7.5</w:t>
            </w:r>
          </w:p>
        </w:tc>
        <w:tc>
          <w:tcPr>
            <w:tcW w:type="dxa" w:w="2448"/>
          </w:tcPr>
          <w:p>
            <w:r>
              <w:rPr>
                <w:rFonts w:ascii="Times New Roman" w:hAnsi="Times New Roman" w:eastAsia="Times New Roman"/>
                <w:b w:val="0"/>
                <w:i w:val="0"/>
                <w:color w:val="000000"/>
                <w:sz w:val="16"/>
              </w:rPr>
              <w:t>8.70</w:t>
            </w:r>
          </w:p>
        </w:tc>
      </w:tr>
      <w:tr>
        <w:tc>
          <w:tcPr>
            <w:tcW w:type="dxa" w:w="2448"/>
          </w:tcPr>
          <w:p>
            <w:r>
              <w:rPr>
                <w:rFonts w:ascii="Times New Roman" w:hAnsi="Times New Roman" w:eastAsia="Times New Roman"/>
                <w:b w:val="0"/>
                <w:i w:val="0"/>
                <w:color w:val="000000"/>
                <w:sz w:val="16"/>
              </w:rPr>
              <w:t>EUR_TRCS052_79ced8e49ebd6935</w:t>
            </w:r>
          </w:p>
        </w:tc>
        <w:tc>
          <w:tcPr>
            <w:tcW w:type="dxa" w:w="2448"/>
          </w:tcPr>
          <w:p>
            <w:r>
              <w:rPr>
                <w:rFonts w:ascii="Times New Roman" w:hAnsi="Times New Roman" w:eastAsia="Times New Roman"/>
                <w:b w:val="0"/>
                <w:i w:val="0"/>
                <w:color w:val="000000"/>
                <w:sz w:val="16"/>
              </w:rPr>
              <w:t>1,157</w:t>
            </w:r>
          </w:p>
        </w:tc>
        <w:tc>
          <w:tcPr>
            <w:tcW w:type="dxa" w:w="2448"/>
          </w:tcPr>
          <w:p>
            <w:r>
              <w:rPr>
                <w:rFonts w:ascii="Times New Roman" w:hAnsi="Times New Roman" w:eastAsia="Times New Roman"/>
                <w:b w:val="0"/>
                <w:i w:val="0"/>
                <w:color w:val="000000"/>
                <w:sz w:val="16"/>
              </w:rPr>
              <w:t>6.7</w:t>
            </w:r>
          </w:p>
        </w:tc>
        <w:tc>
          <w:tcPr>
            <w:tcW w:type="dxa" w:w="2448"/>
          </w:tcPr>
          <w:p>
            <w:r>
              <w:rPr>
                <w:rFonts w:ascii="Times New Roman" w:hAnsi="Times New Roman" w:eastAsia="Times New Roman"/>
                <w:b w:val="0"/>
                <w:i w:val="0"/>
                <w:color w:val="000000"/>
                <w:sz w:val="16"/>
              </w:rPr>
              <w:t>5.33</w:t>
            </w:r>
          </w:p>
        </w:tc>
      </w:tr>
      <w:tr>
        <w:tc>
          <w:tcPr>
            <w:tcW w:type="dxa" w:w="2448"/>
          </w:tcPr>
          <w:p>
            <w:r>
              <w:rPr>
                <w:rFonts w:ascii="Times New Roman" w:hAnsi="Times New Roman" w:eastAsia="Times New Roman"/>
                <w:b w:val="0"/>
                <w:i w:val="0"/>
                <w:color w:val="000000"/>
                <w:sz w:val="16"/>
              </w:rPr>
              <w:t>EUR_TRCS146_0ada1688fa945bfe</w:t>
            </w:r>
          </w:p>
        </w:tc>
        <w:tc>
          <w:tcPr>
            <w:tcW w:type="dxa" w:w="2448"/>
          </w:tcPr>
          <w:p>
            <w:r>
              <w:rPr>
                <w:rFonts w:ascii="Times New Roman" w:hAnsi="Times New Roman" w:eastAsia="Times New Roman"/>
                <w:b w:val="0"/>
                <w:i w:val="0"/>
                <w:color w:val="000000"/>
                <w:sz w:val="16"/>
              </w:rPr>
              <w:t>61</w:t>
            </w:r>
          </w:p>
        </w:tc>
        <w:tc>
          <w:tcPr>
            <w:tcW w:type="dxa" w:w="2448"/>
          </w:tcPr>
          <w:p>
            <w:r>
              <w:rPr>
                <w:rFonts w:ascii="Times New Roman" w:hAnsi="Times New Roman" w:eastAsia="Times New Roman"/>
                <w:b w:val="0"/>
                <w:i w:val="0"/>
                <w:color w:val="000000"/>
                <w:sz w:val="16"/>
              </w:rPr>
              <w:t>6.4</w:t>
            </w:r>
          </w:p>
        </w:tc>
        <w:tc>
          <w:tcPr>
            <w:tcW w:type="dxa" w:w="2448"/>
          </w:tcPr>
          <w:p>
            <w:r>
              <w:rPr>
                <w:rFonts w:ascii="Times New Roman" w:hAnsi="Times New Roman" w:eastAsia="Times New Roman"/>
                <w:b w:val="0"/>
                <w:i w:val="0"/>
                <w:color w:val="000000"/>
                <w:sz w:val="16"/>
              </w:rPr>
              <w:t>1.38</w:t>
            </w:r>
          </w:p>
        </w:tc>
      </w:tr>
      <w:tr>
        <w:tc>
          <w:tcPr>
            <w:tcW w:type="dxa" w:w="2448"/>
          </w:tcPr>
          <w:p>
            <w:r>
              <w:rPr>
                <w:rFonts w:ascii="Times New Roman" w:hAnsi="Times New Roman" w:eastAsia="Times New Roman"/>
                <w:b w:val="0"/>
                <w:i w:val="0"/>
                <w:color w:val="000000"/>
                <w:sz w:val="16"/>
              </w:rPr>
              <w:t>ME_TRCS057_39a2923621b6648f</w:t>
            </w:r>
          </w:p>
        </w:tc>
        <w:tc>
          <w:tcPr>
            <w:tcW w:type="dxa" w:w="2448"/>
          </w:tcPr>
          <w:p>
            <w:r>
              <w:rPr>
                <w:rFonts w:ascii="Times New Roman" w:hAnsi="Times New Roman" w:eastAsia="Times New Roman"/>
                <w:b w:val="0"/>
                <w:i w:val="0"/>
                <w:color w:val="000000"/>
                <w:sz w:val="16"/>
              </w:rPr>
              <w:t>182</w:t>
            </w:r>
          </w:p>
        </w:tc>
        <w:tc>
          <w:tcPr>
            <w:tcW w:type="dxa" w:w="2448"/>
          </w:tcPr>
          <w:p>
            <w:r>
              <w:rPr>
                <w:rFonts w:ascii="Times New Roman" w:hAnsi="Times New Roman" w:eastAsia="Times New Roman"/>
                <w:b w:val="0"/>
                <w:i w:val="0"/>
                <w:color w:val="000000"/>
                <w:sz w:val="16"/>
              </w:rPr>
              <w:t>6.3</w:t>
            </w:r>
          </w:p>
        </w:tc>
        <w:tc>
          <w:tcPr>
            <w:tcW w:type="dxa" w:w="2448"/>
          </w:tcPr>
          <w:p>
            <w:r>
              <w:rPr>
                <w:rFonts w:ascii="Times New Roman" w:hAnsi="Times New Roman" w:eastAsia="Times New Roman"/>
                <w:b w:val="0"/>
                <w:i w:val="0"/>
                <w:color w:val="000000"/>
                <w:sz w:val="16"/>
              </w:rPr>
              <w:t>4.07</w:t>
            </w:r>
          </w:p>
        </w:tc>
      </w:tr>
      <w:tr>
        <w:tc>
          <w:tcPr>
            <w:tcW w:type="dxa" w:w="2448"/>
          </w:tcPr>
          <w:p>
            <w:r>
              <w:rPr>
                <w:rFonts w:ascii="Times New Roman" w:hAnsi="Times New Roman" w:eastAsia="Times New Roman"/>
                <w:b w:val="0"/>
                <w:i w:val="0"/>
                <w:color w:val="000000"/>
                <w:sz w:val="16"/>
              </w:rPr>
              <w:t>EUR_TRCS048_da34ab1ba377a63f</w:t>
            </w:r>
          </w:p>
        </w:tc>
        <w:tc>
          <w:tcPr>
            <w:tcW w:type="dxa" w:w="2448"/>
          </w:tcPr>
          <w:p>
            <w:r>
              <w:rPr>
                <w:rFonts w:ascii="Times New Roman" w:hAnsi="Times New Roman" w:eastAsia="Times New Roman"/>
                <w:b w:val="0"/>
                <w:i w:val="0"/>
                <w:color w:val="000000"/>
                <w:sz w:val="16"/>
              </w:rPr>
              <w:t>119</w:t>
            </w:r>
          </w:p>
        </w:tc>
        <w:tc>
          <w:tcPr>
            <w:tcW w:type="dxa" w:w="2448"/>
          </w:tcPr>
          <w:p>
            <w:r>
              <w:rPr>
                <w:rFonts w:ascii="Times New Roman" w:hAnsi="Times New Roman" w:eastAsia="Times New Roman"/>
                <w:b w:val="0"/>
                <w:i w:val="0"/>
                <w:color w:val="000000"/>
                <w:sz w:val="16"/>
              </w:rPr>
              <w:t>6.1</w:t>
            </w:r>
          </w:p>
        </w:tc>
        <w:tc>
          <w:tcPr>
            <w:tcW w:type="dxa" w:w="2448"/>
          </w:tcPr>
          <w:p>
            <w:r>
              <w:rPr>
                <w:rFonts w:ascii="Times New Roman" w:hAnsi="Times New Roman" w:eastAsia="Times New Roman"/>
                <w:b w:val="0"/>
                <w:i w:val="0"/>
                <w:color w:val="000000"/>
                <w:sz w:val="16"/>
              </w:rPr>
              <w:t>1.65</w:t>
            </w:r>
          </w:p>
        </w:tc>
      </w:tr>
      <w:tr>
        <w:tc>
          <w:tcPr>
            <w:tcW w:type="dxa" w:w="2448"/>
          </w:tcPr>
          <w:p>
            <w:r>
              <w:rPr>
                <w:rFonts w:ascii="Times New Roman" w:hAnsi="Times New Roman" w:eastAsia="Times New Roman"/>
                <w:b w:val="0"/>
                <w:i w:val="0"/>
                <w:color w:val="000000"/>
                <w:sz w:val="16"/>
              </w:rPr>
              <w:t>EUR_TRCS165_5f813add383e265d</w:t>
            </w:r>
          </w:p>
        </w:tc>
        <w:tc>
          <w:tcPr>
            <w:tcW w:type="dxa" w:w="2448"/>
          </w:tcPr>
          <w:p>
            <w:r>
              <w:rPr>
                <w:rFonts w:ascii="Times New Roman" w:hAnsi="Times New Roman" w:eastAsia="Times New Roman"/>
                <w:b w:val="0"/>
                <w:i w:val="0"/>
                <w:color w:val="000000"/>
                <w:sz w:val="16"/>
              </w:rPr>
              <w:t>3,313</w:t>
            </w:r>
          </w:p>
        </w:tc>
        <w:tc>
          <w:tcPr>
            <w:tcW w:type="dxa" w:w="2448"/>
          </w:tcPr>
          <w:p>
            <w:r>
              <w:rPr>
                <w:rFonts w:ascii="Times New Roman" w:hAnsi="Times New Roman" w:eastAsia="Times New Roman"/>
                <w:b w:val="0"/>
                <w:i w:val="0"/>
                <w:color w:val="000000"/>
                <w:sz w:val="16"/>
              </w:rPr>
              <w:t>5.9</w:t>
            </w:r>
          </w:p>
        </w:tc>
        <w:tc>
          <w:tcPr>
            <w:tcW w:type="dxa" w:w="2448"/>
          </w:tcPr>
          <w:p>
            <w:r>
              <w:rPr>
                <w:rFonts w:ascii="Times New Roman" w:hAnsi="Times New Roman" w:eastAsia="Times New Roman"/>
                <w:b w:val="0"/>
                <w:i w:val="0"/>
                <w:color w:val="000000"/>
                <w:sz w:val="16"/>
              </w:rPr>
              <w:t>10.25</w:t>
            </w:r>
          </w:p>
        </w:tc>
      </w:tr>
      <w:tr>
        <w:tc>
          <w:tcPr>
            <w:tcW w:type="dxa" w:w="2448"/>
          </w:tcPr>
          <w:p>
            <w:r>
              <w:rPr>
                <w:rFonts w:ascii="Times New Roman" w:hAnsi="Times New Roman" w:eastAsia="Times New Roman"/>
                <w:b w:val="0"/>
                <w:i w:val="0"/>
                <w:color w:val="000000"/>
                <w:sz w:val="16"/>
              </w:rPr>
              <w:t>EUR_TRCS064_718cbb4e27ea4a0b</w:t>
            </w:r>
          </w:p>
        </w:tc>
        <w:tc>
          <w:tcPr>
            <w:tcW w:type="dxa" w:w="2448"/>
          </w:tcPr>
          <w:p>
            <w:r>
              <w:rPr>
                <w:rFonts w:ascii="Times New Roman" w:hAnsi="Times New Roman" w:eastAsia="Times New Roman"/>
                <w:b w:val="0"/>
                <w:i w:val="0"/>
                <w:color w:val="000000"/>
                <w:sz w:val="16"/>
              </w:rPr>
              <w:t>698</w:t>
            </w:r>
          </w:p>
        </w:tc>
        <w:tc>
          <w:tcPr>
            <w:tcW w:type="dxa" w:w="2448"/>
          </w:tcPr>
          <w:p>
            <w:r>
              <w:rPr>
                <w:rFonts w:ascii="Times New Roman" w:hAnsi="Times New Roman" w:eastAsia="Times New Roman"/>
                <w:b w:val="0"/>
                <w:i w:val="0"/>
                <w:color w:val="000000"/>
                <w:sz w:val="16"/>
              </w:rPr>
              <w:t>5.8</w:t>
            </w:r>
          </w:p>
        </w:tc>
        <w:tc>
          <w:tcPr>
            <w:tcW w:type="dxa" w:w="2448"/>
          </w:tcPr>
          <w:p>
            <w:r>
              <w:rPr>
                <w:rFonts w:ascii="Times New Roman" w:hAnsi="Times New Roman" w:eastAsia="Times New Roman"/>
                <w:b w:val="0"/>
                <w:i w:val="0"/>
                <w:color w:val="000000"/>
                <w:sz w:val="16"/>
              </w:rPr>
              <w:t>4.92</w:t>
            </w:r>
          </w:p>
        </w:tc>
      </w:tr>
    </w:tbl>
    <w:p>
      <w:pPr>
        <w:spacing w:line="480" w:lineRule="auto" w:after="0"/>
        <w:jc w:val="both"/>
      </w:pPr>
      <w:r>
        <w:rPr>
          <w:rFonts w:ascii="Times New Roman" w:hAnsi="Times New Roman"/>
        </w:rPr>
        <w:t>This supplementary table illustrates the range of seismic activity represented by the most active source-traceable fault IDs. Event counts, maximum Mw, and median assignment distances vary substantially among traces, confirming that the panel contains heterogeneous observational support rather than equally sampled fault units. Because authoritative segment names were unavailable in the executed GEM subset, these identifiers are intentionally preserved as computational trace IDs and should not be converted into named-fault claims.</w:t>
      </w:r>
    </w:p>
    <w:p>
      <w:r>
        <w:rPr>
          <w:rFonts w:ascii="Times New Roman" w:hAnsi="Times New Roman" w:eastAsia="Times New Roman"/>
          <w:b w:val="0"/>
          <w:i/>
          <w:color w:val="000000"/>
          <w:sz w:val="17"/>
        </w:rPr>
        <w:t>The executed GEM subset did not provide authoritative segment names; stable source identifiers are reported instead of inferred names.</w:t>
      </w:r>
    </w:p>
    <w:p>
      <w:pPr>
        <w:pStyle w:val="Heading1"/>
      </w:pPr>
      <w:r>
        <w:t>S2. Sequence heterogeneity</w:t>
      </w:r>
    </w:p>
    <w:p>
      <w:r>
        <w:rPr>
          <w:rFonts w:ascii="Times New Roman" w:hAnsi="Times New Roman" w:eastAsia="Times New Roman"/>
          <w:b w:val="0"/>
          <w:i w:val="0"/>
          <w:color w:val="000000"/>
          <w:sz w:val="21"/>
        </w:rPr>
        <w:t>Sequence-specific Omori–Utsu parameters vary substantially, motivating the manuscript's constrained interpretation of the frozen pre-test ETAS-style feature set.</w:t>
      </w:r>
    </w:p>
    <w:p>
      <w:r>
        <w:rPr>
          <w:rFonts w:ascii="Times New Roman" w:hAnsi="Times New Roman" w:eastAsia="Times New Roman"/>
          <w:b/>
          <w:i w:val="0"/>
          <w:color w:val="000000"/>
          <w:sz w:val="19"/>
        </w:rPr>
        <w:t>Supplementary Table S2. Selected Omori–Utsu sequence parameters.</w:t>
      </w:r>
    </w:p>
    <w:tbl>
      <w:tblPr>
        <w:tblW w:type="auto" w:w="0"/>
        <w:tblLook w:firstColumn="1" w:firstRow="1" w:lastColumn="0" w:lastRow="0" w:noHBand="0" w:noVBand="1" w:val="04A0"/>
      </w:tblPr>
      <w:tblGrid>
        <w:gridCol w:w="1632"/>
        <w:gridCol w:w="1632"/>
        <w:gridCol w:w="1632"/>
        <w:gridCol w:w="1632"/>
        <w:gridCol w:w="1632"/>
        <w:gridCol w:w="1632"/>
      </w:tblGrid>
      <w:tr>
        <w:tc>
          <w:tcPr>
            <w:tcW w:type="dxa" w:w="1632"/>
          </w:tcPr>
          <w:p>
            <w:r>
              <w:rPr>
                <w:rFonts w:ascii="Times New Roman" w:hAnsi="Times New Roman" w:eastAsia="Times New Roman"/>
                <w:b/>
                <w:i w:val="0"/>
                <w:color w:val="000000"/>
                <w:sz w:val="16"/>
              </w:rPr>
              <w:t>Date</w:t>
            </w:r>
          </w:p>
        </w:tc>
        <w:tc>
          <w:tcPr>
            <w:tcW w:type="dxa" w:w="1632"/>
          </w:tcPr>
          <w:p>
            <w:r>
              <w:rPr>
                <w:rFonts w:ascii="Times New Roman" w:hAnsi="Times New Roman" w:eastAsia="Times New Roman"/>
                <w:b/>
                <w:i w:val="0"/>
                <w:color w:val="000000"/>
                <w:sz w:val="16"/>
              </w:rPr>
              <w:t>Mainshock Mw</w:t>
            </w:r>
          </w:p>
        </w:tc>
        <w:tc>
          <w:tcPr>
            <w:tcW w:type="dxa" w:w="1632"/>
          </w:tcPr>
          <w:p>
            <w:r>
              <w:rPr>
                <w:rFonts w:ascii="Times New Roman" w:hAnsi="Times New Roman" w:eastAsia="Times New Roman"/>
                <w:b/>
                <w:i w:val="0"/>
                <w:color w:val="000000"/>
                <w:sz w:val="16"/>
              </w:rPr>
              <w:t>K</w:t>
            </w:r>
          </w:p>
        </w:tc>
        <w:tc>
          <w:tcPr>
            <w:tcW w:type="dxa" w:w="1632"/>
          </w:tcPr>
          <w:p>
            <w:r>
              <w:rPr>
                <w:rFonts w:ascii="Times New Roman" w:hAnsi="Times New Roman" w:eastAsia="Times New Roman"/>
                <w:b/>
                <w:i w:val="0"/>
                <w:color w:val="000000"/>
                <w:sz w:val="16"/>
              </w:rPr>
              <w:t>c (d)</w:t>
            </w:r>
          </w:p>
        </w:tc>
        <w:tc>
          <w:tcPr>
            <w:tcW w:type="dxa" w:w="1632"/>
          </w:tcPr>
          <w:p>
            <w:r>
              <w:rPr>
                <w:rFonts w:ascii="Times New Roman" w:hAnsi="Times New Roman" w:eastAsia="Times New Roman"/>
                <w:b/>
                <w:i w:val="0"/>
                <w:color w:val="000000"/>
                <w:sz w:val="16"/>
              </w:rPr>
              <w:t>p</w:t>
            </w:r>
          </w:p>
        </w:tc>
        <w:tc>
          <w:tcPr>
            <w:tcW w:type="dxa" w:w="1632"/>
          </w:tcPr>
          <w:p>
            <w:r>
              <w:rPr>
                <w:rFonts w:ascii="Times New Roman" w:hAnsi="Times New Roman" w:eastAsia="Times New Roman"/>
                <w:b/>
                <w:i w:val="0"/>
                <w:color w:val="000000"/>
                <w:sz w:val="16"/>
              </w:rPr>
              <w:t>Sequence n</w:t>
            </w:r>
          </w:p>
        </w:tc>
      </w:tr>
      <w:tr>
        <w:tc>
          <w:tcPr>
            <w:tcW w:type="dxa" w:w="1632"/>
          </w:tcPr>
          <w:p>
            <w:r>
              <w:rPr>
                <w:rFonts w:ascii="Times New Roman" w:hAnsi="Times New Roman" w:eastAsia="Times New Roman"/>
                <w:b w:val="0"/>
                <w:i w:val="0"/>
                <w:color w:val="000000"/>
                <w:sz w:val="16"/>
              </w:rPr>
              <w:t>2023-02-06</w:t>
            </w:r>
          </w:p>
        </w:tc>
        <w:tc>
          <w:tcPr>
            <w:tcW w:type="dxa" w:w="1632"/>
          </w:tcPr>
          <w:p>
            <w:r>
              <w:rPr>
                <w:rFonts w:ascii="Times New Roman" w:hAnsi="Times New Roman" w:eastAsia="Times New Roman"/>
                <w:b w:val="0"/>
                <w:i w:val="0"/>
                <w:color w:val="000000"/>
                <w:sz w:val="16"/>
              </w:rPr>
              <w:t>7.8</w:t>
            </w:r>
          </w:p>
        </w:tc>
        <w:tc>
          <w:tcPr>
            <w:tcW w:type="dxa" w:w="1632"/>
          </w:tcPr>
          <w:p>
            <w:r>
              <w:rPr>
                <w:rFonts w:ascii="Times New Roman" w:hAnsi="Times New Roman" w:eastAsia="Times New Roman"/>
                <w:b w:val="0"/>
                <w:i w:val="0"/>
                <w:color w:val="000000"/>
                <w:sz w:val="16"/>
              </w:rPr>
              <w:t>2277.24</w:t>
            </w:r>
          </w:p>
        </w:tc>
        <w:tc>
          <w:tcPr>
            <w:tcW w:type="dxa" w:w="1632"/>
          </w:tcPr>
          <w:p>
            <w:r>
              <w:rPr>
                <w:rFonts w:ascii="Times New Roman" w:hAnsi="Times New Roman" w:eastAsia="Times New Roman"/>
                <w:b w:val="0"/>
                <w:i w:val="0"/>
                <w:color w:val="000000"/>
                <w:sz w:val="16"/>
              </w:rPr>
              <w:t>4.8358</w:t>
            </w:r>
          </w:p>
        </w:tc>
        <w:tc>
          <w:tcPr>
            <w:tcW w:type="dxa" w:w="1632"/>
          </w:tcPr>
          <w:p>
            <w:r>
              <w:rPr>
                <w:rFonts w:ascii="Times New Roman" w:hAnsi="Times New Roman" w:eastAsia="Times New Roman"/>
                <w:b w:val="0"/>
                <w:i w:val="0"/>
                <w:color w:val="000000"/>
                <w:sz w:val="16"/>
              </w:rPr>
              <w:t>0.7125</w:t>
            </w:r>
          </w:p>
        </w:tc>
        <w:tc>
          <w:tcPr>
            <w:tcW w:type="dxa" w:w="1632"/>
          </w:tcPr>
          <w:p>
            <w:r>
              <w:rPr>
                <w:rFonts w:ascii="Times New Roman" w:hAnsi="Times New Roman" w:eastAsia="Times New Roman"/>
                <w:b w:val="0"/>
                <w:i w:val="0"/>
                <w:color w:val="000000"/>
                <w:sz w:val="16"/>
              </w:rPr>
              <w:t>9,585</w:t>
            </w:r>
          </w:p>
        </w:tc>
      </w:tr>
      <w:tr>
        <w:tc>
          <w:tcPr>
            <w:tcW w:type="dxa" w:w="1632"/>
          </w:tcPr>
          <w:p>
            <w:r>
              <w:rPr>
                <w:rFonts w:ascii="Times New Roman" w:hAnsi="Times New Roman" w:eastAsia="Times New Roman"/>
                <w:b w:val="0"/>
                <w:i w:val="0"/>
                <w:color w:val="000000"/>
                <w:sz w:val="16"/>
              </w:rPr>
              <w:t>2020-01-24</w:t>
            </w:r>
          </w:p>
        </w:tc>
        <w:tc>
          <w:tcPr>
            <w:tcW w:type="dxa" w:w="1632"/>
          </w:tcPr>
          <w:p>
            <w:r>
              <w:rPr>
                <w:rFonts w:ascii="Times New Roman" w:hAnsi="Times New Roman" w:eastAsia="Times New Roman"/>
                <w:b w:val="0"/>
                <w:i w:val="0"/>
                <w:color w:val="000000"/>
                <w:sz w:val="16"/>
              </w:rPr>
              <w:t>6.7</w:t>
            </w:r>
          </w:p>
        </w:tc>
        <w:tc>
          <w:tcPr>
            <w:tcW w:type="dxa" w:w="1632"/>
          </w:tcPr>
          <w:p>
            <w:r>
              <w:rPr>
                <w:rFonts w:ascii="Times New Roman" w:hAnsi="Times New Roman" w:eastAsia="Times New Roman"/>
                <w:b w:val="0"/>
                <w:i w:val="0"/>
                <w:color w:val="000000"/>
                <w:sz w:val="16"/>
              </w:rPr>
              <w:t>260.82</w:t>
            </w:r>
          </w:p>
        </w:tc>
        <w:tc>
          <w:tcPr>
            <w:tcW w:type="dxa" w:w="1632"/>
          </w:tcPr>
          <w:p>
            <w:r>
              <w:rPr>
                <w:rFonts w:ascii="Times New Roman" w:hAnsi="Times New Roman" w:eastAsia="Times New Roman"/>
                <w:b w:val="0"/>
                <w:i w:val="0"/>
                <w:color w:val="000000"/>
                <w:sz w:val="16"/>
              </w:rPr>
              <w:t>0.3957</w:t>
            </w:r>
          </w:p>
        </w:tc>
        <w:tc>
          <w:tcPr>
            <w:tcW w:type="dxa" w:w="1632"/>
          </w:tcPr>
          <w:p>
            <w:r>
              <w:rPr>
                <w:rFonts w:ascii="Times New Roman" w:hAnsi="Times New Roman" w:eastAsia="Times New Roman"/>
                <w:b w:val="0"/>
                <w:i w:val="0"/>
                <w:color w:val="000000"/>
                <w:sz w:val="16"/>
              </w:rPr>
              <w:t>1.1071</w:t>
            </w:r>
          </w:p>
        </w:tc>
        <w:tc>
          <w:tcPr>
            <w:tcW w:type="dxa" w:w="1632"/>
          </w:tcPr>
          <w:p>
            <w:r>
              <w:rPr>
                <w:rFonts w:ascii="Times New Roman" w:hAnsi="Times New Roman" w:eastAsia="Times New Roman"/>
                <w:b w:val="0"/>
                <w:i w:val="0"/>
                <w:color w:val="000000"/>
                <w:sz w:val="16"/>
              </w:rPr>
              <w:t>1,017</w:t>
            </w:r>
          </w:p>
        </w:tc>
      </w:tr>
      <w:tr>
        <w:tc>
          <w:tcPr>
            <w:tcW w:type="dxa" w:w="1632"/>
          </w:tcPr>
          <w:p>
            <w:r>
              <w:rPr>
                <w:rFonts w:ascii="Times New Roman" w:hAnsi="Times New Roman" w:eastAsia="Times New Roman"/>
                <w:b w:val="0"/>
                <w:i w:val="0"/>
                <w:color w:val="000000"/>
                <w:sz w:val="16"/>
              </w:rPr>
              <w:t>2003-05-01</w:t>
            </w:r>
          </w:p>
        </w:tc>
        <w:tc>
          <w:tcPr>
            <w:tcW w:type="dxa" w:w="1632"/>
          </w:tcPr>
          <w:p>
            <w:r>
              <w:rPr>
                <w:rFonts w:ascii="Times New Roman" w:hAnsi="Times New Roman" w:eastAsia="Times New Roman"/>
                <w:b w:val="0"/>
                <w:i w:val="0"/>
                <w:color w:val="000000"/>
                <w:sz w:val="16"/>
              </w:rPr>
              <w:t>6.4</w:t>
            </w:r>
          </w:p>
        </w:tc>
        <w:tc>
          <w:tcPr>
            <w:tcW w:type="dxa" w:w="1632"/>
          </w:tcPr>
          <w:p>
            <w:r>
              <w:rPr>
                <w:rFonts w:ascii="Times New Roman" w:hAnsi="Times New Roman" w:eastAsia="Times New Roman"/>
                <w:b w:val="0"/>
                <w:i w:val="0"/>
                <w:color w:val="000000"/>
                <w:sz w:val="16"/>
              </w:rPr>
              <w:t>13.02</w:t>
            </w:r>
          </w:p>
        </w:tc>
        <w:tc>
          <w:tcPr>
            <w:tcW w:type="dxa" w:w="1632"/>
          </w:tcPr>
          <w:p>
            <w:r>
              <w:rPr>
                <w:rFonts w:ascii="Times New Roman" w:hAnsi="Times New Roman" w:eastAsia="Times New Roman"/>
                <w:b w:val="0"/>
                <w:i w:val="0"/>
                <w:color w:val="000000"/>
                <w:sz w:val="16"/>
              </w:rPr>
              <w:t>0.00001</w:t>
            </w:r>
          </w:p>
        </w:tc>
        <w:tc>
          <w:tcPr>
            <w:tcW w:type="dxa" w:w="1632"/>
          </w:tcPr>
          <w:p>
            <w:r>
              <w:rPr>
                <w:rFonts w:ascii="Times New Roman" w:hAnsi="Times New Roman" w:eastAsia="Times New Roman"/>
                <w:b w:val="0"/>
                <w:i w:val="0"/>
                <w:color w:val="000000"/>
                <w:sz w:val="16"/>
              </w:rPr>
              <w:t>0.6985</w:t>
            </w:r>
          </w:p>
        </w:tc>
        <w:tc>
          <w:tcPr>
            <w:tcW w:type="dxa" w:w="1632"/>
          </w:tcPr>
          <w:p>
            <w:r>
              <w:rPr>
                <w:rFonts w:ascii="Times New Roman" w:hAnsi="Times New Roman" w:eastAsia="Times New Roman"/>
                <w:b w:val="0"/>
                <w:i w:val="0"/>
                <w:color w:val="000000"/>
                <w:sz w:val="16"/>
              </w:rPr>
              <w:t>119</w:t>
            </w:r>
          </w:p>
        </w:tc>
      </w:tr>
      <w:tr>
        <w:tc>
          <w:tcPr>
            <w:tcW w:type="dxa" w:w="1632"/>
          </w:tcPr>
          <w:p>
            <w:r>
              <w:rPr>
                <w:rFonts w:ascii="Times New Roman" w:hAnsi="Times New Roman" w:eastAsia="Times New Roman"/>
                <w:b w:val="0"/>
                <w:i w:val="0"/>
                <w:color w:val="000000"/>
                <w:sz w:val="16"/>
              </w:rPr>
              <w:t>2023-02-20</w:t>
            </w:r>
          </w:p>
        </w:tc>
        <w:tc>
          <w:tcPr>
            <w:tcW w:type="dxa" w:w="1632"/>
          </w:tcPr>
          <w:p>
            <w:r>
              <w:rPr>
                <w:rFonts w:ascii="Times New Roman" w:hAnsi="Times New Roman" w:eastAsia="Times New Roman"/>
                <w:b w:val="0"/>
                <w:i w:val="0"/>
                <w:color w:val="000000"/>
                <w:sz w:val="16"/>
              </w:rPr>
              <w:t>6.3</w:t>
            </w:r>
          </w:p>
        </w:tc>
        <w:tc>
          <w:tcPr>
            <w:tcW w:type="dxa" w:w="1632"/>
          </w:tcPr>
          <w:p>
            <w:r>
              <w:rPr>
                <w:rFonts w:ascii="Times New Roman" w:hAnsi="Times New Roman" w:eastAsia="Times New Roman"/>
                <w:b w:val="0"/>
                <w:i w:val="0"/>
                <w:color w:val="000000"/>
                <w:sz w:val="16"/>
              </w:rPr>
              <w:t>57.34</w:t>
            </w:r>
          </w:p>
        </w:tc>
        <w:tc>
          <w:tcPr>
            <w:tcW w:type="dxa" w:w="1632"/>
          </w:tcPr>
          <w:p>
            <w:r>
              <w:rPr>
                <w:rFonts w:ascii="Times New Roman" w:hAnsi="Times New Roman" w:eastAsia="Times New Roman"/>
                <w:b w:val="0"/>
                <w:i w:val="0"/>
                <w:color w:val="000000"/>
                <w:sz w:val="16"/>
              </w:rPr>
              <w:t>0.00589</w:t>
            </w:r>
          </w:p>
        </w:tc>
        <w:tc>
          <w:tcPr>
            <w:tcW w:type="dxa" w:w="1632"/>
          </w:tcPr>
          <w:p>
            <w:r>
              <w:rPr>
                <w:rFonts w:ascii="Times New Roman" w:hAnsi="Times New Roman" w:eastAsia="Times New Roman"/>
                <w:b w:val="0"/>
                <w:i w:val="0"/>
                <w:color w:val="000000"/>
                <w:sz w:val="16"/>
              </w:rPr>
              <w:t>0.6710</w:t>
            </w:r>
          </w:p>
        </w:tc>
        <w:tc>
          <w:tcPr>
            <w:tcW w:type="dxa" w:w="1632"/>
          </w:tcPr>
          <w:p>
            <w:r>
              <w:rPr>
                <w:rFonts w:ascii="Times New Roman" w:hAnsi="Times New Roman" w:eastAsia="Times New Roman"/>
                <w:b w:val="0"/>
                <w:i w:val="0"/>
                <w:color w:val="000000"/>
                <w:sz w:val="16"/>
              </w:rPr>
              <w:t>515</w:t>
            </w:r>
          </w:p>
        </w:tc>
      </w:tr>
      <w:tr>
        <w:tc>
          <w:tcPr>
            <w:tcW w:type="dxa" w:w="1632"/>
          </w:tcPr>
          <w:p>
            <w:r>
              <w:rPr>
                <w:rFonts w:ascii="Times New Roman" w:hAnsi="Times New Roman" w:eastAsia="Times New Roman"/>
                <w:b w:val="0"/>
                <w:i w:val="0"/>
                <w:color w:val="000000"/>
                <w:sz w:val="16"/>
              </w:rPr>
              <w:t>2010-03-08</w:t>
            </w:r>
          </w:p>
        </w:tc>
        <w:tc>
          <w:tcPr>
            <w:tcW w:type="dxa" w:w="1632"/>
          </w:tcPr>
          <w:p>
            <w:r>
              <w:rPr>
                <w:rFonts w:ascii="Times New Roman" w:hAnsi="Times New Roman" w:eastAsia="Times New Roman"/>
                <w:b w:val="0"/>
                <w:i w:val="0"/>
                <w:color w:val="000000"/>
                <w:sz w:val="16"/>
              </w:rPr>
              <w:t>6.1</w:t>
            </w:r>
          </w:p>
        </w:tc>
        <w:tc>
          <w:tcPr>
            <w:tcW w:type="dxa" w:w="1632"/>
          </w:tcPr>
          <w:p>
            <w:r>
              <w:rPr>
                <w:rFonts w:ascii="Times New Roman" w:hAnsi="Times New Roman" w:eastAsia="Times New Roman"/>
                <w:b w:val="0"/>
                <w:i w:val="0"/>
                <w:color w:val="000000"/>
                <w:sz w:val="16"/>
              </w:rPr>
              <w:t>58.61</w:t>
            </w:r>
          </w:p>
        </w:tc>
        <w:tc>
          <w:tcPr>
            <w:tcW w:type="dxa" w:w="1632"/>
          </w:tcPr>
          <w:p>
            <w:r>
              <w:rPr>
                <w:rFonts w:ascii="Times New Roman" w:hAnsi="Times New Roman" w:eastAsia="Times New Roman"/>
                <w:b w:val="0"/>
                <w:i w:val="0"/>
                <w:color w:val="000000"/>
                <w:sz w:val="16"/>
              </w:rPr>
              <w:t>0.1417</w:t>
            </w:r>
          </w:p>
        </w:tc>
        <w:tc>
          <w:tcPr>
            <w:tcW w:type="dxa" w:w="1632"/>
          </w:tcPr>
          <w:p>
            <w:r>
              <w:rPr>
                <w:rFonts w:ascii="Times New Roman" w:hAnsi="Times New Roman" w:eastAsia="Times New Roman"/>
                <w:b w:val="0"/>
                <w:i w:val="0"/>
                <w:color w:val="000000"/>
                <w:sz w:val="16"/>
              </w:rPr>
              <w:t>1.0384</w:t>
            </w:r>
          </w:p>
        </w:tc>
        <w:tc>
          <w:tcPr>
            <w:tcW w:type="dxa" w:w="1632"/>
          </w:tcPr>
          <w:p>
            <w:r>
              <w:rPr>
                <w:rFonts w:ascii="Times New Roman" w:hAnsi="Times New Roman" w:eastAsia="Times New Roman"/>
                <w:b w:val="0"/>
                <w:i w:val="0"/>
                <w:color w:val="000000"/>
                <w:sz w:val="16"/>
              </w:rPr>
              <w:t>324</w:t>
            </w:r>
          </w:p>
        </w:tc>
      </w:tr>
      <w:tr>
        <w:tc>
          <w:tcPr>
            <w:tcW w:type="dxa" w:w="1632"/>
          </w:tcPr>
          <w:p>
            <w:r>
              <w:rPr>
                <w:rFonts w:ascii="Times New Roman" w:hAnsi="Times New Roman" w:eastAsia="Times New Roman"/>
                <w:b w:val="0"/>
                <w:i w:val="0"/>
                <w:color w:val="000000"/>
                <w:sz w:val="16"/>
              </w:rPr>
              <w:t>2024-10-16</w:t>
            </w:r>
          </w:p>
        </w:tc>
        <w:tc>
          <w:tcPr>
            <w:tcW w:type="dxa" w:w="1632"/>
          </w:tcPr>
          <w:p>
            <w:r>
              <w:rPr>
                <w:rFonts w:ascii="Times New Roman" w:hAnsi="Times New Roman" w:eastAsia="Times New Roman"/>
                <w:b w:val="0"/>
                <w:i w:val="0"/>
                <w:color w:val="000000"/>
                <w:sz w:val="16"/>
              </w:rPr>
              <w:t>6.0</w:t>
            </w:r>
          </w:p>
        </w:tc>
        <w:tc>
          <w:tcPr>
            <w:tcW w:type="dxa" w:w="1632"/>
          </w:tcPr>
          <w:p>
            <w:r>
              <w:rPr>
                <w:rFonts w:ascii="Times New Roman" w:hAnsi="Times New Roman" w:eastAsia="Times New Roman"/>
                <w:b w:val="0"/>
                <w:i w:val="0"/>
                <w:color w:val="000000"/>
                <w:sz w:val="16"/>
              </w:rPr>
              <w:t>12.04</w:t>
            </w:r>
          </w:p>
        </w:tc>
        <w:tc>
          <w:tcPr>
            <w:tcW w:type="dxa" w:w="1632"/>
          </w:tcPr>
          <w:p>
            <w:r>
              <w:rPr>
                <w:rFonts w:ascii="Times New Roman" w:hAnsi="Times New Roman" w:eastAsia="Times New Roman"/>
                <w:b w:val="0"/>
                <w:i w:val="0"/>
                <w:color w:val="000000"/>
                <w:sz w:val="16"/>
              </w:rPr>
              <w:t>0.00271</w:t>
            </w:r>
          </w:p>
        </w:tc>
        <w:tc>
          <w:tcPr>
            <w:tcW w:type="dxa" w:w="1632"/>
          </w:tcPr>
          <w:p>
            <w:r>
              <w:rPr>
                <w:rFonts w:ascii="Times New Roman" w:hAnsi="Times New Roman" w:eastAsia="Times New Roman"/>
                <w:b w:val="0"/>
                <w:i w:val="0"/>
                <w:color w:val="000000"/>
                <w:sz w:val="16"/>
              </w:rPr>
              <w:t>0.8276</w:t>
            </w:r>
          </w:p>
        </w:tc>
        <w:tc>
          <w:tcPr>
            <w:tcW w:type="dxa" w:w="1632"/>
          </w:tcPr>
          <w:p>
            <w:r>
              <w:rPr>
                <w:rFonts w:ascii="Times New Roman" w:hAnsi="Times New Roman" w:eastAsia="Times New Roman"/>
                <w:b w:val="0"/>
                <w:i w:val="0"/>
                <w:color w:val="000000"/>
                <w:sz w:val="16"/>
              </w:rPr>
              <w:t>104</w:t>
            </w:r>
          </w:p>
        </w:tc>
      </w:tr>
    </w:tbl>
    <w:p>
      <w:pPr>
        <w:spacing w:line="480" w:lineRule="auto" w:after="0"/>
        <w:jc w:val="both"/>
      </w:pPr>
      <w:r>
        <w:rPr>
          <w:rFonts w:ascii="Times New Roman" w:hAnsi="Times New Roman"/>
        </w:rPr>
        <w:t>This supplementary table quantifies the strong heterogeneity of Omori–Utsu behavior among major EAFS sequences. The order-of-magnitude differences in K and the substantial variation in c and p show that the temporal decay process is not stationary across events. These results provide important context for the negative ETAS increment: the forecasting experiment deliberately freezes pre-test ETAS-style parameters to prevent leakage, but this conservative design may be less flexible than a sequence-adaptive formulation.</w:t>
      </w:r>
    </w:p>
    <w:p>
      <w:pPr>
        <w:pStyle w:val="Heading1"/>
      </w:pPr>
      <w:r>
        <w:t>S3. Automated scientific-integrity checks</w:t>
      </w:r>
    </w:p>
    <w:p>
      <w:r>
        <w:rPr>
          <w:rFonts w:ascii="Times New Roman" w:hAnsi="Times New Roman" w:eastAsia="Times New Roman"/>
          <w:b/>
          <w:i w:val="0"/>
          <w:color w:val="000000"/>
          <w:sz w:val="19"/>
        </w:rPr>
        <w:t>Supplementary Table S3. Selected automated scientific-integrity checks.</w:t>
      </w:r>
    </w:p>
    <w:tbl>
      <w:tblPr>
        <w:tblW w:type="auto" w:w="0"/>
        <w:tblLook w:firstColumn="1" w:firstRow="1" w:lastColumn="0" w:lastRow="0" w:noHBand="0" w:noVBand="1" w:val="04A0"/>
      </w:tblPr>
      <w:tblGrid>
        <w:gridCol w:w="4896"/>
        <w:gridCol w:w="4896"/>
      </w:tblGrid>
      <w:tr>
        <w:tc>
          <w:tcPr>
            <w:tcW w:type="dxa" w:w="4896"/>
          </w:tcPr>
          <w:p>
            <w:r>
              <w:rPr>
                <w:rFonts w:ascii="Times New Roman" w:hAnsi="Times New Roman" w:eastAsia="Times New Roman"/>
                <w:b/>
                <w:i w:val="0"/>
                <w:color w:val="000000"/>
                <w:sz w:val="16"/>
              </w:rPr>
              <w:t>Check</w:t>
            </w:r>
          </w:p>
        </w:tc>
        <w:tc>
          <w:tcPr>
            <w:tcW w:type="dxa" w:w="4896"/>
          </w:tcPr>
          <w:p>
            <w:r>
              <w:rPr>
                <w:rFonts w:ascii="Times New Roman" w:hAnsi="Times New Roman" w:eastAsia="Times New Roman"/>
                <w:b/>
                <w:i w:val="0"/>
                <w:color w:val="000000"/>
                <w:sz w:val="16"/>
              </w:rPr>
              <w:t>Result</w:t>
            </w:r>
          </w:p>
        </w:tc>
      </w:tr>
      <w:tr>
        <w:tc>
          <w:tcPr>
            <w:tcW w:type="dxa" w:w="4896"/>
          </w:tcPr>
          <w:p>
            <w:r>
              <w:rPr>
                <w:rFonts w:ascii="Times New Roman" w:hAnsi="Times New Roman" w:eastAsia="Times New Roman"/>
                <w:b w:val="0"/>
                <w:i w:val="0"/>
                <w:color w:val="000000"/>
                <w:sz w:val="16"/>
              </w:rPr>
              <w:t>Unique merged events</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Chronological order</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Valid coordinates</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Training before validation/test/holdout</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Purged labels do not cross boundaries</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Magnitude calibration pre-test only</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ETAS feature fit pre-test only</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No target in feature set</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Fault provenance exists</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Both classes in locked test and holdout</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Formal test origins non-overlapping</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Moving-block bootstrap used</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Rolling predictions never tune on test year</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Scenario uses frozen operational champion</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Scenario proxy explicitly not Coulomb</w:t>
            </w:r>
          </w:p>
        </w:tc>
        <w:tc>
          <w:tcPr>
            <w:tcW w:type="dxa" w:w="4896"/>
          </w:tcPr>
          <w:p>
            <w:r>
              <w:rPr>
                <w:rFonts w:ascii="Times New Roman" w:hAnsi="Times New Roman" w:eastAsia="Times New Roman"/>
                <w:b w:val="0"/>
                <w:i w:val="0"/>
                <w:color w:val="000000"/>
                <w:sz w:val="16"/>
              </w:rPr>
              <w:t>Pass</w:t>
            </w:r>
          </w:p>
        </w:tc>
      </w:tr>
      <w:tr>
        <w:tc>
          <w:tcPr>
            <w:tcW w:type="dxa" w:w="4896"/>
          </w:tcPr>
          <w:p>
            <w:r>
              <w:rPr>
                <w:rFonts w:ascii="Times New Roman" w:hAnsi="Times New Roman" w:eastAsia="Times New Roman"/>
                <w:b w:val="0"/>
                <w:i w:val="0"/>
                <w:color w:val="000000"/>
                <w:sz w:val="16"/>
              </w:rPr>
              <w:t>Prespecified evidence gates created</w:t>
            </w:r>
          </w:p>
        </w:tc>
        <w:tc>
          <w:tcPr>
            <w:tcW w:type="dxa" w:w="4896"/>
          </w:tcPr>
          <w:p>
            <w:r>
              <w:rPr>
                <w:rFonts w:ascii="Times New Roman" w:hAnsi="Times New Roman" w:eastAsia="Times New Roman"/>
                <w:b w:val="0"/>
                <w:i w:val="0"/>
                <w:color w:val="000000"/>
                <w:sz w:val="16"/>
              </w:rPr>
              <w:t>Pass</w:t>
            </w:r>
          </w:p>
        </w:tc>
      </w:tr>
    </w:tbl>
    <w:p>
      <w:pPr>
        <w:spacing w:line="480" w:lineRule="auto" w:after="0"/>
        <w:jc w:val="both"/>
      </w:pPr>
      <w:r>
        <w:rPr>
          <w:rFonts w:ascii="Times New Roman" w:hAnsi="Times New Roman"/>
        </w:rPr>
        <w:t>This supplementary table summarizes the executable integrity checks used to verify chronology, target construction, provenance, feature leakage, and evaluation design. Passing these checks does not replace independent external replication, but it documents that the reported workflow enforces the safeguards described in the Methods. The table therefore serves as a reproducibility audit trail linking the manuscript's methodological claims to machine-checkable conditions in the notebook.</w:t>
      </w:r>
    </w:p>
    <w:p>
      <w:r>
        <w:rPr>
          <w:rFonts w:ascii="Times New Roman" w:hAnsi="Times New Roman" w:eastAsia="Times New Roman"/>
          <w:b w:val="0"/>
          <w:i/>
          <w:color w:val="000000"/>
          <w:sz w:val="17"/>
        </w:rPr>
        <w:t>These executable checks are internal reproducibility diagnostics and do not substitute for independent code review.</w:t>
      </w:r>
    </w:p>
    <w:p>
      <w:pPr>
        <w:pStyle w:val="Heading1"/>
      </w:pPr>
      <w:r>
        <w:t>S4. KOERI service-audit note</w:t>
      </w:r>
    </w:p>
    <w:p>
      <w:r>
        <w:rPr>
          <w:rFonts w:ascii="Times New Roman" w:hAnsi="Times New Roman" w:eastAsia="Times New Roman"/>
          <w:b w:val="0"/>
          <w:i w:val="0"/>
          <w:color w:val="000000"/>
          <w:sz w:val="21"/>
        </w:rPr>
        <w:t>At final manuscript preparation (8 August 2026), the FDSN registry listed KOERI waveform, station, availability, and related EIDA services, but no compatible FDSN event-service endpoint. The main manuscript therefore reports the failed catalog acquisition explicitly and avoids imputing KOERI observations. Future sensitivity work should repeat the catalog analysis with an independently obtained KOERI or ISC bulletin.</w:t>
      </w:r>
    </w:p>
    <w:sectPr w:rsidR="00FC693F" w:rsidRPr="0006063C" w:rsidSect="00034616">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b w:val="0"/>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