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BAE4F" w14:textId="280FC4E8" w:rsidR="001874A9" w:rsidRDefault="007F6159">
      <w:pPr>
        <w:rPr>
          <w:rFonts w:ascii="Arial" w:hAnsi="Arial" w:cs="Arial"/>
          <w:sz w:val="36"/>
          <w:szCs w:val="36"/>
          <w:lang w:val="fr-FR"/>
        </w:rPr>
      </w:pPr>
      <w:proofErr w:type="spellStart"/>
      <w:r>
        <w:rPr>
          <w:rFonts w:ascii="Arial" w:hAnsi="Arial" w:cs="Arial"/>
          <w:sz w:val="36"/>
          <w:szCs w:val="36"/>
          <w:lang w:val="fr-FR"/>
        </w:rPr>
        <w:t>Supplementary</w:t>
      </w:r>
      <w:proofErr w:type="spellEnd"/>
      <w:r>
        <w:rPr>
          <w:rFonts w:ascii="Arial" w:hAnsi="Arial" w:cs="Arial"/>
          <w:sz w:val="36"/>
          <w:szCs w:val="36"/>
          <w:lang w:val="fr-FR"/>
        </w:rPr>
        <w:t xml:space="preserve"> Figures</w:t>
      </w:r>
    </w:p>
    <w:p w14:paraId="7B35D798" w14:textId="77777777" w:rsidR="00D418EC" w:rsidRDefault="00D418EC">
      <w:pPr>
        <w:rPr>
          <w:rFonts w:ascii="Arial" w:hAnsi="Arial" w:cs="Arial"/>
          <w:sz w:val="36"/>
          <w:szCs w:val="36"/>
          <w:lang w:val="fr-FR"/>
        </w:rPr>
      </w:pPr>
    </w:p>
    <w:p w14:paraId="0C4211BA" w14:textId="261E1413" w:rsidR="004E0FD2" w:rsidRDefault="00D418EC">
      <w:pPr>
        <w:rPr>
          <w:rFonts w:ascii="Arial" w:hAnsi="Arial" w:cs="Arial"/>
          <w:sz w:val="22"/>
          <w:lang w:val="fr-FR"/>
        </w:rPr>
      </w:pPr>
      <w:r>
        <w:rPr>
          <w:rFonts w:ascii="Arial" w:hAnsi="Arial" w:cs="Arial"/>
          <w:noProof/>
          <w:sz w:val="36"/>
          <w:szCs w:val="36"/>
          <w:lang w:val="fr-FR"/>
        </w:rPr>
        <w:drawing>
          <wp:inline distT="0" distB="0" distL="0" distR="0" wp14:anchorId="753085EA" wp14:editId="26D3919E">
            <wp:extent cx="4495800" cy="5403850"/>
            <wp:effectExtent l="0" t="0" r="0" b="6350"/>
            <wp:docPr id="6144074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540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573F5" w14:textId="564D0891" w:rsidR="004E0FD2" w:rsidRDefault="004E0FD2" w:rsidP="004E0FD2">
      <w:pPr>
        <w:spacing w:line="276" w:lineRule="auto"/>
        <w:rPr>
          <w:rFonts w:ascii="Arial" w:eastAsia="Arial" w:hAnsi="Arial" w:cs="Arial"/>
          <w:b/>
          <w:bCs/>
          <w:sz w:val="22"/>
        </w:rPr>
      </w:pPr>
      <w:r>
        <w:rPr>
          <w:rFonts w:ascii="Arial" w:eastAsia="Arial" w:hAnsi="Arial" w:cs="Arial"/>
          <w:b/>
          <w:bCs/>
          <w:sz w:val="22"/>
        </w:rPr>
        <w:t xml:space="preserve">Figure S1. Distribution of </w:t>
      </w:r>
      <w:proofErr w:type="spellStart"/>
      <w:r>
        <w:rPr>
          <w:rFonts w:ascii="Arial" w:eastAsia="Arial" w:hAnsi="Arial" w:cs="Arial"/>
          <w:b/>
          <w:bCs/>
          <w:sz w:val="22"/>
        </w:rPr>
        <w:t>intermanual</w:t>
      </w:r>
      <w:proofErr w:type="spellEnd"/>
      <w:r>
        <w:rPr>
          <w:rFonts w:ascii="Arial" w:eastAsia="Arial" w:hAnsi="Arial" w:cs="Arial"/>
          <w:b/>
          <w:bCs/>
          <w:sz w:val="22"/>
        </w:rPr>
        <w:t xml:space="preserve"> transfer rate.</w:t>
      </w:r>
      <w:r>
        <w:rPr>
          <w:rFonts w:ascii="Arial" w:eastAsia="Arial" w:hAnsi="Arial" w:cs="Arial"/>
          <w:b/>
          <w:bCs/>
          <w:sz w:val="22"/>
        </w:rPr>
        <w:t xml:space="preserve"> </w:t>
      </w:r>
    </w:p>
    <w:p w14:paraId="0FF5D5D4" w14:textId="461F39FE" w:rsidR="004E0FD2" w:rsidRPr="004E0FD2" w:rsidRDefault="004E0FD2" w:rsidP="004E0FD2">
      <w:pPr>
        <w:spacing w:line="276" w:lineRule="auto"/>
        <w:rPr>
          <w:rFonts w:ascii="Arial" w:eastAsia="Arial" w:hAnsi="Arial" w:cs="Arial"/>
          <w:b/>
          <w:bCs/>
          <w:sz w:val="22"/>
        </w:rPr>
      </w:pPr>
      <w:r>
        <w:rPr>
          <w:rFonts w:ascii="Arial" w:eastAsia="Arial" w:hAnsi="Arial" w:cs="Arial"/>
          <w:sz w:val="22"/>
        </w:rPr>
        <w:t xml:space="preserve">Violin plots illustrate the normalized transfer rate for the Left-to-Right (LR) and Right-to-Left (RL) groups. Individual participant data points are overlaid as semi-transparent black circles, highlighting the high degree of inter-subject variability within both groups. The black horizontal lines denote the mean transfer rate for each respective group. The dashed gray line at </w:t>
      </w:r>
      <w:r>
        <w:rPr>
          <w:rFonts w:ascii="Arial" w:eastAsia="Arial" w:hAnsi="Arial" w:cs="Arial"/>
          <w:i/>
          <w:iCs/>
          <w:sz w:val="22"/>
        </w:rPr>
        <w:t>y</w:t>
      </w:r>
      <w:r>
        <w:rPr>
          <w:rFonts w:ascii="Arial" w:eastAsia="Arial" w:hAnsi="Arial" w:cs="Arial"/>
          <w:sz w:val="22"/>
        </w:rPr>
        <w:t xml:space="preserve"> = 0 represents a theoretical baseline of zero transfer, where positive values indicate a facilitation of initial performance upon switching hands, and negative values indicate a relative performance decrement (</w:t>
      </w:r>
      <w:proofErr w:type="gramStart"/>
      <w:r>
        <w:rPr>
          <w:rFonts w:ascii="Arial" w:eastAsia="Arial" w:hAnsi="Arial" w:cs="Arial"/>
          <w:sz w:val="22"/>
        </w:rPr>
        <w:t>ns</w:t>
      </w:r>
      <w:proofErr w:type="gramEnd"/>
      <w:r>
        <w:rPr>
          <w:rFonts w:ascii="Arial" w:eastAsia="Arial" w:hAnsi="Arial" w:cs="Arial"/>
          <w:sz w:val="22"/>
        </w:rPr>
        <w:t xml:space="preserve"> = not significant; </w:t>
      </w:r>
      <w:r>
        <w:rPr>
          <w:rFonts w:ascii="Arial" w:eastAsia="Arial" w:hAnsi="Arial" w:cs="Arial"/>
          <w:i/>
          <w:iCs/>
          <w:sz w:val="22"/>
        </w:rPr>
        <w:t>p</w:t>
      </w:r>
      <w:r>
        <w:rPr>
          <w:rFonts w:ascii="Arial" w:eastAsia="Arial" w:hAnsi="Arial" w:cs="Arial"/>
          <w:sz w:val="22"/>
        </w:rPr>
        <w:t xml:space="preserve"> &gt; 0.05).</w:t>
      </w:r>
    </w:p>
    <w:p w14:paraId="4F99EC00" w14:textId="77777777" w:rsidR="004E0FD2" w:rsidRDefault="004E0FD2">
      <w:pPr>
        <w:rPr>
          <w:rFonts w:ascii="Arial" w:hAnsi="Arial" w:cs="Arial"/>
          <w:sz w:val="22"/>
        </w:rPr>
      </w:pPr>
    </w:p>
    <w:p w14:paraId="21AFDEBE" w14:textId="77777777" w:rsidR="00E90412" w:rsidRDefault="00E90412">
      <w:pPr>
        <w:rPr>
          <w:rFonts w:ascii="Arial" w:hAnsi="Arial" w:cs="Arial"/>
          <w:sz w:val="22"/>
        </w:rPr>
      </w:pPr>
    </w:p>
    <w:p w14:paraId="04332C2C" w14:textId="77777777" w:rsidR="00E90412" w:rsidRDefault="00E90412">
      <w:pPr>
        <w:rPr>
          <w:rFonts w:ascii="Arial" w:hAnsi="Arial" w:cs="Arial"/>
          <w:sz w:val="22"/>
        </w:rPr>
      </w:pPr>
    </w:p>
    <w:p w14:paraId="3653C6E2" w14:textId="36411CC9" w:rsidR="00E90412" w:rsidRDefault="00E90412">
      <w:pPr>
        <w:rPr>
          <w:rFonts w:ascii="Arial" w:hAnsi="Arial" w:cs="Arial"/>
          <w:sz w:val="22"/>
        </w:rPr>
      </w:pPr>
      <w:r>
        <w:rPr>
          <w:rFonts w:ascii="Arial" w:hAnsi="Arial" w:cs="Arial"/>
          <w:noProof/>
          <w:sz w:val="22"/>
        </w:rPr>
        <w:lastRenderedPageBreak/>
        <w:drawing>
          <wp:inline distT="0" distB="0" distL="0" distR="0" wp14:anchorId="42CA0FD5" wp14:editId="7AFA1160">
            <wp:extent cx="5721350" cy="4978400"/>
            <wp:effectExtent l="0" t="0" r="0" b="0"/>
            <wp:docPr id="108704749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0" cy="497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86CD3" w14:textId="77777777" w:rsidR="00593387" w:rsidRDefault="00593387" w:rsidP="00593387">
      <w:pPr>
        <w:tabs>
          <w:tab w:val="left" w:pos="3773"/>
        </w:tabs>
        <w:spacing w:line="276" w:lineRule="auto"/>
        <w:rPr>
          <w:rFonts w:ascii="Arial" w:eastAsia="Arial" w:hAnsi="Arial" w:cs="Arial"/>
          <w:b/>
          <w:bCs/>
          <w:sz w:val="22"/>
        </w:rPr>
      </w:pPr>
      <w:r>
        <w:rPr>
          <w:rFonts w:ascii="Arial" w:eastAsia="Arial" w:hAnsi="Arial" w:cs="Arial"/>
          <w:b/>
          <w:bCs/>
          <w:sz w:val="22"/>
        </w:rPr>
        <w:t>Figure S2. Group average resting-state functional connectivity within the sensorimotor network</w:t>
      </w:r>
    </w:p>
    <w:p w14:paraId="2F93B35E" w14:textId="77777777" w:rsidR="00593387" w:rsidRDefault="00593387" w:rsidP="00593387">
      <w:pPr>
        <w:tabs>
          <w:tab w:val="left" w:pos="3773"/>
        </w:tabs>
        <w:spacing w:line="276" w:lineRule="auto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The heatmap displays the mean functional connectivity between 15 pre-defined regions of interest (ROIs) across all participants. Individual subject correlation matrices were first Fisher </w:t>
      </w:r>
      <w:r>
        <w:rPr>
          <w:rFonts w:ascii="Arial" w:eastAsia="Arial" w:hAnsi="Arial" w:cs="Arial"/>
          <w:i/>
          <w:iCs/>
          <w:sz w:val="22"/>
        </w:rPr>
        <w:t>z</w:t>
      </w:r>
      <w:r>
        <w:rPr>
          <w:rFonts w:ascii="Arial" w:eastAsia="Arial" w:hAnsi="Arial" w:cs="Arial"/>
          <w:sz w:val="22"/>
        </w:rPr>
        <w:t>-transformed, averaged across the group, and subsequently back-transformed to Pearson correlation coefficients (</w:t>
      </w:r>
      <w:r>
        <w:rPr>
          <w:rFonts w:ascii="Arial" w:eastAsia="Arial" w:hAnsi="Arial" w:cs="Arial"/>
          <w:i/>
          <w:iCs/>
          <w:sz w:val="22"/>
        </w:rPr>
        <w:t>r</w:t>
      </w:r>
      <w:r>
        <w:rPr>
          <w:rFonts w:ascii="Arial" w:eastAsia="Arial" w:hAnsi="Arial" w:cs="Arial"/>
          <w:sz w:val="22"/>
        </w:rPr>
        <w:t xml:space="preserve">) for visualization. Numerical values within each cell represent the mean </w:t>
      </w:r>
      <w:proofErr w:type="spellStart"/>
      <w:r>
        <w:rPr>
          <w:rFonts w:ascii="Arial" w:eastAsia="Arial" w:hAnsi="Arial" w:cs="Arial"/>
          <w:i/>
          <w:iCs/>
          <w:sz w:val="22"/>
        </w:rPr>
        <w:t>r</w:t>
      </w:r>
      <w:r>
        <w:rPr>
          <w:rFonts w:ascii="Arial" w:eastAsia="Arial" w:hAnsi="Arial" w:cs="Arial"/>
          <w:sz w:val="22"/>
        </w:rPr>
        <w:t>-value</w:t>
      </w:r>
      <w:proofErr w:type="spellEnd"/>
      <w:r>
        <w:rPr>
          <w:rFonts w:ascii="Arial" w:eastAsia="Arial" w:hAnsi="Arial" w:cs="Arial"/>
          <w:sz w:val="22"/>
        </w:rPr>
        <w:t xml:space="preserve"> for that specific neural connection. The color gradient indicates the strength of the connectivity, with darker red colors representing stronger positive correlations. Abbreviations: L, Left; R, </w:t>
      </w:r>
      <w:proofErr w:type="gramStart"/>
      <w:r>
        <w:rPr>
          <w:rFonts w:ascii="Arial" w:eastAsia="Arial" w:hAnsi="Arial" w:cs="Arial"/>
          <w:sz w:val="22"/>
        </w:rPr>
        <w:t>Right</w:t>
      </w:r>
      <w:proofErr w:type="gramEnd"/>
      <w:r>
        <w:rPr>
          <w:rFonts w:ascii="Arial" w:eastAsia="Arial" w:hAnsi="Arial" w:cs="Arial"/>
          <w:sz w:val="22"/>
        </w:rPr>
        <w:t xml:space="preserve">; CB6, Cerebellar Lobule 6; CB8, Cerebellar Lobule 8; IPL, Inferior Parietal Lobule; IPS, Intraparietal Sulcus; </w:t>
      </w:r>
      <w:proofErr w:type="spellStart"/>
      <w:r>
        <w:rPr>
          <w:rFonts w:ascii="Arial" w:eastAsia="Arial" w:hAnsi="Arial" w:cs="Arial"/>
          <w:sz w:val="22"/>
        </w:rPr>
        <w:t>PMd</w:t>
      </w:r>
      <w:proofErr w:type="spellEnd"/>
      <w:r>
        <w:rPr>
          <w:rFonts w:ascii="Arial" w:eastAsia="Arial" w:hAnsi="Arial" w:cs="Arial"/>
          <w:sz w:val="22"/>
        </w:rPr>
        <w:t xml:space="preserve">, Dorsal Premotor Cortex; </w:t>
      </w:r>
      <w:proofErr w:type="spellStart"/>
      <w:r>
        <w:rPr>
          <w:rFonts w:ascii="Arial" w:eastAsia="Arial" w:hAnsi="Arial" w:cs="Arial"/>
          <w:sz w:val="22"/>
        </w:rPr>
        <w:t>PMv</w:t>
      </w:r>
      <w:proofErr w:type="spellEnd"/>
      <w:r>
        <w:rPr>
          <w:rFonts w:ascii="Arial" w:eastAsia="Arial" w:hAnsi="Arial" w:cs="Arial"/>
          <w:sz w:val="22"/>
        </w:rPr>
        <w:t xml:space="preserve">, Ventral Premotor Cortex; SMA, Supplementary Motor Area. </w:t>
      </w:r>
    </w:p>
    <w:p w14:paraId="4E59AEEC" w14:textId="77777777" w:rsidR="00593387" w:rsidRDefault="00593387">
      <w:pPr>
        <w:rPr>
          <w:rFonts w:ascii="Arial" w:hAnsi="Arial" w:cs="Arial"/>
          <w:sz w:val="22"/>
        </w:rPr>
      </w:pPr>
    </w:p>
    <w:p w14:paraId="4043A712" w14:textId="77777777" w:rsidR="00593387" w:rsidRDefault="00593387">
      <w:pPr>
        <w:rPr>
          <w:rFonts w:ascii="Arial" w:hAnsi="Arial" w:cs="Arial"/>
          <w:sz w:val="22"/>
        </w:rPr>
      </w:pPr>
    </w:p>
    <w:p w14:paraId="3E00E0C6" w14:textId="77777777" w:rsidR="00593387" w:rsidRDefault="00593387">
      <w:pPr>
        <w:rPr>
          <w:rFonts w:ascii="Arial" w:hAnsi="Arial" w:cs="Arial"/>
          <w:sz w:val="22"/>
        </w:rPr>
      </w:pPr>
    </w:p>
    <w:p w14:paraId="3D818734" w14:textId="77777777" w:rsidR="00593387" w:rsidRDefault="00593387">
      <w:pPr>
        <w:rPr>
          <w:rFonts w:ascii="Arial" w:hAnsi="Arial" w:cs="Arial"/>
          <w:sz w:val="22"/>
        </w:rPr>
      </w:pPr>
    </w:p>
    <w:p w14:paraId="271C2212" w14:textId="77777777" w:rsidR="00593387" w:rsidRDefault="00593387">
      <w:pPr>
        <w:rPr>
          <w:rFonts w:ascii="Arial" w:hAnsi="Arial" w:cs="Arial"/>
          <w:sz w:val="22"/>
        </w:rPr>
      </w:pPr>
    </w:p>
    <w:p w14:paraId="16246FA3" w14:textId="4F44AD58" w:rsidR="00593387" w:rsidRDefault="00593387">
      <w:pPr>
        <w:rPr>
          <w:rFonts w:ascii="Arial" w:hAnsi="Arial" w:cs="Arial"/>
          <w:sz w:val="22"/>
        </w:rPr>
      </w:pPr>
      <w:r>
        <w:rPr>
          <w:rFonts w:ascii="Arial" w:hAnsi="Arial" w:cs="Arial"/>
          <w:noProof/>
          <w:sz w:val="22"/>
        </w:rPr>
        <w:lastRenderedPageBreak/>
        <w:drawing>
          <wp:inline distT="0" distB="0" distL="0" distR="0" wp14:anchorId="2237B9DA" wp14:editId="18BAF8FD">
            <wp:extent cx="5721350" cy="5143500"/>
            <wp:effectExtent l="0" t="0" r="0" b="0"/>
            <wp:docPr id="656618318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545DDB" w14:textId="77777777" w:rsidR="00786659" w:rsidRDefault="00786659" w:rsidP="00786659">
      <w:pPr>
        <w:spacing w:line="276" w:lineRule="auto"/>
        <w:rPr>
          <w:rFonts w:ascii="Arial" w:eastAsia="Arial" w:hAnsi="Arial" w:cs="Arial"/>
          <w:b/>
          <w:bCs/>
          <w:sz w:val="22"/>
        </w:rPr>
      </w:pPr>
      <w:r>
        <w:rPr>
          <w:rFonts w:ascii="Arial" w:eastAsia="Arial" w:hAnsi="Arial" w:cs="Arial"/>
          <w:b/>
          <w:bCs/>
          <w:sz w:val="22"/>
        </w:rPr>
        <w:t xml:space="preserve">Figure S3. Brain-behavior correlation matrix for </w:t>
      </w:r>
      <w:proofErr w:type="spellStart"/>
      <w:r>
        <w:rPr>
          <w:rFonts w:ascii="Arial" w:eastAsia="Arial" w:hAnsi="Arial" w:cs="Arial"/>
          <w:b/>
          <w:bCs/>
          <w:sz w:val="22"/>
        </w:rPr>
        <w:t>intermanual</w:t>
      </w:r>
      <w:proofErr w:type="spellEnd"/>
      <w:r>
        <w:rPr>
          <w:rFonts w:ascii="Arial" w:eastAsia="Arial" w:hAnsi="Arial" w:cs="Arial"/>
          <w:b/>
          <w:bCs/>
          <w:sz w:val="22"/>
        </w:rPr>
        <w:t xml:space="preserve"> transfer. </w:t>
      </w:r>
    </w:p>
    <w:p w14:paraId="4CA180D6" w14:textId="77777777" w:rsidR="00786659" w:rsidRDefault="00786659" w:rsidP="00786659">
      <w:pPr>
        <w:tabs>
          <w:tab w:val="left" w:pos="3773"/>
        </w:tabs>
        <w:spacing w:line="276" w:lineRule="auto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>Brain-behavior relationship matrix displaying the correlation coefficients (</w:t>
      </w:r>
      <w:r>
        <w:rPr>
          <w:rFonts w:ascii="Arial" w:eastAsia="Arial" w:hAnsi="Arial" w:cs="Arial"/>
          <w:i/>
          <w:iCs/>
          <w:sz w:val="22"/>
        </w:rPr>
        <w:t>r</w:t>
      </w:r>
      <w:r>
        <w:rPr>
          <w:rFonts w:ascii="Arial" w:eastAsia="Arial" w:hAnsi="Arial" w:cs="Arial"/>
          <w:sz w:val="22"/>
        </w:rPr>
        <w:t xml:space="preserve">) between the intrinsic resting-state functional connectivity of 15 seed regions and the normalized </w:t>
      </w:r>
      <w:proofErr w:type="spellStart"/>
      <w:r>
        <w:rPr>
          <w:rFonts w:ascii="Arial" w:eastAsia="Arial" w:hAnsi="Arial" w:cs="Arial"/>
          <w:sz w:val="22"/>
        </w:rPr>
        <w:t>intermanual</w:t>
      </w:r>
      <w:proofErr w:type="spellEnd"/>
      <w:r>
        <w:rPr>
          <w:rFonts w:ascii="Arial" w:eastAsia="Arial" w:hAnsi="Arial" w:cs="Arial"/>
          <w:sz w:val="22"/>
        </w:rPr>
        <w:t xml:space="preserve"> transfer rate across participants. Color intensity reflects the strength and direction of the correlation, with dark red indicating a strong positive association between regional coupling and behavioral transfer to the untrained hand. Widespread significant correlations are observed within a targeted </w:t>
      </w:r>
      <w:proofErr w:type="spellStart"/>
      <w:proofErr w:type="gramStart"/>
      <w:r>
        <w:rPr>
          <w:rFonts w:ascii="Arial" w:eastAsia="Arial" w:hAnsi="Arial" w:cs="Arial"/>
          <w:sz w:val="22"/>
        </w:rPr>
        <w:t>fronto</w:t>
      </w:r>
      <w:proofErr w:type="spellEnd"/>
      <w:r>
        <w:rPr>
          <w:rFonts w:ascii="Arial" w:eastAsia="Arial" w:hAnsi="Arial" w:cs="Arial"/>
          <w:sz w:val="22"/>
        </w:rPr>
        <w:t>-</w:t>
      </w:r>
      <w:proofErr w:type="gramEnd"/>
      <w:r>
        <w:rPr>
          <w:rFonts w:ascii="Arial" w:eastAsia="Arial" w:hAnsi="Arial" w:cs="Arial"/>
          <w:sz w:val="22"/>
        </w:rPr>
        <w:t>parietal network, highlighting the Supplementary Motor Area (SMA), dorsal premotor cortex (</w:t>
      </w:r>
      <w:proofErr w:type="spellStart"/>
      <w:r>
        <w:rPr>
          <w:rFonts w:ascii="Arial" w:eastAsia="Arial" w:hAnsi="Arial" w:cs="Arial"/>
          <w:sz w:val="22"/>
        </w:rPr>
        <w:t>PMd</w:t>
      </w:r>
      <w:proofErr w:type="spellEnd"/>
      <w:r>
        <w:rPr>
          <w:rFonts w:ascii="Arial" w:eastAsia="Arial" w:hAnsi="Arial" w:cs="Arial"/>
          <w:sz w:val="22"/>
        </w:rPr>
        <w:t xml:space="preserve">), and the parietal cortex (IPS/IPL) as pre-learning indicators associated with </w:t>
      </w:r>
      <w:proofErr w:type="spellStart"/>
      <w:r>
        <w:rPr>
          <w:rFonts w:ascii="Arial" w:eastAsia="Arial" w:hAnsi="Arial" w:cs="Arial"/>
          <w:sz w:val="22"/>
        </w:rPr>
        <w:t>intermanual</w:t>
      </w:r>
      <w:proofErr w:type="spellEnd"/>
      <w:r>
        <w:rPr>
          <w:rFonts w:ascii="Arial" w:eastAsia="Arial" w:hAnsi="Arial" w:cs="Arial"/>
          <w:sz w:val="22"/>
        </w:rPr>
        <w:t xml:space="preserve"> transfer in de </w:t>
      </w:r>
      <w:r w:rsidRPr="007A431D">
        <w:rPr>
          <w:rFonts w:ascii="Arial" w:eastAsia="Arial" w:hAnsi="Arial" w:cs="Arial"/>
          <w:i/>
          <w:iCs/>
          <w:sz w:val="22"/>
        </w:rPr>
        <w:t>novo</w:t>
      </w:r>
      <w:r>
        <w:rPr>
          <w:rFonts w:ascii="Arial" w:eastAsia="Arial" w:hAnsi="Arial" w:cs="Arial"/>
          <w:sz w:val="22"/>
        </w:rPr>
        <w:t xml:space="preserve"> motor skill.</w:t>
      </w:r>
    </w:p>
    <w:p w14:paraId="68FA9C8B" w14:textId="77777777" w:rsidR="00786659" w:rsidRPr="004E0FD2" w:rsidRDefault="00786659">
      <w:pPr>
        <w:rPr>
          <w:rFonts w:ascii="Arial" w:hAnsi="Arial" w:cs="Arial"/>
          <w:sz w:val="22"/>
        </w:rPr>
      </w:pPr>
    </w:p>
    <w:sectPr w:rsidR="00786659" w:rsidRPr="004E0FD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hyphenationZone w:val="425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159"/>
    <w:rsid w:val="001874A9"/>
    <w:rsid w:val="004E0FD2"/>
    <w:rsid w:val="005702BE"/>
    <w:rsid w:val="00593387"/>
    <w:rsid w:val="005C11CC"/>
    <w:rsid w:val="00786659"/>
    <w:rsid w:val="007D1FA0"/>
    <w:rsid w:val="007F6159"/>
    <w:rsid w:val="00C97B3D"/>
    <w:rsid w:val="00CE3284"/>
    <w:rsid w:val="00D418EC"/>
    <w:rsid w:val="00E90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8193D"/>
  <w15:chartTrackingRefBased/>
  <w15:docId w15:val="{928EC934-F623-4E3B-AD7B-BEF45AE09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paragraph" w:styleId="Titre1">
    <w:name w:val="heading 1"/>
    <w:basedOn w:val="Normal"/>
    <w:next w:val="Normal"/>
    <w:link w:val="Titre1Car"/>
    <w:uiPriority w:val="9"/>
    <w:qFormat/>
    <w:rsid w:val="007F61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F61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F615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F61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F615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F61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F61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F61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F61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F615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F61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F615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F6159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F6159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F615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F615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F615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F615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F61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F61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F61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F61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F61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F615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F615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F6159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F615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F6159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7F615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367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 sampiero corso</dc:creator>
  <cp:keywords/>
  <dc:description/>
  <cp:lastModifiedBy>Antoine sampiero corso</cp:lastModifiedBy>
  <cp:revision>6</cp:revision>
  <dcterms:created xsi:type="dcterms:W3CDTF">2026-08-12T09:44:00Z</dcterms:created>
  <dcterms:modified xsi:type="dcterms:W3CDTF">2026-08-12T09:48:00Z</dcterms:modified>
</cp:coreProperties>
</file>