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1789B">
      <w:pPr>
        <w:spacing w:line="360" w:lineRule="auto"/>
        <w:jc w:val="center"/>
        <w:outlineLvl w:val="0"/>
        <w:rPr>
          <w:rFonts w:hint="eastAsia"/>
          <w:bCs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bookmarkStart w:id="0" w:name="_Toc13230"/>
      <w:bookmarkEnd w:id="0"/>
      <w:r>
        <w:rPr>
          <w:bCs/>
          <w:sz w:val="44"/>
          <w:szCs w:val="44"/>
        </w:rPr>
        <w:t>Supplementary material</w:t>
      </w:r>
      <w:r>
        <w:rPr>
          <w:rFonts w:hint="eastAsia"/>
          <w:bCs/>
          <w:sz w:val="44"/>
          <w:szCs w:val="44"/>
          <w:lang w:val="en-US" w:eastAsia="zh-CN"/>
        </w:rPr>
        <w:t>s</w:t>
      </w:r>
    </w:p>
    <w:p w14:paraId="6C8BFD5C">
      <w:pPr>
        <w:spacing w:before="156" w:beforeLines="50" w:after="156" w:afterLines="50"/>
        <w:jc w:val="center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Cs w:val="21"/>
        </w:rPr>
        <w:t xml:space="preserve"> Physical properties of the 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media</w:t>
      </w:r>
      <w:r>
        <w:rPr>
          <w:rFonts w:hint="default" w:ascii="Times New Roman" w:hAnsi="Times New Roman" w:cs="Times New Roman"/>
          <w:b/>
          <w:bCs/>
          <w:szCs w:val="21"/>
        </w:rPr>
        <w:t xml:space="preserve"> used in this study</w:t>
      </w:r>
    </w:p>
    <w:tbl>
      <w:tblPr>
        <w:tblStyle w:val="3"/>
        <w:tblW w:w="0" w:type="auto"/>
        <w:jc w:val="center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5"/>
        <w:gridCol w:w="1908"/>
        <w:gridCol w:w="1794"/>
      </w:tblGrid>
      <w:tr w14:paraId="3B9250E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bottom w:val="single" w:color="auto" w:sz="8" w:space="0"/>
            </w:tcBorders>
            <w:vAlign w:val="top"/>
          </w:tcPr>
          <w:p w14:paraId="0E1D37F3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  <w:vertAlign w:val="baseline"/>
              </w:rPr>
            </w:pPr>
          </w:p>
        </w:tc>
        <w:tc>
          <w:tcPr>
            <w:tcW w:w="1908" w:type="dxa"/>
            <w:tcBorders>
              <w:bottom w:val="single" w:color="auto" w:sz="8" w:space="0"/>
            </w:tcBorders>
            <w:vAlign w:val="top"/>
          </w:tcPr>
          <w:p w14:paraId="69BACC41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vertAlign w:val="baseline"/>
                <w:lang w:val="en-US" w:eastAsia="zh-CN"/>
              </w:rPr>
              <w:t>Soil</w:t>
            </w:r>
          </w:p>
        </w:tc>
        <w:tc>
          <w:tcPr>
            <w:tcW w:w="1794" w:type="dxa"/>
            <w:tcBorders>
              <w:bottom w:val="single" w:color="auto" w:sz="8" w:space="0"/>
            </w:tcBorders>
            <w:vAlign w:val="top"/>
          </w:tcPr>
          <w:p w14:paraId="7A049ED1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vertAlign w:val="baseline"/>
                <w:lang w:val="en-US" w:eastAsia="zh-CN"/>
              </w:rPr>
              <w:t>River sand</w:t>
            </w:r>
          </w:p>
        </w:tc>
      </w:tr>
      <w:tr w14:paraId="0EF82C69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44FDABDF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article size distribution (mm)</w:t>
            </w:r>
          </w:p>
        </w:tc>
        <w:tc>
          <w:tcPr>
            <w:tcW w:w="1908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09472BF8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0.002-0.05</w:t>
            </w:r>
          </w:p>
        </w:tc>
        <w:tc>
          <w:tcPr>
            <w:tcW w:w="1794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582E2F79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0.25-0.1</w:t>
            </w:r>
          </w:p>
        </w:tc>
      </w:tr>
      <w:tr w14:paraId="362F152C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3E11E6A2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ermeability coefficient (cm/s)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7DBCD532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.23×10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superscript"/>
                <w:lang w:val="en-US" w:eastAsia="zh-CN"/>
              </w:rPr>
              <w:t>-5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44C984D8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0.012</w:t>
            </w:r>
          </w:p>
        </w:tc>
      </w:tr>
      <w:tr w14:paraId="174B40A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33F69B22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ffective thermal conductivity（W/m/K）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681CCA9F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0.453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17EB21FB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0.389</w:t>
            </w:r>
          </w:p>
        </w:tc>
      </w:tr>
      <w:tr w14:paraId="48B55DEE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0817E69B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pecific heat capacity (MJ/m/K)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58965B57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1.256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271F8D92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0.932</w:t>
            </w:r>
          </w:p>
        </w:tc>
      </w:tr>
      <w:tr w14:paraId="2B1556A1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0A51B4F5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Organic matter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 xml:space="preserve"> (g/Kg)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508A28EB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2.4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4107AEF4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.2</w:t>
            </w:r>
          </w:p>
        </w:tc>
      </w:tr>
      <w:tr w14:paraId="4D47ED62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103C1017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Porosity(%)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21CCE6F9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35.7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321B48AE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43.21</w:t>
            </w:r>
          </w:p>
        </w:tc>
      </w:tr>
      <w:tr w14:paraId="330B90AC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2A3263E1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</w:rPr>
              <w:t>ulk density(g/cm</w:t>
            </w:r>
            <w:r>
              <w:rPr>
                <w:rFonts w:hint="default" w:ascii="Times New Roman" w:hAnsi="Times New Roman" w:cs="Times New Roman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</w:rPr>
              <w:t>)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1598631D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1.81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6CD90CEA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1.75</w:t>
            </w:r>
          </w:p>
        </w:tc>
      </w:tr>
      <w:tr w14:paraId="09A41E75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925" w:type="dxa"/>
            <w:tcBorders>
              <w:tl2br w:val="nil"/>
              <w:tr2bl w:val="nil"/>
            </w:tcBorders>
            <w:vAlign w:val="top"/>
          </w:tcPr>
          <w:p w14:paraId="553F9BB5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Conductivity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mS/m</w:t>
            </w:r>
            <w:r>
              <w:rPr>
                <w:rFonts w:hint="default" w:ascii="Times New Roman" w:hAnsi="Times New Roman" w:cs="Times New Roman"/>
                <w:szCs w:val="21"/>
              </w:rPr>
              <w:t>)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vAlign w:val="top"/>
          </w:tcPr>
          <w:p w14:paraId="4750954A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9.0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 w14:paraId="2E7D932B"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vertAlign w:val="baseline"/>
                <w:lang w:val="en-US" w:eastAsia="zh-CN"/>
              </w:rPr>
              <w:t>0.2</w:t>
            </w:r>
          </w:p>
        </w:tc>
      </w:tr>
    </w:tbl>
    <w:p w14:paraId="2E4A1F9A">
      <w:pPr>
        <w:spacing w:before="156" w:beforeLines="50" w:after="156" w:afterLines="50"/>
        <w:jc w:val="center"/>
        <w:rPr>
          <w:rFonts w:hint="default" w:ascii="Times New Roman" w:hAnsi="Times New Roman" w:eastAsia="楷体" w:cs="Times New Roman"/>
          <w:b/>
          <w:bCs/>
          <w:szCs w:val="21"/>
        </w:rPr>
      </w:pPr>
    </w:p>
    <w:p w14:paraId="541A12D6">
      <w:pPr>
        <w:spacing w:before="156" w:beforeLines="50" w:after="156" w:afterLines="50"/>
        <w:jc w:val="center"/>
        <w:rPr>
          <w:rFonts w:hint="default" w:ascii="Times New Roman" w:hAnsi="Times New Roman" w:eastAsia="楷体" w:cs="Times New Roman"/>
          <w:b/>
          <w:bCs/>
          <w:szCs w:val="21"/>
        </w:rPr>
      </w:pPr>
      <w:r>
        <w:rPr>
          <w:rFonts w:hint="default" w:ascii="Times New Roman" w:hAnsi="Times New Roman" w:eastAsia="楷体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楷体" w:cs="Times New Roman"/>
          <w:b/>
          <w:bCs/>
          <w:szCs w:val="21"/>
          <w:lang w:val="en-US" w:eastAsia="zh-CN"/>
        </w:rPr>
        <w:t>S</w:t>
      </w:r>
      <w:r>
        <w:rPr>
          <w:rFonts w:hint="eastAsia" w:eastAsia="楷体" w:cs="Times New Roman"/>
          <w:b/>
          <w:bCs/>
          <w:szCs w:val="21"/>
          <w:lang w:val="en-US" w:eastAsia="zh-CN"/>
        </w:rPr>
        <w:t>2</w:t>
      </w:r>
      <w:r>
        <w:rPr>
          <w:rFonts w:hint="default" w:ascii="Times New Roman" w:hAnsi="Times New Roman" w:eastAsia="楷体" w:cs="Times New Roman"/>
          <w:b/>
          <w:bCs/>
          <w:szCs w:val="21"/>
        </w:rPr>
        <w:t xml:space="preserve">  Components of soil samples</w:t>
      </w:r>
    </w:p>
    <w:tbl>
      <w:tblPr>
        <w:tblStyle w:val="3"/>
        <w:tblW w:w="0" w:type="auto"/>
        <w:jc w:val="center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8"/>
        <w:gridCol w:w="1728"/>
      </w:tblGrid>
      <w:tr w14:paraId="565F6AE1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bottom w:val="single" w:color="auto" w:sz="12" w:space="0"/>
            </w:tcBorders>
          </w:tcPr>
          <w:p w14:paraId="1A2B0B9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eastAsia="楷体" w:cs="Times New Roman"/>
                <w:b/>
                <w:bCs/>
                <w:szCs w:val="21"/>
              </w:rPr>
              <w:t xml:space="preserve">roperties </w:t>
            </w:r>
          </w:p>
        </w:tc>
        <w:tc>
          <w:tcPr>
            <w:tcW w:w="1728" w:type="dxa"/>
            <w:tcBorders>
              <w:bottom w:val="single" w:color="auto" w:sz="12" w:space="0"/>
            </w:tcBorders>
          </w:tcPr>
          <w:p w14:paraId="3273EDD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Values</w:t>
            </w:r>
          </w:p>
        </w:tc>
      </w:tr>
      <w:tr w14:paraId="3CDB8B3B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top w:val="single" w:color="auto" w:sz="12" w:space="0"/>
              <w:tl2br w:val="nil"/>
              <w:tr2bl w:val="nil"/>
            </w:tcBorders>
          </w:tcPr>
          <w:p w14:paraId="041D0C2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Sand (2-0.05mm )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(g/kg)</w:t>
            </w:r>
          </w:p>
        </w:tc>
        <w:tc>
          <w:tcPr>
            <w:tcW w:w="1728" w:type="dxa"/>
            <w:tcBorders>
              <w:top w:val="single" w:color="auto" w:sz="12" w:space="0"/>
              <w:tl2br w:val="nil"/>
              <w:tr2bl w:val="nil"/>
            </w:tcBorders>
          </w:tcPr>
          <w:p w14:paraId="2771DD4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324</w:t>
            </w:r>
          </w:p>
        </w:tc>
      </w:tr>
      <w:tr w14:paraId="546F1936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tl2br w:val="nil"/>
              <w:tr2bl w:val="nil"/>
            </w:tcBorders>
          </w:tcPr>
          <w:p w14:paraId="5FC33A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Silt (0.05-0.002mm)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(g/kg)</w:t>
            </w:r>
          </w:p>
        </w:tc>
        <w:tc>
          <w:tcPr>
            <w:tcW w:w="1728" w:type="dxa"/>
            <w:tcBorders>
              <w:tl2br w:val="nil"/>
              <w:tr2bl w:val="nil"/>
            </w:tcBorders>
          </w:tcPr>
          <w:p w14:paraId="4B1397F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665</w:t>
            </w:r>
          </w:p>
        </w:tc>
      </w:tr>
      <w:tr w14:paraId="525EBB8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tl2br w:val="nil"/>
              <w:tr2bl w:val="nil"/>
            </w:tcBorders>
          </w:tcPr>
          <w:p w14:paraId="796F5F6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Clay (0.002mm)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(g/kg)</w:t>
            </w:r>
          </w:p>
        </w:tc>
        <w:tc>
          <w:tcPr>
            <w:tcW w:w="1728" w:type="dxa"/>
            <w:tcBorders>
              <w:tl2br w:val="nil"/>
              <w:tr2bl w:val="nil"/>
            </w:tcBorders>
          </w:tcPr>
          <w:p w14:paraId="471DAC3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</w:t>
            </w:r>
          </w:p>
        </w:tc>
      </w:tr>
      <w:tr w14:paraId="38BDD113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tl2br w:val="nil"/>
              <w:tr2bl w:val="nil"/>
            </w:tcBorders>
          </w:tcPr>
          <w:p w14:paraId="0832CFD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Organic matter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g/kg</w:t>
            </w:r>
            <w:r>
              <w:rPr>
                <w:rFonts w:hint="default" w:ascii="Times New Roman" w:hAnsi="Times New Roman" w:cs="Times New Roman"/>
                <w:szCs w:val="21"/>
              </w:rPr>
              <w:t>)</w:t>
            </w:r>
          </w:p>
        </w:tc>
        <w:tc>
          <w:tcPr>
            <w:tcW w:w="1728" w:type="dxa"/>
            <w:tcBorders>
              <w:tl2br w:val="nil"/>
              <w:tr2bl w:val="nil"/>
            </w:tcBorders>
          </w:tcPr>
          <w:p w14:paraId="0BCBBC7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2.4</w:t>
            </w:r>
          </w:p>
        </w:tc>
      </w:tr>
      <w:tr w14:paraId="2579A95C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tl2br w:val="nil"/>
              <w:tr2bl w:val="nil"/>
            </w:tcBorders>
          </w:tcPr>
          <w:p w14:paraId="2AB631A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mg/kg</w:t>
            </w:r>
            <w:r>
              <w:rPr>
                <w:rFonts w:hint="default" w:ascii="Times New Roman" w:hAnsi="Times New Roman" w:cs="Times New Roman"/>
                <w:szCs w:val="21"/>
              </w:rPr>
              <w:t>)</w:t>
            </w:r>
          </w:p>
        </w:tc>
        <w:tc>
          <w:tcPr>
            <w:tcW w:w="1728" w:type="dxa"/>
            <w:tcBorders>
              <w:tl2br w:val="nil"/>
              <w:tr2bl w:val="nil"/>
            </w:tcBorders>
          </w:tcPr>
          <w:p w14:paraId="6BC1740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260</w:t>
            </w:r>
          </w:p>
        </w:tc>
      </w:tr>
      <w:tr w14:paraId="18B1B967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8" w:type="dxa"/>
            <w:tcBorders>
              <w:tl2br w:val="nil"/>
              <w:tr2bl w:val="nil"/>
            </w:tcBorders>
          </w:tcPr>
          <w:p w14:paraId="4C987C9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P (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mg/kg</w:t>
            </w:r>
            <w:r>
              <w:rPr>
                <w:rFonts w:hint="default" w:ascii="Times New Roman" w:hAnsi="Times New Roman" w:cs="Times New Roman"/>
                <w:szCs w:val="21"/>
              </w:rPr>
              <w:t>)</w:t>
            </w:r>
          </w:p>
        </w:tc>
        <w:tc>
          <w:tcPr>
            <w:tcW w:w="1728" w:type="dxa"/>
            <w:tcBorders>
              <w:tl2br w:val="nil"/>
              <w:tr2bl w:val="nil"/>
            </w:tcBorders>
          </w:tcPr>
          <w:p w14:paraId="30EBD76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582</w:t>
            </w:r>
          </w:p>
        </w:tc>
      </w:tr>
    </w:tbl>
    <w:p w14:paraId="06ADD8C1">
      <w:pPr>
        <w:spacing w:line="360" w:lineRule="auto"/>
        <w:jc w:val="both"/>
        <w:outlineLvl w:val="0"/>
        <w:rPr>
          <w:rFonts w:hint="eastAsia"/>
          <w:bCs/>
          <w:sz w:val="44"/>
          <w:szCs w:val="44"/>
          <w:lang w:val="en-US" w:eastAsia="zh-CN"/>
        </w:rPr>
      </w:pPr>
    </w:p>
    <w:p w14:paraId="2C0982EC">
      <w:pPr>
        <w:spacing w:line="360" w:lineRule="auto"/>
        <w:jc w:val="center"/>
        <w:outlineLvl w:val="0"/>
        <w:rPr>
          <w:rFonts w:hint="eastAsia"/>
          <w:bCs/>
          <w:sz w:val="44"/>
          <w:szCs w:val="44"/>
          <w:lang w:val="en-US" w:eastAsia="zh-CN"/>
        </w:rPr>
      </w:pPr>
      <w:r>
        <w:rPr>
          <w:rFonts w:hint="eastAsia"/>
          <w:bCs/>
          <w:sz w:val="44"/>
          <w:szCs w:val="44"/>
          <w:lang w:val="en-US" w:eastAsia="zh-CN"/>
        </w:rPr>
        <w:drawing>
          <wp:inline distT="0" distB="0" distL="114300" distR="114300">
            <wp:extent cx="3211830" cy="2753360"/>
            <wp:effectExtent l="0" t="0" r="1270" b="2540"/>
            <wp:docPr id="14" name="图片 14" descr="土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土箱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183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00ABB">
      <w:pPr>
        <w:spacing w:line="360" w:lineRule="auto"/>
        <w:jc w:val="center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Fig.S1 Physical drawing of soil box</w:t>
      </w:r>
    </w:p>
    <w:p w14:paraId="78AA567E">
      <w:pPr>
        <w:spacing w:line="360" w:lineRule="auto"/>
        <w:jc w:val="center"/>
        <w:outlineLvl w:val="0"/>
        <w:rPr>
          <w:rFonts w:hint="eastAsia"/>
          <w:lang w:val="en-US" w:eastAsia="zh-CN"/>
        </w:rPr>
      </w:pPr>
    </w:p>
    <w:p w14:paraId="2748865A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153660" cy="4467860"/>
            <wp:effectExtent l="0" t="0" r="2540" b="2540"/>
            <wp:docPr id="1" name="图片 1" descr="不同含水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不同含水率"/>
                    <pic:cNvPicPr>
                      <a:picLocks noChangeAspect="1"/>
                    </pic:cNvPicPr>
                  </pic:nvPicPr>
                  <pic:blipFill>
                    <a:blip r:embed="rId5"/>
                    <a:srcRect l="808" t="1255" r="22584" b="16497"/>
                    <a:stretch>
                      <a:fillRect/>
                    </a:stretch>
                  </pic:blipFill>
                  <pic:spPr>
                    <a:xfrm>
                      <a:off x="0" y="0"/>
                      <a:ext cx="5153660" cy="446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F0BB4">
      <w:pPr>
        <w:spacing w:line="360" w:lineRule="auto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Fig.S2 The temperature variations of T1-T12 in </w:t>
      </w:r>
      <w:r>
        <w:rPr>
          <w:rFonts w:hint="eastAsia" w:eastAsia="微软雅黑" w:cs="Times New Roman"/>
          <w:sz w:val="24"/>
          <w:szCs w:val="24"/>
          <w:lang w:val="en-US" w:eastAsia="zh-CN"/>
        </w:rPr>
        <w:t xml:space="preserve">media with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>heterogeneous</w:t>
      </w:r>
      <w:r>
        <w:rPr>
          <w:rFonts w:hint="eastAsia" w:eastAsia="微软雅黑" w:cs="Times New Roman"/>
          <w:sz w:val="24"/>
          <w:szCs w:val="24"/>
          <w:lang w:val="en-US" w:eastAsia="zh-CN"/>
        </w:rPr>
        <w:t xml:space="preserve"> moisture content </w:t>
      </w:r>
      <w:r>
        <w:rPr>
          <w:rFonts w:hint="eastAsia"/>
          <w:lang w:val="en-US" w:eastAsia="zh-CN"/>
        </w:rPr>
        <w:t xml:space="preserve">under (a) ERH treatment , (b) SEE treatment, and (c) ERH-SEE treatment </w:t>
      </w:r>
    </w:p>
    <w:p w14:paraId="4B1773E7">
      <w:pPr>
        <w:jc w:val="both"/>
        <w:rPr>
          <w:rFonts w:hint="default" w:eastAsiaTheme="minorEastAsia"/>
          <w:lang w:val="en-US" w:eastAsia="zh-CN"/>
        </w:rPr>
      </w:pPr>
    </w:p>
    <w:p w14:paraId="75CD2D50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159375" cy="4482465"/>
            <wp:effectExtent l="0" t="0" r="9525" b="635"/>
            <wp:docPr id="2" name="图片 2" descr="上砂下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上砂下土"/>
                    <pic:cNvPicPr>
                      <a:picLocks noChangeAspect="1"/>
                    </pic:cNvPicPr>
                  </pic:nvPicPr>
                  <pic:blipFill>
                    <a:blip r:embed="rId6"/>
                    <a:srcRect l="976" t="1533" r="6109" b="9183"/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44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3FA39">
      <w:pPr>
        <w:spacing w:line="360" w:lineRule="auto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Fig.S3 The temperature variations of T1-T12 in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 xml:space="preserve">stratified heterogeneous 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>medi</w:t>
      </w:r>
      <w:r>
        <w:rPr>
          <w:rFonts w:hint="eastAsia" w:eastAsia="微软雅黑" w:cs="Times New Roman"/>
          <w:sz w:val="24"/>
          <w:szCs w:val="24"/>
          <w:lang w:val="en-US" w:eastAsia="zh-CN"/>
        </w:rPr>
        <w:t xml:space="preserve">a </w:t>
      </w:r>
      <w:r>
        <w:rPr>
          <w:rFonts w:hint="eastAsia"/>
          <w:lang w:val="en-US" w:eastAsia="zh-CN"/>
        </w:rPr>
        <w:t xml:space="preserve">under (a) ERH treatment , (b) SEE treatment, and (c) ERH-SEE treatment </w:t>
      </w:r>
    </w:p>
    <w:p w14:paraId="3B48D8A7">
      <w:pPr>
        <w:jc w:val="center"/>
        <w:rPr>
          <w:rFonts w:hint="default" w:eastAsiaTheme="minorEastAsia"/>
          <w:lang w:val="en-US" w:eastAsia="zh-CN"/>
        </w:rPr>
      </w:pPr>
    </w:p>
    <w:p w14:paraId="5C58C419">
      <w:pPr>
        <w:jc w:val="both"/>
        <w:rPr>
          <w:rFonts w:hint="default" w:eastAsiaTheme="minorEastAsia"/>
          <w:lang w:val="en-US" w:eastAsia="zh-CN"/>
        </w:rPr>
      </w:pPr>
    </w:p>
    <w:p w14:paraId="6B30E3FB">
      <w:pPr>
        <w:jc w:val="center"/>
        <w:rPr>
          <w:rFonts w:hint="default" w:eastAsiaTheme="minorEastAsia"/>
          <w:lang w:val="en-US" w:eastAsia="zh-CN"/>
        </w:rPr>
      </w:pPr>
    </w:p>
    <w:p w14:paraId="2630743A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3525520" cy="1727200"/>
            <wp:effectExtent l="0" t="0" r="5080" b="0"/>
            <wp:docPr id="7" name="图片 7" descr="氯化钠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氯化钠示意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2552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5408">
      <w:pPr>
        <w:spacing w:before="156" w:beforeLines="50" w:after="156" w:afterLines="50" w:line="360" w:lineRule="auto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Fig.S4 </w:t>
      </w:r>
      <w:r>
        <w:rPr>
          <w:rFonts w:hint="eastAsia" w:cs="Times New Roman"/>
          <w:b w:val="0"/>
          <w:bCs w:val="0"/>
          <w:szCs w:val="21"/>
          <w:lang w:val="en-US" w:eastAsia="zh-CN"/>
        </w:rPr>
        <w:t>D</w:t>
      </w:r>
      <w:r>
        <w:rPr>
          <w:rFonts w:hint="default" w:ascii="Times New Roman" w:hAnsi="Times New Roman" w:cs="Times New Roman"/>
          <w:b w:val="0"/>
          <w:bCs w:val="0"/>
          <w:szCs w:val="21"/>
        </w:rPr>
        <w:t xml:space="preserve">iagram of </w:t>
      </w:r>
      <w:r>
        <w:rPr>
          <w:rFonts w:hint="eastAsia" w:cs="Times New Roman"/>
          <w:b w:val="0"/>
          <w:bCs w:val="0"/>
          <w:szCs w:val="21"/>
          <w:lang w:val="en-US" w:eastAsia="zh-CN"/>
        </w:rPr>
        <w:t>river</w:t>
      </w:r>
      <w:r>
        <w:rPr>
          <w:rFonts w:hint="default" w:ascii="Times New Roman" w:hAnsi="Times New Roman" w:cs="Times New Roman"/>
          <w:b w:val="0"/>
          <w:bCs w:val="0"/>
          <w:szCs w:val="21"/>
        </w:rPr>
        <w:t xml:space="preserve"> sand layer with different salt content. The water content of </w:t>
      </w:r>
      <w:r>
        <w:rPr>
          <w:rFonts w:hint="eastAsia" w:cs="Times New Roman"/>
          <w:b w:val="0"/>
          <w:bCs w:val="0"/>
          <w:szCs w:val="21"/>
          <w:lang w:val="en-US" w:eastAsia="zh-CN"/>
        </w:rPr>
        <w:t>river</w:t>
      </w:r>
      <w:r>
        <w:rPr>
          <w:rFonts w:hint="default" w:ascii="Times New Roman" w:hAnsi="Times New Roman" w:cs="Times New Roman"/>
          <w:b w:val="0"/>
          <w:bCs w:val="0"/>
          <w:szCs w:val="21"/>
        </w:rPr>
        <w:t xml:space="preserve"> sand was 20%. The NaCl concentration in the upper 10 cm fine sand water was 0, and the NaCl concentration in the lower 5 cm fine sand water was 0.2%, and 0.5%, respectively.</w:t>
      </w:r>
    </w:p>
    <w:p w14:paraId="44D5F76D">
      <w:pPr>
        <w:jc w:val="center"/>
        <w:rPr>
          <w:rFonts w:hint="default" w:eastAsiaTheme="minorEastAsia"/>
          <w:lang w:val="en-US" w:eastAsia="zh-CN"/>
        </w:rPr>
      </w:pPr>
    </w:p>
    <w:p w14:paraId="1992C4AB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065395" cy="2750820"/>
            <wp:effectExtent l="0" t="0" r="1905" b="0"/>
            <wp:docPr id="5" name="图片 5" descr="氯化钠0.2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氯化钠0.2%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B6DA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Fig.S5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 xml:space="preserve">Two dimensional spatial variations of temperature in 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river sand with 0.2% NaCl under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ERH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treatment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 w14:paraId="78A81423">
      <w:pPr>
        <w:jc w:val="center"/>
        <w:rPr>
          <w:rFonts w:hint="default" w:eastAsiaTheme="minorEastAsia"/>
          <w:lang w:val="en-US" w:eastAsia="zh-CN"/>
        </w:rPr>
      </w:pPr>
    </w:p>
    <w:p w14:paraId="2554E81E">
      <w:pPr>
        <w:jc w:val="center"/>
        <w:rPr>
          <w:rFonts w:hint="default" w:eastAsiaTheme="minorEastAsia"/>
          <w:lang w:val="en-US" w:eastAsia="zh-CN"/>
        </w:rPr>
      </w:pPr>
    </w:p>
    <w:p w14:paraId="26CF8EE1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84980" cy="2348230"/>
            <wp:effectExtent l="0" t="0" r="0" b="0"/>
            <wp:docPr id="6" name="图片 6" descr="氯化钠0.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氯化钠0.5%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23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55E4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Fig.S6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 xml:space="preserve">Two dimensional spatial variations of temperature in 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river sand with 0.5% NaCl under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ERH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treatment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 w14:paraId="14A9B531">
      <w:pPr>
        <w:jc w:val="center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3MjM4ZTllNGU0YmVkMzZkNWM4YzYxYjkxNGRkYzQifQ=="/>
  </w:docVars>
  <w:rsids>
    <w:rsidRoot w:val="11BE0600"/>
    <w:rsid w:val="01593390"/>
    <w:rsid w:val="0C5B7317"/>
    <w:rsid w:val="11B51AB5"/>
    <w:rsid w:val="11BE0600"/>
    <w:rsid w:val="1F51312D"/>
    <w:rsid w:val="21F824ED"/>
    <w:rsid w:val="230E7CB2"/>
    <w:rsid w:val="2C611263"/>
    <w:rsid w:val="2DD26A93"/>
    <w:rsid w:val="411D6D85"/>
    <w:rsid w:val="4B8244EA"/>
    <w:rsid w:val="59C03FE8"/>
    <w:rsid w:val="610E0A3A"/>
    <w:rsid w:val="621D1EC6"/>
    <w:rsid w:val="6CBB3508"/>
    <w:rsid w:val="7930064F"/>
    <w:rsid w:val="7DDE2B9C"/>
    <w:rsid w:val="7F9D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</Words>
  <Characters>917</Characters>
  <Lines>0</Lines>
  <Paragraphs>0</Paragraphs>
  <TotalTime>17</TotalTime>
  <ScaleCrop>false</ScaleCrop>
  <LinksUpToDate>false</LinksUpToDate>
  <CharactersWithSpaces>1073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2023-09-02T06:45:00Z</dcterms:created>
  <dc:creator>岳瑞</dc:creator>
  <cp:lastModifiedBy>岳瑞</cp:lastModifiedBy>
  <dcterms:modified xsi:type="dcterms:W3CDTF">2026-06-26T03:12:27Z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369D4EF4C6FC4444BD3F77AC8F924854_11</vt:lpwstr>
  </property>
  <property fmtid="{D5CDD505-2E9C-101B-9397-08002B2CF9AE}" pid="4" name="KSOTemplateDocerSaveRecord">
    <vt:lpwstr>eyJoZGlkIjoiNzI5ODAzMThjYWE1ZGU3MDYzY2JkYjU4MTVlMWJkNmYiLCJ1c2VySWQiOiIyMzQ4MzA4NzgifQ==</vt:lpwstr>
  </property>
</Properties>
</file>