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3C0BB" w14:textId="77777777" w:rsidR="00EE24EE" w:rsidRPr="009F781D" w:rsidRDefault="00EE24EE" w:rsidP="00EE24EE">
      <w:pPr>
        <w:spacing w:line="276" w:lineRule="auto"/>
        <w:jc w:val="center"/>
        <w:rPr>
          <w:noProof/>
          <w:color w:val="000000" w:themeColor="text1"/>
        </w:rPr>
      </w:pPr>
      <w:r w:rsidRPr="009F781D">
        <w:rPr>
          <w:rFonts w:hint="eastAsia"/>
          <w:noProof/>
          <w:color w:val="000000" w:themeColor="text1"/>
        </w:rPr>
        <w:t>Supporting</w:t>
      </w:r>
      <w:r w:rsidRPr="009F781D">
        <w:rPr>
          <w:noProof/>
          <w:color w:val="000000" w:themeColor="text1"/>
        </w:rPr>
        <w:t xml:space="preserve"> Information for</w:t>
      </w:r>
    </w:p>
    <w:p w14:paraId="00E57644" w14:textId="77777777" w:rsidR="00EE24EE" w:rsidRPr="009F781D" w:rsidRDefault="00EE24EE" w:rsidP="00EE24EE">
      <w:pPr>
        <w:spacing w:line="276" w:lineRule="auto"/>
        <w:jc w:val="center"/>
        <w:rPr>
          <w:noProof/>
          <w:color w:val="000000" w:themeColor="text1"/>
        </w:rPr>
      </w:pPr>
    </w:p>
    <w:p w14:paraId="7DF6C83F" w14:textId="77777777" w:rsidR="00EE24EE" w:rsidRPr="009F781D" w:rsidRDefault="00EE24EE" w:rsidP="00EE24EE">
      <w:pPr>
        <w:spacing w:line="276" w:lineRule="auto"/>
        <w:jc w:val="center"/>
        <w:rPr>
          <w:noProof/>
          <w:color w:val="000000" w:themeColor="text1"/>
        </w:rPr>
      </w:pPr>
    </w:p>
    <w:p w14:paraId="7F6D05E8" w14:textId="77777777" w:rsidR="00EE24EE" w:rsidRPr="009F781D" w:rsidRDefault="00EE24EE" w:rsidP="00EE24EE">
      <w:pPr>
        <w:spacing w:line="276" w:lineRule="auto"/>
        <w:jc w:val="center"/>
        <w:rPr>
          <w:noProof/>
          <w:color w:val="000000" w:themeColor="text1"/>
        </w:rPr>
      </w:pPr>
    </w:p>
    <w:p w14:paraId="148885C0" w14:textId="77777777" w:rsidR="00EE24EE" w:rsidRPr="006723A0" w:rsidRDefault="00EE24EE" w:rsidP="00EE24EE">
      <w:pPr>
        <w:spacing w:line="276" w:lineRule="auto"/>
        <w:jc w:val="center"/>
        <w:rPr>
          <w:b/>
          <w:bCs/>
        </w:rPr>
      </w:pPr>
      <w:r w:rsidRPr="005C5920">
        <w:rPr>
          <w:b/>
          <w:bCs/>
        </w:rPr>
        <w:t xml:space="preserve">From the Stratosphere to the Surface: </w:t>
      </w:r>
    </w:p>
    <w:p w14:paraId="547FE2F3" w14:textId="77777777" w:rsidR="00EE24EE" w:rsidRPr="006723A0" w:rsidRDefault="00EE24EE" w:rsidP="00EE24EE">
      <w:pPr>
        <w:spacing w:line="276" w:lineRule="auto"/>
        <w:jc w:val="center"/>
        <w:rPr>
          <w:b/>
          <w:bCs/>
        </w:rPr>
      </w:pPr>
      <w:r w:rsidRPr="005C5920">
        <w:rPr>
          <w:b/>
          <w:bCs/>
        </w:rPr>
        <w:t>The Case of the April 2025 Wind Extremes in Eastern Asia</w:t>
      </w:r>
    </w:p>
    <w:p w14:paraId="49327A10" w14:textId="77777777" w:rsidR="00EE24EE" w:rsidRDefault="00EE24EE" w:rsidP="00EE24EE">
      <w:pPr>
        <w:pStyle w:val="Body"/>
        <w:spacing w:line="276" w:lineRule="auto"/>
        <w:rPr>
          <w:rFonts w:ascii="Times New Roman" w:eastAsiaTheme="minorEastAsia" w:hAnsi="Times New Roman"/>
          <w:b/>
          <w:sz w:val="24"/>
        </w:rPr>
      </w:pPr>
    </w:p>
    <w:p w14:paraId="54A142F4" w14:textId="77777777" w:rsidR="00852FFE" w:rsidRPr="008909AA" w:rsidRDefault="00852FFE" w:rsidP="00852FFE">
      <w:pPr>
        <w:pStyle w:val="Authors"/>
        <w:spacing w:before="120" w:after="120" w:line="276" w:lineRule="auto"/>
        <w:ind w:firstLine="0"/>
        <w:rPr>
          <w:color w:val="000000" w:themeColor="text1"/>
          <w:lang w:eastAsia="zh-CN"/>
        </w:rPr>
      </w:pPr>
      <w:r w:rsidRPr="008909AA">
        <w:rPr>
          <w:color w:val="000000" w:themeColor="text1"/>
        </w:rPr>
        <w:t>Yueyue Yu</w:t>
      </w:r>
      <w:r w:rsidRPr="008909AA">
        <w:rPr>
          <w:color w:val="000000" w:themeColor="text1"/>
          <w:vertAlign w:val="superscript"/>
        </w:rPr>
        <w:t xml:space="preserve"> 1</w:t>
      </w:r>
      <w:r w:rsidRPr="008909AA">
        <w:rPr>
          <w:rFonts w:hint="eastAsia"/>
          <w:color w:val="000000" w:themeColor="text1"/>
          <w:vertAlign w:val="superscript"/>
          <w:lang w:eastAsia="zh-CN"/>
        </w:rPr>
        <w:t>*</w:t>
      </w:r>
      <w:r w:rsidRPr="008909AA">
        <w:rPr>
          <w:color w:val="000000" w:themeColor="text1"/>
        </w:rPr>
        <w:t>, Min Jiao</w:t>
      </w:r>
      <w:r w:rsidRPr="008909AA">
        <w:rPr>
          <w:color w:val="000000" w:themeColor="text1"/>
          <w:vertAlign w:val="superscript"/>
        </w:rPr>
        <w:t xml:space="preserve"> 2</w:t>
      </w:r>
      <w:r w:rsidRPr="008909AA">
        <w:rPr>
          <w:color w:val="000000" w:themeColor="text1"/>
        </w:rPr>
        <w:t xml:space="preserve">, </w:t>
      </w:r>
      <w:r w:rsidRPr="008909AA">
        <w:rPr>
          <w:rFonts w:hint="eastAsia"/>
          <w:color w:val="000000" w:themeColor="text1"/>
          <w:lang w:eastAsia="zh-CN"/>
        </w:rPr>
        <w:t>Haishan</w:t>
      </w:r>
      <w:r w:rsidRPr="008909AA">
        <w:rPr>
          <w:color w:val="000000" w:themeColor="text1"/>
          <w:lang w:eastAsia="zh-CN"/>
        </w:rPr>
        <w:t xml:space="preserve"> Chen </w:t>
      </w:r>
      <w:r w:rsidRPr="008909AA">
        <w:rPr>
          <w:color w:val="000000" w:themeColor="text1"/>
          <w:vertAlign w:val="superscript"/>
        </w:rPr>
        <w:t>3</w:t>
      </w:r>
      <w:r w:rsidRPr="008909AA">
        <w:rPr>
          <w:color w:val="000000" w:themeColor="text1"/>
          <w:lang w:eastAsia="zh-CN"/>
        </w:rPr>
        <w:t xml:space="preserve">, </w:t>
      </w:r>
      <w:r w:rsidRPr="008909AA">
        <w:rPr>
          <w:color w:val="000000" w:themeColor="text1"/>
        </w:rPr>
        <w:t xml:space="preserve">Zhicong Yin </w:t>
      </w:r>
      <w:r w:rsidRPr="008909AA">
        <w:rPr>
          <w:color w:val="000000" w:themeColor="text1"/>
          <w:vertAlign w:val="superscript"/>
        </w:rPr>
        <w:t>3</w:t>
      </w:r>
      <w:r w:rsidRPr="008909AA">
        <w:rPr>
          <w:color w:val="000000" w:themeColor="text1"/>
        </w:rPr>
        <w:t>,</w:t>
      </w:r>
    </w:p>
    <w:p w14:paraId="4992745D" w14:textId="5610B5B9" w:rsidR="00852FFE" w:rsidRPr="008909AA" w:rsidRDefault="00852FFE" w:rsidP="00852FFE">
      <w:pPr>
        <w:pStyle w:val="Authors"/>
        <w:spacing w:before="120" w:after="120" w:line="276" w:lineRule="auto"/>
        <w:ind w:firstLine="0"/>
        <w:rPr>
          <w:rFonts w:hint="eastAsia"/>
          <w:color w:val="000000" w:themeColor="text1"/>
          <w:lang w:eastAsia="zh-CN"/>
        </w:rPr>
      </w:pPr>
      <w:r w:rsidRPr="008909AA">
        <w:rPr>
          <w:rFonts w:hint="eastAsia"/>
          <w:color w:val="000000" w:themeColor="text1"/>
          <w:lang w:eastAsia="zh-CN"/>
        </w:rPr>
        <w:t>Yang</w:t>
      </w:r>
      <w:r w:rsidRPr="008909AA">
        <w:rPr>
          <w:color w:val="000000" w:themeColor="text1"/>
          <w:lang w:eastAsia="zh-CN"/>
        </w:rPr>
        <w:t xml:space="preserve"> Liu</w:t>
      </w:r>
      <w:r w:rsidRPr="008909AA">
        <w:rPr>
          <w:color w:val="000000" w:themeColor="text1"/>
          <w:vertAlign w:val="superscript"/>
        </w:rPr>
        <w:t>1</w:t>
      </w:r>
      <w:r w:rsidRPr="008909AA">
        <w:rPr>
          <w:color w:val="000000" w:themeColor="text1"/>
        </w:rPr>
        <w:t>, Bowen Liu</w:t>
      </w:r>
      <w:r w:rsidRPr="008909AA">
        <w:rPr>
          <w:color w:val="000000" w:themeColor="text1"/>
          <w:vertAlign w:val="superscript"/>
        </w:rPr>
        <w:t xml:space="preserve"> </w:t>
      </w:r>
      <w:r w:rsidR="009B0206">
        <w:rPr>
          <w:rFonts w:hint="eastAsia"/>
          <w:color w:val="000000" w:themeColor="text1"/>
          <w:vertAlign w:val="superscript"/>
          <w:lang w:eastAsia="zh-CN"/>
        </w:rPr>
        <w:t>4</w:t>
      </w:r>
      <w:r w:rsidRPr="008909AA">
        <w:rPr>
          <w:color w:val="000000" w:themeColor="text1"/>
        </w:rPr>
        <w:t xml:space="preserve">, </w:t>
      </w:r>
      <w:r w:rsidRPr="008909AA">
        <w:rPr>
          <w:rFonts w:hint="eastAsia"/>
          <w:color w:val="000000" w:themeColor="text1"/>
        </w:rPr>
        <w:t>Ke</w:t>
      </w:r>
      <w:r w:rsidRPr="008909AA">
        <w:rPr>
          <w:color w:val="000000" w:themeColor="text1"/>
        </w:rPr>
        <w:t xml:space="preserve"> Wei</w:t>
      </w:r>
      <w:r w:rsidRPr="008909AA">
        <w:rPr>
          <w:color w:val="000000" w:themeColor="text1"/>
          <w:vertAlign w:val="superscript"/>
        </w:rPr>
        <w:t xml:space="preserve"> </w:t>
      </w:r>
      <w:r w:rsidR="009B0206">
        <w:rPr>
          <w:rFonts w:hint="eastAsia"/>
          <w:color w:val="000000" w:themeColor="text1"/>
          <w:vertAlign w:val="superscript"/>
          <w:lang w:eastAsia="zh-CN"/>
        </w:rPr>
        <w:t>4</w:t>
      </w:r>
    </w:p>
    <w:p w14:paraId="1286F8F1" w14:textId="77777777" w:rsidR="00852FFE" w:rsidRPr="008909AA" w:rsidRDefault="00852FFE" w:rsidP="00852FFE">
      <w:pPr>
        <w:pStyle w:val="Affiliations"/>
        <w:spacing w:after="120" w:line="276" w:lineRule="auto"/>
        <w:rPr>
          <w:color w:val="000000" w:themeColor="text1"/>
        </w:rPr>
      </w:pPr>
      <w:r w:rsidRPr="008909AA">
        <w:rPr>
          <w:i w:val="0"/>
          <w:iCs/>
          <w:color w:val="000000" w:themeColor="text1"/>
          <w:vertAlign w:val="superscript"/>
        </w:rPr>
        <w:t>1</w:t>
      </w:r>
      <w:r w:rsidRPr="008909AA">
        <w:rPr>
          <w:i w:val="0"/>
          <w:iCs/>
          <w:color w:val="000000" w:themeColor="text1"/>
        </w:rPr>
        <w:t xml:space="preserve"> </w:t>
      </w:r>
      <w:r w:rsidRPr="008909AA">
        <w:t>State Key Laboratory of Environment Characteristics and Effects for Near-space</w:t>
      </w:r>
      <w:r w:rsidRPr="008909AA">
        <w:rPr>
          <w:rFonts w:hint="eastAsia"/>
          <w:lang w:eastAsia="zh-CN"/>
        </w:rPr>
        <w:t>,</w:t>
      </w:r>
      <w:r w:rsidRPr="008909AA">
        <w:rPr>
          <w:lang w:eastAsia="zh-CN"/>
        </w:rPr>
        <w:t xml:space="preserve"> </w:t>
      </w:r>
      <w:r w:rsidRPr="008909AA">
        <w:t>Ministry of Education/Collaborative Innovation Center on Forecast and Evaluation of Meteorological Disasters/</w:t>
      </w:r>
      <w:r w:rsidRPr="008909AA">
        <w:rPr>
          <w:color w:val="000000" w:themeColor="text1"/>
        </w:rPr>
        <w:t xml:space="preserve"> </w:t>
      </w:r>
      <w:r w:rsidRPr="008909AA">
        <w:t>Nanjing University of Information Science and Technology, Nanjing 210044</w:t>
      </w:r>
      <w:r w:rsidRPr="008909AA">
        <w:rPr>
          <w:color w:val="000000" w:themeColor="text1"/>
        </w:rPr>
        <w:t>, China</w:t>
      </w:r>
    </w:p>
    <w:p w14:paraId="5F08F144" w14:textId="77777777" w:rsidR="00852FFE" w:rsidRPr="008909AA" w:rsidRDefault="00852FFE" w:rsidP="00852FFE">
      <w:pPr>
        <w:pStyle w:val="Affiliations"/>
        <w:spacing w:after="120" w:line="276" w:lineRule="auto"/>
        <w:rPr>
          <w:color w:val="000000" w:themeColor="text1"/>
        </w:rPr>
      </w:pPr>
      <w:r w:rsidRPr="008909AA">
        <w:rPr>
          <w:i w:val="0"/>
          <w:iCs/>
          <w:color w:val="000000" w:themeColor="text1"/>
          <w:vertAlign w:val="superscript"/>
        </w:rPr>
        <w:t>2</w:t>
      </w:r>
      <w:r w:rsidRPr="008909AA">
        <w:rPr>
          <w:color w:val="000000" w:themeColor="text1"/>
          <w:vertAlign w:val="superscript"/>
        </w:rPr>
        <w:t xml:space="preserve"> </w:t>
      </w:r>
      <w:r w:rsidRPr="008909AA">
        <w:rPr>
          <w:color w:val="000000" w:themeColor="text1"/>
        </w:rPr>
        <w:t>Shenyang Institute of Atmospheric Environment, China Meteorological Administration, Shenyang 110166, China</w:t>
      </w:r>
    </w:p>
    <w:p w14:paraId="751CB4FC" w14:textId="77777777" w:rsidR="00852FFE" w:rsidRPr="008909AA" w:rsidRDefault="00852FFE" w:rsidP="00852FFE">
      <w:pPr>
        <w:pStyle w:val="Affiliations"/>
        <w:spacing w:after="120" w:line="276" w:lineRule="auto"/>
        <w:rPr>
          <w:color w:val="000000" w:themeColor="text1"/>
        </w:rPr>
      </w:pPr>
      <w:r w:rsidRPr="008909AA">
        <w:rPr>
          <w:color w:val="000000" w:themeColor="text1"/>
          <w:vertAlign w:val="superscript"/>
        </w:rPr>
        <w:t>3</w:t>
      </w:r>
      <w:r w:rsidRPr="008909AA">
        <w:rPr>
          <w:color w:val="000000" w:themeColor="text1"/>
        </w:rPr>
        <w:t xml:space="preserve"> State Key Laboratory of Climate System Prediction and Risk Management, </w:t>
      </w:r>
      <w:r w:rsidRPr="008909AA">
        <w:t>Ministry of Education/Collaborative Innovation Center on Forecast and Evaluation of Meteorological Disasters, Nanjing University of Information Science and Technology, Nanjing 210044</w:t>
      </w:r>
      <w:r w:rsidRPr="008909AA">
        <w:rPr>
          <w:color w:val="000000" w:themeColor="text1"/>
        </w:rPr>
        <w:t>, China</w:t>
      </w:r>
    </w:p>
    <w:p w14:paraId="76F6B71D" w14:textId="5C6FEFEB" w:rsidR="00852FFE" w:rsidRPr="008909AA" w:rsidRDefault="009B0206" w:rsidP="00852FFE">
      <w:pPr>
        <w:pStyle w:val="Affiliations"/>
        <w:spacing w:after="120" w:line="276" w:lineRule="auto"/>
        <w:rPr>
          <w:color w:val="000000" w:themeColor="text1"/>
        </w:rPr>
      </w:pPr>
      <w:r>
        <w:rPr>
          <w:rFonts w:hint="eastAsia"/>
          <w:i w:val="0"/>
          <w:iCs/>
          <w:color w:val="000000" w:themeColor="text1"/>
          <w:vertAlign w:val="superscript"/>
          <w:lang w:eastAsia="zh-CN"/>
        </w:rPr>
        <w:t>4</w:t>
      </w:r>
      <w:r w:rsidR="00852FFE" w:rsidRPr="008909AA">
        <w:rPr>
          <w:i w:val="0"/>
          <w:iCs/>
          <w:color w:val="000000" w:themeColor="text1"/>
          <w:vertAlign w:val="superscript"/>
        </w:rPr>
        <w:t xml:space="preserve"> </w:t>
      </w:r>
      <w:r w:rsidR="00852FFE" w:rsidRPr="008909AA">
        <w:rPr>
          <w:color w:val="000000" w:themeColor="text1"/>
        </w:rPr>
        <w:t>Institute of Atmospheric Physics, Chinese Academy of Sciences, Beijing</w:t>
      </w:r>
      <w:r w:rsidR="00852FFE" w:rsidRPr="008909AA">
        <w:rPr>
          <w:rFonts w:hint="eastAsia"/>
          <w:color w:val="000000" w:themeColor="text1"/>
          <w:lang w:eastAsia="zh-CN"/>
        </w:rPr>
        <w:t xml:space="preserve"> 100029</w:t>
      </w:r>
      <w:r w:rsidR="00852FFE" w:rsidRPr="008909AA">
        <w:rPr>
          <w:color w:val="000000" w:themeColor="text1"/>
        </w:rPr>
        <w:t>, China</w:t>
      </w:r>
    </w:p>
    <w:p w14:paraId="568AEF40" w14:textId="77777777" w:rsidR="00EE24EE" w:rsidRPr="00A20D8E" w:rsidRDefault="00EE24EE" w:rsidP="00EE24EE">
      <w:pPr>
        <w:pStyle w:val="Affiliations"/>
        <w:spacing w:after="120" w:line="276" w:lineRule="auto"/>
        <w:rPr>
          <w:i w:val="0"/>
          <w:iCs/>
          <w:color w:val="000000" w:themeColor="text1"/>
          <w:vertAlign w:val="superscript"/>
        </w:rPr>
      </w:pPr>
    </w:p>
    <w:p w14:paraId="2B09498F" w14:textId="77777777" w:rsidR="00EE24EE" w:rsidRDefault="00EE24EE" w:rsidP="00EE24EE">
      <w:pPr>
        <w:spacing w:line="276" w:lineRule="auto"/>
      </w:pPr>
    </w:p>
    <w:p w14:paraId="1E57CE97" w14:textId="77777777" w:rsidR="00EE24EE" w:rsidRDefault="00EE24EE" w:rsidP="00EE24EE">
      <w:pPr>
        <w:spacing w:line="276" w:lineRule="auto"/>
      </w:pPr>
    </w:p>
    <w:p w14:paraId="299D2FF4" w14:textId="77777777" w:rsidR="00EE24EE" w:rsidRDefault="00EE24EE" w:rsidP="00EE24EE">
      <w:pPr>
        <w:spacing w:line="276" w:lineRule="auto"/>
      </w:pPr>
    </w:p>
    <w:p w14:paraId="0E4566DB" w14:textId="77777777" w:rsidR="00EE24EE" w:rsidRDefault="00EE24EE" w:rsidP="00EE24EE">
      <w:pPr>
        <w:spacing w:line="276" w:lineRule="auto"/>
      </w:pPr>
    </w:p>
    <w:p w14:paraId="1787906A" w14:textId="77777777" w:rsidR="00EE24EE" w:rsidRDefault="00EE24EE" w:rsidP="00EE24EE">
      <w:pPr>
        <w:spacing w:line="276" w:lineRule="auto"/>
      </w:pPr>
    </w:p>
    <w:p w14:paraId="46BBF678" w14:textId="77777777" w:rsidR="00EE24EE" w:rsidRDefault="00EE24EE" w:rsidP="00EE24EE">
      <w:pPr>
        <w:spacing w:line="276" w:lineRule="auto"/>
      </w:pPr>
    </w:p>
    <w:p w14:paraId="33EB29C5" w14:textId="77777777" w:rsidR="00EE24EE" w:rsidRDefault="00EE24EE" w:rsidP="00EE24EE">
      <w:pPr>
        <w:spacing w:line="276" w:lineRule="auto"/>
      </w:pPr>
    </w:p>
    <w:p w14:paraId="5FAE2BAD" w14:textId="77777777" w:rsidR="00EE24EE" w:rsidRDefault="00EE24EE" w:rsidP="00EE24EE">
      <w:pPr>
        <w:spacing w:line="276" w:lineRule="auto"/>
        <w:jc w:val="center"/>
        <w:rPr>
          <w:rStyle w:val="a5"/>
        </w:rPr>
      </w:pPr>
      <w:r>
        <w:rPr>
          <w:i/>
          <w:iCs/>
          <w:color w:val="000000" w:themeColor="text1"/>
        </w:rPr>
        <w:t>Corresponding author</w:t>
      </w:r>
      <w:r>
        <w:rPr>
          <w:color w:val="000000" w:themeColor="text1"/>
        </w:rPr>
        <w:t xml:space="preserve">: Yueyue Yu, </w:t>
      </w:r>
      <w:hyperlink r:id="rId4" w:history="1">
        <w:r>
          <w:rPr>
            <w:rStyle w:val="a5"/>
          </w:rPr>
          <w:t>yuyy@nuist.edu.cn</w:t>
        </w:r>
      </w:hyperlink>
    </w:p>
    <w:p w14:paraId="37CE8622" w14:textId="77777777" w:rsidR="00EE24EE" w:rsidRDefault="00EE24EE" w:rsidP="00EE24EE">
      <w:pPr>
        <w:spacing w:line="276" w:lineRule="auto"/>
        <w:jc w:val="center"/>
        <w:rPr>
          <w:rStyle w:val="a5"/>
        </w:rPr>
      </w:pPr>
    </w:p>
    <w:p w14:paraId="08FC8A9D" w14:textId="77777777" w:rsidR="00EE24EE" w:rsidRDefault="00EE24EE" w:rsidP="00EE24EE">
      <w:pPr>
        <w:spacing w:line="276" w:lineRule="auto"/>
        <w:rPr>
          <w:b/>
          <w:color w:val="000000" w:themeColor="text1"/>
        </w:rPr>
      </w:pPr>
    </w:p>
    <w:p w14:paraId="5B5E6EB8" w14:textId="77777777" w:rsidR="00EE24EE" w:rsidRDefault="00EE24EE" w:rsidP="00EE24EE">
      <w:pPr>
        <w:spacing w:line="276" w:lineRule="auto"/>
        <w:rPr>
          <w:b/>
          <w:color w:val="000000" w:themeColor="text1"/>
        </w:rPr>
      </w:pPr>
    </w:p>
    <w:p w14:paraId="50CA5FD6" w14:textId="77777777" w:rsidR="00EE24EE" w:rsidRDefault="00EE24EE" w:rsidP="00EE24EE">
      <w:pPr>
        <w:spacing w:line="276" w:lineRule="auto"/>
        <w:rPr>
          <w:b/>
          <w:color w:val="000000" w:themeColor="text1"/>
        </w:rPr>
      </w:pPr>
    </w:p>
    <w:p w14:paraId="7ECB6A28" w14:textId="77777777" w:rsidR="00EE24EE" w:rsidRDefault="00EE24EE" w:rsidP="00EE24EE">
      <w:pPr>
        <w:spacing w:line="276" w:lineRule="auto"/>
        <w:rPr>
          <w:b/>
          <w:color w:val="000000" w:themeColor="text1"/>
        </w:rPr>
      </w:pPr>
    </w:p>
    <w:p w14:paraId="5CB4836E" w14:textId="77777777" w:rsidR="00EE24EE" w:rsidRDefault="00EE24EE" w:rsidP="00EE24EE">
      <w:pPr>
        <w:spacing w:line="276" w:lineRule="auto"/>
        <w:rPr>
          <w:b/>
          <w:color w:val="000000" w:themeColor="text1"/>
        </w:rPr>
      </w:pPr>
    </w:p>
    <w:p w14:paraId="1422F964" w14:textId="77777777" w:rsidR="00EE24EE" w:rsidRPr="009F781D" w:rsidRDefault="00EE24EE" w:rsidP="00EE24EE">
      <w:pPr>
        <w:spacing w:line="276" w:lineRule="auto"/>
        <w:rPr>
          <w:b/>
          <w:color w:val="000000" w:themeColor="text1"/>
        </w:rPr>
      </w:pPr>
      <w:r w:rsidRPr="009F781D">
        <w:rPr>
          <w:b/>
          <w:color w:val="000000" w:themeColor="text1"/>
        </w:rPr>
        <w:t xml:space="preserve">Contents of this file </w:t>
      </w:r>
    </w:p>
    <w:p w14:paraId="1CC6306C" w14:textId="77777777" w:rsidR="00EE24EE" w:rsidRPr="009F781D" w:rsidRDefault="00EE24EE" w:rsidP="00EE24EE">
      <w:pPr>
        <w:spacing w:line="276" w:lineRule="auto"/>
        <w:ind w:firstLine="420"/>
        <w:rPr>
          <w:color w:val="000000" w:themeColor="text1"/>
        </w:rPr>
      </w:pPr>
      <w:r w:rsidRPr="009F781D">
        <w:rPr>
          <w:rFonts w:hint="eastAsia"/>
          <w:color w:val="000000" w:themeColor="text1"/>
        </w:rPr>
        <w:t>Section</w:t>
      </w:r>
      <w:r w:rsidRPr="009F781D">
        <w:rPr>
          <w:color w:val="000000" w:themeColor="text1"/>
        </w:rPr>
        <w:t xml:space="preserve"> S1 to S</w:t>
      </w:r>
      <w:r w:rsidRPr="009F781D">
        <w:rPr>
          <w:rFonts w:hint="eastAsia"/>
          <w:color w:val="000000" w:themeColor="text1"/>
        </w:rPr>
        <w:t>3</w:t>
      </w:r>
    </w:p>
    <w:p w14:paraId="7A3C5076" w14:textId="77777777" w:rsidR="00EE24EE" w:rsidRPr="009F781D" w:rsidRDefault="00EE24EE" w:rsidP="00EE24EE">
      <w:pPr>
        <w:spacing w:line="276" w:lineRule="auto"/>
        <w:ind w:firstLine="420"/>
        <w:rPr>
          <w:b/>
          <w:color w:val="000000" w:themeColor="text1"/>
        </w:rPr>
      </w:pPr>
      <w:r w:rsidRPr="009F781D">
        <w:rPr>
          <w:color w:val="000000" w:themeColor="text1"/>
        </w:rPr>
        <w:t xml:space="preserve">Figure </w:t>
      </w:r>
      <w:r w:rsidRPr="009F781D">
        <w:rPr>
          <w:color w:val="000000" w:themeColor="text1"/>
          <w:lang w:eastAsia="ko-KR"/>
        </w:rPr>
        <w:t xml:space="preserve">S1 </w:t>
      </w:r>
      <w:r w:rsidRPr="009F781D">
        <w:rPr>
          <w:color w:val="000000" w:themeColor="text1"/>
        </w:rPr>
        <w:t>to S</w:t>
      </w:r>
      <w:r>
        <w:rPr>
          <w:color w:val="000000" w:themeColor="text1"/>
        </w:rPr>
        <w:t>3</w:t>
      </w:r>
    </w:p>
    <w:p w14:paraId="76E7A5AA" w14:textId="77777777" w:rsidR="00EE24EE" w:rsidRDefault="00EE24EE" w:rsidP="00EE24EE">
      <w:pPr>
        <w:spacing w:line="276" w:lineRule="auto"/>
        <w:jc w:val="center"/>
        <w:rPr>
          <w:color w:val="000000" w:themeColor="text1"/>
          <w:lang w:eastAsia="ko-KR"/>
        </w:rPr>
      </w:pPr>
    </w:p>
    <w:p w14:paraId="2FCB730E" w14:textId="77777777" w:rsidR="00A26DD2" w:rsidRDefault="00A26DD2" w:rsidP="00EE24EE">
      <w:pPr>
        <w:spacing w:before="156" w:after="200" w:line="276" w:lineRule="auto"/>
      </w:pPr>
    </w:p>
    <w:p w14:paraId="2BC4B216" w14:textId="77777777" w:rsidR="00EE24EE" w:rsidRDefault="00EE24EE" w:rsidP="00EE24EE">
      <w:pPr>
        <w:spacing w:before="156" w:after="200" w:line="276" w:lineRule="auto"/>
      </w:pPr>
    </w:p>
    <w:p w14:paraId="33F0C232" w14:textId="77777777" w:rsidR="00EE24EE" w:rsidRPr="00EE24EE" w:rsidRDefault="00EE24EE" w:rsidP="00EE24EE">
      <w:pPr>
        <w:spacing w:before="156" w:after="200" w:line="276" w:lineRule="auto"/>
        <w:rPr>
          <w:b/>
          <w:bCs/>
        </w:rPr>
      </w:pPr>
      <w:r w:rsidRPr="00EE24EE">
        <w:rPr>
          <w:b/>
          <w:bCs/>
        </w:rPr>
        <w:t xml:space="preserve">S1 </w:t>
      </w:r>
      <w:r w:rsidRPr="00EE24EE">
        <w:rPr>
          <w:rFonts w:eastAsia="宋体"/>
          <w:b/>
          <w:bCs/>
        </w:rPr>
        <w:t>Consistency between in-situ station observations and ERA5 reanalysis for extreme gust speed</w:t>
      </w:r>
    </w:p>
    <w:p w14:paraId="3656C797" w14:textId="77777777" w:rsidR="00A26DD2" w:rsidRDefault="00A26DD2" w:rsidP="00EE24EE">
      <w:pPr>
        <w:spacing w:before="156" w:after="200" w:line="276" w:lineRule="auto"/>
        <w:jc w:val="center"/>
      </w:pPr>
      <w:r>
        <w:rPr>
          <w:noProof/>
        </w:rPr>
        <w:lastRenderedPageBreak/>
        <w:drawing>
          <wp:inline distT="0" distB="0" distL="0" distR="0" wp14:anchorId="65DDD7D6" wp14:editId="0AAE1D70">
            <wp:extent cx="4587240" cy="763823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5"/>
                    <a:stretch>
                      <a:fillRect/>
                    </a:stretch>
                  </pic:blipFill>
                  <pic:spPr>
                    <a:xfrm>
                      <a:off x="0" y="0"/>
                      <a:ext cx="4601496" cy="7661974"/>
                    </a:xfrm>
                    <a:prstGeom prst="rect">
                      <a:avLst/>
                    </a:prstGeom>
                  </pic:spPr>
                </pic:pic>
              </a:graphicData>
            </a:graphic>
          </wp:inline>
        </w:drawing>
      </w:r>
    </w:p>
    <w:p w14:paraId="3A33B403" w14:textId="77777777" w:rsidR="00A26DD2" w:rsidRDefault="00A26DD2" w:rsidP="00EE24EE">
      <w:pPr>
        <w:pStyle w:val="Body"/>
        <w:spacing w:before="156" w:after="200" w:line="276" w:lineRule="auto"/>
        <w:rPr>
          <w:rFonts w:ascii="Times New Roman" w:eastAsia="Times New Roman" w:hAnsi="Times New Roman" w:cs="Times New Roman"/>
          <w:b/>
          <w:sz w:val="24"/>
        </w:rPr>
      </w:pPr>
      <w:r>
        <w:rPr>
          <w:rFonts w:ascii="Times New Roman" w:eastAsia="Times New Roman" w:hAnsi="Times New Roman" w:cs="Times New Roman"/>
          <w:b/>
          <w:bCs/>
          <w:sz w:val="24"/>
        </w:rPr>
        <w:t>Figure S1 |</w:t>
      </w:r>
      <w:r>
        <w:rPr>
          <w:rFonts w:ascii="Times New Roman" w:eastAsia="Times New Roman" w:hAnsi="Times New Roman" w:cs="Times New Roman"/>
          <w:sz w:val="24"/>
        </w:rPr>
        <w:t xml:space="preserve"> </w:t>
      </w:r>
      <w:r w:rsidR="00EE24EE" w:rsidRPr="00EE24EE">
        <w:rPr>
          <w:rFonts w:ascii="Times New Roman" w:eastAsia="Times New Roman" w:hAnsi="Times New Roman" w:cs="Times New Roman" w:hint="eastAsia"/>
          <w:b/>
          <w:bCs/>
          <w:sz w:val="24"/>
        </w:rPr>
        <w:t>Maps</w:t>
      </w:r>
      <w:r w:rsidR="00EE24EE" w:rsidRPr="00EE24EE">
        <w:rPr>
          <w:rFonts w:ascii="Times New Roman" w:eastAsia="Times New Roman" w:hAnsi="Times New Roman" w:cs="Times New Roman"/>
          <w:b/>
          <w:bCs/>
          <w:sz w:val="24"/>
        </w:rPr>
        <w:t xml:space="preserve"> of</w:t>
      </w:r>
      <w:r w:rsidR="00EE24EE">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(a–e) </w:t>
      </w:r>
      <w:r w:rsidR="00EE24EE">
        <w:rPr>
          <w:rFonts w:ascii="Times New Roman" w:eastAsia="Times New Roman" w:hAnsi="Times New Roman" w:cs="Times New Roman"/>
          <w:b/>
          <w:sz w:val="24"/>
        </w:rPr>
        <w:t xml:space="preserve">extreme gust speed from </w:t>
      </w:r>
      <w:r>
        <w:rPr>
          <w:rFonts w:ascii="Times New Roman" w:eastAsia="Times New Roman" w:hAnsi="Times New Roman" w:cs="Times New Roman"/>
          <w:b/>
          <w:sz w:val="24"/>
        </w:rPr>
        <w:t xml:space="preserve">station observations interpolated into 0.25° × 0.25° grids (matching ERA5 resolution) and (f–j) the </w:t>
      </w:r>
      <w:r w:rsidR="00EE24EE">
        <w:rPr>
          <w:rFonts w:ascii="Times New Roman" w:eastAsia="Times New Roman" w:hAnsi="Times New Roman" w:cs="Times New Roman"/>
          <w:b/>
          <w:sz w:val="24"/>
        </w:rPr>
        <w:t>extreme gust speed</w:t>
      </w:r>
      <w:r>
        <w:rPr>
          <w:rFonts w:ascii="Times New Roman" w:eastAsia="Times New Roman" w:hAnsi="Times New Roman" w:cs="Times New Roman"/>
          <w:b/>
          <w:sz w:val="24"/>
        </w:rPr>
        <w:t xml:space="preserve"> derived from hourly ERA5 Reanalysis gridded data</w:t>
      </w:r>
      <w:r w:rsidR="00EE24EE">
        <w:rPr>
          <w:rFonts w:ascii="Times New Roman" w:eastAsia="Times New Roman" w:hAnsi="Times New Roman" w:cs="Times New Roman"/>
          <w:b/>
          <w:sz w:val="24"/>
        </w:rPr>
        <w:t xml:space="preserve"> according to the scheme described in sect. 4.2.1</w:t>
      </w:r>
      <w:r>
        <w:rPr>
          <w:rFonts w:ascii="Times New Roman" w:eastAsia="Times New Roman" w:hAnsi="Times New Roman" w:cs="Times New Roman"/>
          <w:b/>
          <w:sz w:val="24"/>
        </w:rPr>
        <w:t xml:space="preserve">. The </w:t>
      </w:r>
      <w:r w:rsidR="00EE24EE">
        <w:rPr>
          <w:rFonts w:ascii="Times New Roman" w:eastAsia="Times New Roman" w:hAnsi="Times New Roman" w:cs="Times New Roman"/>
          <w:b/>
          <w:sz w:val="24"/>
        </w:rPr>
        <w:t>scheme</w:t>
      </w:r>
      <w:r>
        <w:rPr>
          <w:rFonts w:ascii="Times New Roman" w:eastAsia="Times New Roman" w:hAnsi="Times New Roman" w:cs="Times New Roman"/>
          <w:b/>
          <w:sz w:val="24"/>
        </w:rPr>
        <w:t xml:space="preserve"> is </w:t>
      </w:r>
      <w:r w:rsidR="00EE24EE">
        <w:rPr>
          <w:rFonts w:ascii="Times New Roman" w:eastAsia="Times New Roman" w:hAnsi="Times New Roman" w:cs="Times New Roman"/>
          <w:b/>
          <w:sz w:val="24"/>
        </w:rPr>
        <w:t xml:space="preserve">mainly </w:t>
      </w:r>
      <w:r>
        <w:rPr>
          <w:rFonts w:ascii="Times New Roman" w:eastAsia="Times New Roman" w:hAnsi="Times New Roman" w:cs="Times New Roman"/>
          <w:b/>
          <w:sz w:val="24"/>
        </w:rPr>
        <w:t xml:space="preserve">made by the </w:t>
      </w:r>
      <w:r w:rsidR="00EE24EE" w:rsidRPr="00EE24EE">
        <w:rPr>
          <w:rFonts w:ascii="Times New Roman" w:eastAsia="Times New Roman" w:hAnsi="Times New Roman" w:cs="Times New Roman"/>
          <w:b/>
          <w:sz w:val="24"/>
        </w:rPr>
        <w:t xml:space="preserve">daily dynamic gust factor </w:t>
      </w:r>
      <w:r w:rsidR="00EE24EE">
        <w:rPr>
          <w:rFonts w:ascii="Times New Roman" w:eastAsia="Times New Roman" w:hAnsi="Times New Roman" w:cs="Times New Roman"/>
          <w:b/>
          <w:sz w:val="24"/>
        </w:rPr>
        <w:t xml:space="preserve">derived as the </w:t>
      </w:r>
      <w:r>
        <w:rPr>
          <w:rFonts w:ascii="Times New Roman" w:eastAsia="Times New Roman" w:hAnsi="Times New Roman" w:cs="Times New Roman"/>
          <w:b/>
          <w:sz w:val="24"/>
        </w:rPr>
        <w:t xml:space="preserve">amplification ratio (ERA5/observation) of wind speeds averaged over domain (35°–45°N, </w:t>
      </w:r>
      <w:r>
        <w:rPr>
          <w:rFonts w:ascii="Times New Roman" w:eastAsia="Times New Roman" w:hAnsi="Times New Roman" w:cs="Times New Roman"/>
          <w:b/>
          <w:sz w:val="24"/>
        </w:rPr>
        <w:lastRenderedPageBreak/>
        <w:t>100°–120°E), which encompasses the primary region of observed extreme wind gusts, as displayed in each panel’s upper right corner.</w:t>
      </w:r>
    </w:p>
    <w:p w14:paraId="6C8DADDB" w14:textId="77777777" w:rsidR="00EE24EE" w:rsidRDefault="00EE24EE" w:rsidP="00EE24EE">
      <w:pPr>
        <w:spacing w:before="156" w:after="200" w:line="276" w:lineRule="auto"/>
        <w:jc w:val="both"/>
      </w:pPr>
      <w:r w:rsidRPr="00EE24EE">
        <w:t>Extreme gust speed is not archived in the ERA5 reanalysis; therefore, a conversion based on station observations is required (details are provided in Section 4.2.1). Briefly, we select the daily maximum of the hourly 10‑m total wind speed from ERA5 and then apply a daily dynamic gust factor. This factor is derived as the ratio between the observed gust and the daily maximum 10‑m wind speed in ERA5, averaged over the strong‑wind domain during the April 2025 EWS event (35°–45°N, 100°–120°E). Results show that ERA5 systematically underestimates the observed extreme gust wind speeds: the average ratio of station‑observed wind speeds to their ERA5 counterparts across the core region of the event is approximately 2:1. Consequently, the observed gust intensity can only be recovered from ERA5 after applying this scaling factor – the dynamic gust factor.</w:t>
      </w:r>
    </w:p>
    <w:p w14:paraId="12539170" w14:textId="77777777" w:rsidR="00EE24EE" w:rsidRDefault="00EE24EE" w:rsidP="00EE24EE">
      <w:pPr>
        <w:spacing w:before="156" w:after="200" w:line="276" w:lineRule="auto"/>
        <w:jc w:val="both"/>
        <w:rPr>
          <w:color w:val="000000"/>
          <w:kern w:val="2"/>
          <w:szCs w:val="21"/>
          <w:u w:color="000000"/>
        </w:rPr>
      </w:pPr>
      <w:r w:rsidRPr="00EE24EE">
        <w:rPr>
          <w:color w:val="000000"/>
          <w:kern w:val="2"/>
          <w:szCs w:val="21"/>
          <w:u w:color="000000"/>
        </w:rPr>
        <w:t>A comparison between the daily extreme gust speed at 10 m from in‑situ station observations and that derived from hourly 10‑m wind speed fields in the ERA5 reanalysis demonstrates strong agreement in their spatiotemporal evolution (cf. Fig. S1a–e and Fig. 2f–j). This consistency indicates that ERA5 faithfully captures the spatiotemporal evolution of the EWS event, implying that it is highly likely to also capture the development of the key circulation systems that drove the event. This supports the utility of ERA5 for the dynamical diagnosis that follows. Note that the reduced magnitude on the left side of Fig. S1 compared to Fig. 1 arises because the denser station network (with potentially multiple stations within a single 0.25° grid cell) leads to smoothing after interpolation.</w:t>
      </w:r>
    </w:p>
    <w:p w14:paraId="2AFF384D" w14:textId="77777777" w:rsidR="00EE24EE" w:rsidRDefault="00EE24EE" w:rsidP="00EE24EE">
      <w:pPr>
        <w:pStyle w:val="Body"/>
        <w:spacing w:before="156" w:after="200" w:line="276" w:lineRule="auto"/>
        <w:rPr>
          <w:rFonts w:ascii="Times New Roman" w:eastAsia="Times New Roman" w:hAnsi="Times New Roman" w:cs="Times New Roman"/>
          <w:b/>
          <w:sz w:val="24"/>
        </w:rPr>
      </w:pPr>
    </w:p>
    <w:p w14:paraId="1C1FA7CF" w14:textId="5CEC4AD5" w:rsidR="00A26DD2" w:rsidRDefault="00EE24EE" w:rsidP="00EE24EE">
      <w:pPr>
        <w:pStyle w:val="Body"/>
        <w:spacing w:before="156" w:after="20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S2 </w:t>
      </w:r>
      <w:r w:rsidRPr="00EE24EE">
        <w:rPr>
          <w:rFonts w:ascii="Times New Roman" w:eastAsia="Times New Roman" w:hAnsi="Times New Roman" w:cs="Times New Roman"/>
          <w:b/>
          <w:sz w:val="24"/>
        </w:rPr>
        <w:t>Evolution of polar vortex characteristics before and during the EWS event</w:t>
      </w:r>
    </w:p>
    <w:p w14:paraId="0EE6EC15" w14:textId="77777777" w:rsidR="00852FFE" w:rsidRDefault="00EE24EE" w:rsidP="00852FFE">
      <w:pPr>
        <w:pStyle w:val="Body"/>
        <w:spacing w:before="156" w:after="200" w:line="276" w:lineRule="auto"/>
        <w:rPr>
          <w:rFonts w:ascii="Times New Roman" w:eastAsia="Times New Roman" w:hAnsi="Times New Roman" w:cs="Times New Roman"/>
          <w:bCs/>
          <w:sz w:val="24"/>
        </w:rPr>
      </w:pPr>
      <w:r>
        <w:rPr>
          <w:rFonts w:ascii="Times New Roman" w:eastAsia="Times New Roman" w:hAnsi="Times New Roman" w:cs="Times New Roman"/>
          <w:bCs/>
          <w:sz w:val="24"/>
        </w:rPr>
        <w:t>Displayed in Fig. S2</w:t>
      </w:r>
      <w:r w:rsidRPr="00EE24EE">
        <w:rPr>
          <w:rFonts w:ascii="Times New Roman" w:eastAsia="Times New Roman" w:hAnsi="Times New Roman" w:cs="Times New Roman"/>
          <w:bCs/>
          <w:sz w:val="24"/>
        </w:rPr>
        <w:t xml:space="preserve"> </w:t>
      </w:r>
      <w:r>
        <w:rPr>
          <w:rFonts w:ascii="Times New Roman" w:eastAsia="Times New Roman" w:hAnsi="Times New Roman" w:cs="Times New Roman"/>
          <w:bCs/>
          <w:sz w:val="24"/>
        </w:rPr>
        <w:t xml:space="preserve">are the </w:t>
      </w:r>
      <w:r w:rsidRPr="00EE24EE">
        <w:rPr>
          <w:rFonts w:ascii="Times New Roman" w:eastAsia="Times New Roman" w:hAnsi="Times New Roman" w:cs="Times New Roman"/>
          <w:bCs/>
          <w:sz w:val="24"/>
        </w:rPr>
        <w:t>spatial maps of geopotential height at 50 hPa, 100 hPa and 500 hPa</w:t>
      </w:r>
      <w:r>
        <w:rPr>
          <w:rFonts w:ascii="Times New Roman" w:eastAsia="Times New Roman" w:hAnsi="Times New Roman" w:cs="Times New Roman"/>
          <w:bCs/>
          <w:sz w:val="24"/>
        </w:rPr>
        <w:t xml:space="preserve">, representing the </w:t>
      </w:r>
      <w:r w:rsidRPr="00EE24EE">
        <w:rPr>
          <w:rFonts w:ascii="Times New Roman" w:eastAsia="Times New Roman" w:hAnsi="Times New Roman" w:cs="Times New Roman"/>
          <w:bCs/>
          <w:sz w:val="24"/>
        </w:rPr>
        <w:t>stratospheric polar vortex (SPV) morphology</w:t>
      </w:r>
      <w:r>
        <w:rPr>
          <w:rFonts w:ascii="Times New Roman" w:eastAsia="Times New Roman" w:hAnsi="Times New Roman" w:cs="Times New Roman"/>
          <w:bCs/>
          <w:sz w:val="24"/>
        </w:rPr>
        <w:t xml:space="preserve"> before and during the EWS event. It is seen that </w:t>
      </w:r>
      <w:r w:rsidRPr="00EE24EE">
        <w:rPr>
          <w:rFonts w:ascii="Times New Roman" w:eastAsia="Times New Roman" w:hAnsi="Times New Roman" w:cs="Times New Roman"/>
          <w:bCs/>
          <w:sz w:val="24"/>
        </w:rPr>
        <w:t>high‑pressure anomalies dominated the Arctic region and shifted toward East Asia. By early April, the main body of the vortex at 50 hPa had shifted toward East Asia (Fig. S2a–e). Below it, the vortex at 100 hPa exhibited a dispersed structure, with a pronounced lobe extending toward East Asia until the end of the extreme wind event on 13 April (Fig. S2f–j). The 500 hPa level is characterized by strong pairs of pressure waves, with a similar low‑pressure centre extending into East Asia from 9 April and a cut‑off‑low‑like feature appearing over North China on 13 April (Fig. S2k–o).</w:t>
      </w:r>
      <w:r>
        <w:rPr>
          <w:rFonts w:ascii="Times New Roman" w:eastAsia="Times New Roman" w:hAnsi="Times New Roman" w:cs="Times New Roman"/>
          <w:bCs/>
          <w:sz w:val="24"/>
        </w:rPr>
        <w:t xml:space="preserve"> </w:t>
      </w:r>
      <w:r w:rsidRPr="00EE24EE">
        <w:rPr>
          <w:rFonts w:ascii="Times New Roman" w:eastAsia="Times New Roman" w:hAnsi="Times New Roman" w:cs="Times New Roman"/>
          <w:bCs/>
          <w:sz w:val="24"/>
        </w:rPr>
        <w:t xml:space="preserve">This vertically coherent configuration resulted in a meridional dipole pattern of geopotential height anomalies near 115°–130°E (i.e., covering the longitudinal sector of central and eastern China), characterised by positive anomalies north of 50°N and negative anomalies to the south. This dipole </w:t>
      </w:r>
      <w:r>
        <w:rPr>
          <w:rFonts w:ascii="Times New Roman" w:eastAsia="Times New Roman" w:hAnsi="Times New Roman" w:cs="Times New Roman"/>
          <w:bCs/>
          <w:sz w:val="24"/>
        </w:rPr>
        <w:t xml:space="preserve">also </w:t>
      </w:r>
      <w:r w:rsidRPr="00EE24EE">
        <w:rPr>
          <w:rFonts w:ascii="Times New Roman" w:eastAsia="Times New Roman" w:hAnsi="Times New Roman" w:cs="Times New Roman"/>
          <w:bCs/>
          <w:sz w:val="24"/>
        </w:rPr>
        <w:t>contributed to a pronounced weakening of the East Asian jet stream.</w:t>
      </w:r>
    </w:p>
    <w:p w14:paraId="495EC086" w14:textId="2C258274" w:rsidR="00A26DD2" w:rsidRPr="00852FFE" w:rsidRDefault="00852FFE" w:rsidP="00852FFE">
      <w:pPr>
        <w:pStyle w:val="Body"/>
        <w:spacing w:before="156" w:after="200" w:line="276" w:lineRule="auto"/>
        <w:rPr>
          <w:rFonts w:ascii="Times New Roman" w:eastAsia="Times New Roman" w:hAnsi="Times New Roman" w:cs="Times New Roman"/>
          <w:bCs/>
          <w:sz w:val="24"/>
        </w:rPr>
      </w:pPr>
      <w:r>
        <w:rPr>
          <w:noProof/>
        </w:rPr>
        <w:lastRenderedPageBreak/>
        <w:drawing>
          <wp:anchor distT="0" distB="0" distL="114300" distR="114300" simplePos="0" relativeHeight="251658240" behindDoc="0" locked="0" layoutInCell="1" allowOverlap="1" wp14:anchorId="142CD42C" wp14:editId="1975D34E">
            <wp:simplePos x="0" y="0"/>
            <wp:positionH relativeFrom="column">
              <wp:posOffset>-922655</wp:posOffset>
            </wp:positionH>
            <wp:positionV relativeFrom="paragraph">
              <wp:posOffset>1701165</wp:posOffset>
            </wp:positionV>
            <wp:extent cx="7784465" cy="4583430"/>
            <wp:effectExtent l="318" t="0" r="952" b="953"/>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rot="5400000">
                      <a:off x="0" y="0"/>
                      <a:ext cx="7784465" cy="4583430"/>
                    </a:xfrm>
                    <a:prstGeom prst="rect">
                      <a:avLst/>
                    </a:prstGeom>
                  </pic:spPr>
                </pic:pic>
              </a:graphicData>
            </a:graphic>
            <wp14:sizeRelH relativeFrom="page">
              <wp14:pctWidth>0</wp14:pctWidth>
            </wp14:sizeRelH>
            <wp14:sizeRelV relativeFrom="page">
              <wp14:pctHeight>0</wp14:pctHeight>
            </wp14:sizeRelV>
          </wp:anchor>
        </w:drawing>
      </w:r>
    </w:p>
    <w:p w14:paraId="2961CC8D" w14:textId="627E8E49" w:rsidR="00EE24EE" w:rsidRPr="00EE24EE" w:rsidRDefault="00A26DD2" w:rsidP="00EE24EE">
      <w:pPr>
        <w:pStyle w:val="Body"/>
        <w:spacing w:before="156" w:after="200" w:line="276" w:lineRule="auto"/>
        <w:rPr>
          <w:rFonts w:ascii="Times New Roman" w:eastAsia="Times New Roman" w:hAnsi="Times New Roman" w:cs="Times New Roman"/>
          <w:b/>
          <w:sz w:val="24"/>
        </w:rPr>
      </w:pPr>
      <w:r>
        <w:rPr>
          <w:rFonts w:ascii="Times New Roman" w:eastAsia="Times New Roman" w:hAnsi="Times New Roman" w:cs="Times New Roman"/>
          <w:b/>
          <w:bCs/>
          <w:sz w:val="24"/>
        </w:rPr>
        <w:t>Figure</w:t>
      </w:r>
      <w:r w:rsidR="00EE24EE">
        <w:rPr>
          <w:rFonts w:ascii="Times New Roman" w:eastAsia="Times New Roman" w:hAnsi="Times New Roman" w:cs="Times New Roman"/>
          <w:b/>
          <w:bCs/>
          <w:sz w:val="24"/>
        </w:rPr>
        <w:t xml:space="preserve"> S2</w:t>
      </w:r>
      <w:r>
        <w:rPr>
          <w:rFonts w:ascii="Times New Roman" w:eastAsia="Times New Roman" w:hAnsi="Times New Roman" w:cs="Times New Roman"/>
          <w:b/>
          <w:bCs/>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b/>
          <w:sz w:val="24"/>
        </w:rPr>
        <w:t>Polar stereographic projection of geopotential height (contours: total fields; shading: anomalies; units: dagpm) at (a–e) 50 hPa, (f–j) 100 hPa, and (k–o) 500 hPa on selected dates prior to or during the extreme wind event (April 1, 5, 9, 11, and 13).</w:t>
      </w:r>
    </w:p>
    <w:p w14:paraId="27F0F652" w14:textId="77777777" w:rsidR="00603B2D" w:rsidRPr="00EE24EE" w:rsidRDefault="00EE24EE" w:rsidP="00EE24EE">
      <w:pPr>
        <w:pStyle w:val="Body"/>
        <w:spacing w:before="156" w:after="200" w:line="276" w:lineRule="auto"/>
        <w:rPr>
          <w:rFonts w:ascii="Times New Roman" w:eastAsia="Times New Roman" w:hAnsi="Times New Roman" w:cs="Times New Roman"/>
          <w:b/>
          <w:bCs/>
          <w:sz w:val="24"/>
        </w:rPr>
      </w:pPr>
      <w:r w:rsidRPr="00EE24EE">
        <w:rPr>
          <w:rFonts w:ascii="Times New Roman" w:eastAsia="Times New Roman" w:hAnsi="Times New Roman" w:cs="Times New Roman"/>
          <w:b/>
          <w:bCs/>
          <w:sz w:val="24"/>
        </w:rPr>
        <w:lastRenderedPageBreak/>
        <w:t>S3 Impact of stratospheric information on 500 hPa trough forecasts</w:t>
      </w:r>
    </w:p>
    <w:p w14:paraId="62266AFF" w14:textId="117E56C8" w:rsidR="00EE24EE" w:rsidRPr="00EE24EE" w:rsidRDefault="00EE24EE" w:rsidP="00EE24EE">
      <w:pPr>
        <w:spacing w:before="156" w:after="200" w:line="276" w:lineRule="auto"/>
        <w:jc w:val="both"/>
        <w:rPr>
          <w:color w:val="000000"/>
          <w:kern w:val="2"/>
          <w:szCs w:val="21"/>
          <w:u w:color="000000"/>
        </w:rPr>
      </w:pPr>
      <w:r w:rsidRPr="00EE24EE">
        <w:rPr>
          <w:color w:val="000000"/>
          <w:kern w:val="2"/>
          <w:szCs w:val="21"/>
          <w:u w:color="000000"/>
        </w:rPr>
        <w:t xml:space="preserve">We further examine the performance of the deep‑learning forecast model trained with and without stratospheric signals in predicting the East Asian trough. Fig. S3 compares the 500 hPa geopotential height and its forecast error fields relative to observations. Panels S3a and S3c show forecasts with stratospheric signals (the </w:t>
      </w:r>
      <w:r>
        <w:rPr>
          <w:color w:val="000000"/>
          <w:kern w:val="2"/>
          <w:szCs w:val="21"/>
          <w:u w:color="000000"/>
        </w:rPr>
        <w:t>stratosphere-informed forecast</w:t>
      </w:r>
      <w:r w:rsidRPr="00EE24EE">
        <w:rPr>
          <w:color w:val="000000"/>
          <w:kern w:val="2"/>
          <w:szCs w:val="21"/>
          <w:u w:color="000000"/>
        </w:rPr>
        <w:t>), while panels S3b and S3d show forecasts without stratospheric signals (the control) for 12–13 April.</w:t>
      </w:r>
    </w:p>
    <w:p w14:paraId="18D2464E" w14:textId="2944CF57" w:rsidR="00EE24EE" w:rsidRDefault="00EE24EE" w:rsidP="00EE24EE">
      <w:pPr>
        <w:spacing w:before="156" w:after="200" w:line="276" w:lineRule="auto"/>
        <w:jc w:val="both"/>
        <w:rPr>
          <w:color w:val="000000"/>
          <w:kern w:val="2"/>
          <w:szCs w:val="21"/>
          <w:u w:color="000000"/>
        </w:rPr>
      </w:pPr>
      <w:r w:rsidRPr="00EE24EE">
        <w:rPr>
          <w:color w:val="000000"/>
          <w:kern w:val="2"/>
          <w:szCs w:val="21"/>
          <w:u w:color="000000"/>
        </w:rPr>
        <w:t>The model with stratospheric signals accurately captures the intensity of the low‑pressure system over 30°–40°N, with very small errors (shading), although the low‑pressure intensity over Mongolia (40°–60°N, 100°–130°E) is slightly overestimated on 13 April. In contrast, the model without stratospheric signals shows overestimated forecast biases for the low pressure over Mongolia on both 12 and 13 April, along with significant positive biases over 30°–40°N, indicating a failure to predict the deepening and southward extension of the East Asian trough. This is consistent with the substantially weaker wind speed forecasts from that model.</w:t>
      </w:r>
      <w:r w:rsidR="009E5727">
        <w:rPr>
          <w:color w:val="000000"/>
          <w:kern w:val="2"/>
          <w:szCs w:val="21"/>
          <w:u w:color="000000"/>
        </w:rPr>
        <w:t xml:space="preserve"> </w:t>
      </w:r>
      <w:r>
        <w:rPr>
          <w:color w:val="000000"/>
          <w:kern w:val="2"/>
          <w:szCs w:val="21"/>
          <w:u w:color="000000"/>
        </w:rPr>
        <w:t>T</w:t>
      </w:r>
      <w:r w:rsidRPr="00EE24EE">
        <w:rPr>
          <w:color w:val="000000"/>
          <w:kern w:val="2"/>
          <w:szCs w:val="21"/>
          <w:u w:color="000000"/>
        </w:rPr>
        <w:t>hese results further confirm the important role of the weak‑SPV signal in deepening the East Asian trough and sustaining the high winds during the later stage of this EWS event, thereby materially improving wind‑speed forecast skill.</w:t>
      </w:r>
    </w:p>
    <w:p w14:paraId="55DFEE95" w14:textId="77777777" w:rsidR="00EE24EE" w:rsidRDefault="00EE24EE" w:rsidP="00EE24EE">
      <w:pPr>
        <w:spacing w:before="156" w:after="200" w:line="276" w:lineRule="auto"/>
        <w:jc w:val="center"/>
      </w:pPr>
      <w:r>
        <w:rPr>
          <w:noProof/>
        </w:rPr>
        <w:drawing>
          <wp:inline distT="0" distB="0" distL="0" distR="0" wp14:anchorId="54AC0C5B" wp14:editId="1AD8D9A8">
            <wp:extent cx="5486400" cy="3774956"/>
            <wp:effectExtent l="0" t="0" r="0" b="0"/>
            <wp:docPr id="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pic:cNvPicPr>
                      <a:picLocks noChangeAspect="1" noChangeArrowheads="1"/>
                    </pic:cNvPicPr>
                  </pic:nvPicPr>
                  <pic:blipFill>
                    <a:blip r:embed="rId7"/>
                    <a:stretch>
                      <a:fillRect/>
                    </a:stretch>
                  </pic:blipFill>
                  <pic:spPr>
                    <a:xfrm>
                      <a:off x="0" y="0"/>
                      <a:ext cx="5500344" cy="3784550"/>
                    </a:xfrm>
                    <a:prstGeom prst="rect">
                      <a:avLst/>
                    </a:prstGeom>
                    <a:noFill/>
                    <a:ln w="9525">
                      <a:noFill/>
                    </a:ln>
                  </pic:spPr>
                </pic:pic>
              </a:graphicData>
            </a:graphic>
          </wp:inline>
        </w:drawing>
      </w:r>
    </w:p>
    <w:p w14:paraId="406A4EA4" w14:textId="2CC2C020" w:rsidR="0074080C" w:rsidRPr="00EE24EE" w:rsidRDefault="00EE24EE" w:rsidP="00EE24EE">
      <w:pPr>
        <w:pStyle w:val="Body"/>
        <w:spacing w:before="156" w:after="200" w:line="276" w:lineRule="auto"/>
        <w:rPr>
          <w:rFonts w:ascii="Times New Roman" w:eastAsia="Times New Roman" w:hAnsi="Times New Roman" w:cs="Times New Roman"/>
          <w:b/>
          <w:sz w:val="24"/>
        </w:rPr>
      </w:pPr>
      <w:r>
        <w:rPr>
          <w:rFonts w:ascii="Times New Roman" w:eastAsia="Times New Roman" w:hAnsi="Times New Roman" w:cs="Times New Roman"/>
          <w:b/>
          <w:bCs/>
          <w:sz w:val="24"/>
        </w:rPr>
        <w:t>Figure S3 |</w:t>
      </w:r>
      <w:r>
        <w:rPr>
          <w:rFonts w:ascii="Times New Roman" w:eastAsia="Times New Roman" w:hAnsi="Times New Roman" w:cs="Times New Roman"/>
          <w:sz w:val="24"/>
        </w:rPr>
        <w:t xml:space="preserve"> </w:t>
      </w:r>
      <w:r w:rsidRPr="00EE24EE">
        <w:rPr>
          <w:rFonts w:ascii="Times New Roman" w:eastAsia="Times New Roman" w:hAnsi="Times New Roman" w:cs="Times New Roman"/>
          <w:b/>
          <w:sz w:val="24"/>
        </w:rPr>
        <w:t>500 hPa geopotential height (contours, in dagpm) from forecasts initialized on 8 April. (a) Stratosphere‑informed forecast valid on 12 April; (</w:t>
      </w:r>
      <w:r>
        <w:rPr>
          <w:rFonts w:ascii="Times New Roman" w:eastAsia="Times New Roman" w:hAnsi="Times New Roman" w:cs="Times New Roman"/>
          <w:b/>
          <w:sz w:val="24"/>
        </w:rPr>
        <w:t>c</w:t>
      </w:r>
      <w:r w:rsidRPr="00EE24EE">
        <w:rPr>
          <w:rFonts w:ascii="Times New Roman" w:eastAsia="Times New Roman" w:hAnsi="Times New Roman" w:cs="Times New Roman"/>
          <w:b/>
          <w:sz w:val="24"/>
        </w:rPr>
        <w:t>) same forecast valid on 13 April. (</w:t>
      </w:r>
      <w:r>
        <w:rPr>
          <w:rFonts w:ascii="Times New Roman" w:eastAsia="Times New Roman" w:hAnsi="Times New Roman" w:cs="Times New Roman"/>
          <w:b/>
          <w:sz w:val="24"/>
        </w:rPr>
        <w:t>b</w:t>
      </w:r>
      <w:r w:rsidRPr="00EE24EE">
        <w:rPr>
          <w:rFonts w:ascii="Times New Roman" w:eastAsia="Times New Roman" w:hAnsi="Times New Roman" w:cs="Times New Roman"/>
          <w:b/>
          <w:sz w:val="24"/>
        </w:rPr>
        <w:t>) and (d) as in (a) and (</w:t>
      </w:r>
      <w:r>
        <w:rPr>
          <w:rFonts w:ascii="Times New Roman" w:eastAsia="Times New Roman" w:hAnsi="Times New Roman" w:cs="Times New Roman"/>
          <w:b/>
          <w:sz w:val="24"/>
        </w:rPr>
        <w:t>c</w:t>
      </w:r>
      <w:r w:rsidRPr="00EE24EE">
        <w:rPr>
          <w:rFonts w:ascii="Times New Roman" w:eastAsia="Times New Roman" w:hAnsi="Times New Roman" w:cs="Times New Roman"/>
          <w:b/>
          <w:sz w:val="24"/>
        </w:rPr>
        <w:t>), but for the forecast model without stratospheric input. Shading indicates the forecast error</w:t>
      </w:r>
      <w:r>
        <w:rPr>
          <w:rFonts w:ascii="Times New Roman" w:eastAsia="Times New Roman" w:hAnsi="Times New Roman" w:cs="Times New Roman"/>
          <w:b/>
          <w:sz w:val="24"/>
        </w:rPr>
        <w:t xml:space="preserve"> (</w:t>
      </w:r>
      <w:r w:rsidRPr="00EE24EE">
        <w:rPr>
          <w:rFonts w:ascii="Times New Roman" w:eastAsia="Times New Roman" w:hAnsi="Times New Roman" w:cs="Times New Roman"/>
          <w:b/>
          <w:sz w:val="24"/>
        </w:rPr>
        <w:t>in dagpm), calculated as the difference between the forecast and the observation interpolated onto the deep‑learning model’s coarse grid.</w:t>
      </w:r>
    </w:p>
    <w:sectPr w:rsidR="0074080C" w:rsidRPr="00EE24EE" w:rsidSect="00EE24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D2"/>
    <w:rsid w:val="00603B2D"/>
    <w:rsid w:val="006B29A3"/>
    <w:rsid w:val="0074080C"/>
    <w:rsid w:val="00852FFE"/>
    <w:rsid w:val="008A7475"/>
    <w:rsid w:val="009B0206"/>
    <w:rsid w:val="009E5727"/>
    <w:rsid w:val="00A26DD2"/>
    <w:rsid w:val="00AC1D4D"/>
    <w:rsid w:val="00EE24EE"/>
    <w:rsid w:val="00EF1818"/>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56878"/>
  <w15:docId w15:val="{5A8ABEDB-D074-164B-83F0-104366C2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DD2"/>
    <w:rPr>
      <w:rFonts w:ascii="Times New Roman" w:eastAsia="Times New Roman" w:hAnsi="Times New Roman" w:cs="Times New Roman"/>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rsid w:val="00A26DD2"/>
    <w:pPr>
      <w:widowControl w:val="0"/>
      <w:jc w:val="both"/>
    </w:pPr>
    <w:rPr>
      <w:rFonts w:ascii="Calibri" w:eastAsia="Arial Unicode MS" w:hAnsi="Calibri" w:cs="Arial Unicode MS"/>
      <w:color w:val="000000"/>
      <w:sz w:val="21"/>
      <w:szCs w:val="21"/>
      <w:u w:color="000000"/>
      <w:lang w:val="en-US"/>
      <w14:ligatures w14:val="none"/>
    </w:rPr>
  </w:style>
  <w:style w:type="paragraph" w:styleId="a3">
    <w:name w:val="annotation text"/>
    <w:basedOn w:val="a"/>
    <w:link w:val="a4"/>
    <w:uiPriority w:val="99"/>
    <w:semiHidden/>
    <w:unhideWhenUsed/>
    <w:rsid w:val="00A26DD2"/>
  </w:style>
  <w:style w:type="character" w:customStyle="1" w:styleId="a4">
    <w:name w:val="批注文字 字符"/>
    <w:basedOn w:val="a0"/>
    <w:link w:val="a3"/>
    <w:uiPriority w:val="99"/>
    <w:semiHidden/>
    <w:rsid w:val="00A26DD2"/>
    <w:rPr>
      <w:rFonts w:ascii="Times New Roman" w:eastAsia="Times New Roman" w:hAnsi="Times New Roman" w:cs="Times New Roman"/>
      <w:kern w:val="0"/>
      <w:lang w:val="en-US"/>
      <w14:ligatures w14:val="none"/>
    </w:rPr>
  </w:style>
  <w:style w:type="paragraph" w:customStyle="1" w:styleId="Authors">
    <w:name w:val="Authors"/>
    <w:qFormat/>
    <w:rsid w:val="00EE24EE"/>
    <w:pPr>
      <w:snapToGrid w:val="0"/>
      <w:spacing w:before="240" w:line="360" w:lineRule="auto"/>
      <w:ind w:firstLine="357"/>
      <w:jc w:val="center"/>
    </w:pPr>
    <w:rPr>
      <w:rFonts w:ascii="Times New Roman" w:hAnsi="Times New Roman" w:cs="Times New Roman"/>
      <w:kern w:val="0"/>
      <w:szCs w:val="20"/>
      <w:lang w:val="en-US" w:eastAsia="en-US"/>
    </w:rPr>
  </w:style>
  <w:style w:type="paragraph" w:customStyle="1" w:styleId="Affiliations">
    <w:name w:val="Affiliations"/>
    <w:qFormat/>
    <w:rsid w:val="00EE24EE"/>
    <w:pPr>
      <w:snapToGrid w:val="0"/>
      <w:spacing w:before="120" w:line="360" w:lineRule="auto"/>
      <w:ind w:firstLine="357"/>
      <w:jc w:val="center"/>
    </w:pPr>
    <w:rPr>
      <w:rFonts w:ascii="Times New Roman" w:hAnsi="Times New Roman" w:cs="Times New Roman"/>
      <w:i/>
      <w:kern w:val="0"/>
      <w:sz w:val="20"/>
      <w:szCs w:val="20"/>
      <w:lang w:val="en-US" w:eastAsia="en-US"/>
    </w:rPr>
  </w:style>
  <w:style w:type="character" w:styleId="a5">
    <w:name w:val="Hyperlink"/>
    <w:basedOn w:val="a0"/>
    <w:uiPriority w:val="99"/>
    <w:unhideWhenUsed/>
    <w:qFormat/>
    <w:rsid w:val="00EE24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hyperlink" Target="mailto:yuyy@nuist.edu.c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1013</Words>
  <Characters>5777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 liu</cp:lastModifiedBy>
  <cp:revision>3</cp:revision>
  <dcterms:created xsi:type="dcterms:W3CDTF">2026-08-09T05:45:00Z</dcterms:created>
  <dcterms:modified xsi:type="dcterms:W3CDTF">2026-08-09T05:45:00Z</dcterms:modified>
</cp:coreProperties>
</file>