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CD46E" w14:textId="3D36C2DF" w:rsidR="00DD6E68" w:rsidRPr="00DD6E68" w:rsidRDefault="00000000" w:rsidP="00DD6E68">
      <w:pPr>
        <w:widowControl w:val="0"/>
        <w:spacing w:line="480" w:lineRule="auto"/>
        <w:jc w:val="center"/>
        <w:rPr>
          <w:rFonts w:ascii="Times New Roman" w:hAnsi="Times New Roman" w:cs="Times New Roman"/>
          <w:b/>
          <w:bCs/>
          <w:sz w:val="28"/>
          <w:szCs w:val="22"/>
        </w:rPr>
      </w:pPr>
      <w:commentRangeStart w:id="0"/>
      <w:r w:rsidRPr="00DD6E68">
        <w:rPr>
          <w:rFonts w:ascii="Times New Roman" w:hAnsi="Times New Roman" w:cs="Times New Roman"/>
          <w:b/>
          <w:bCs/>
          <w:sz w:val="28"/>
          <w:szCs w:val="22"/>
        </w:rPr>
        <w:t>Supplementary Information</w:t>
      </w:r>
      <w:commentRangeStart w:id="1"/>
      <w:commentRangeEnd w:id="0"/>
      <w:r w:rsidRPr="00DD6E68">
        <w:rPr>
          <w:rStyle w:val="ac"/>
          <w:rFonts w:ascii="Times New Roman" w:hAnsi="Times New Roman"/>
          <w:b/>
          <w:bCs/>
          <w:sz w:val="28"/>
          <w:szCs w:val="22"/>
        </w:rPr>
        <w:commentReference w:id="0"/>
      </w:r>
      <w:commentRangeEnd w:id="1"/>
      <w:r w:rsidRPr="00DD6E68">
        <w:rPr>
          <w:rStyle w:val="ac"/>
          <w:rFonts w:ascii="Times New Roman" w:hAnsi="Times New Roman"/>
          <w:b/>
          <w:bCs/>
          <w:sz w:val="28"/>
          <w:szCs w:val="22"/>
        </w:rPr>
        <w:commentReference w:id="1"/>
      </w:r>
    </w:p>
    <w:p w14:paraId="48AE216A" w14:textId="77777777" w:rsidR="00DD6E68" w:rsidRDefault="00DD6E68" w:rsidP="00DD6E68">
      <w:pPr>
        <w:widowControl w:val="0"/>
        <w:spacing w:line="480" w:lineRule="auto"/>
        <w:rPr>
          <w:rFonts w:ascii="Times New Roman" w:hAnsi="Times New Roman" w:cs="Times New Roman"/>
          <w:b/>
          <w:bCs/>
          <w:sz w:val="24"/>
        </w:rPr>
      </w:pPr>
    </w:p>
    <w:p w14:paraId="5B028B85" w14:textId="715E45F1" w:rsidR="00DD6E68" w:rsidRPr="00EC614F" w:rsidRDefault="00000000" w:rsidP="00DD6E68">
      <w:pPr>
        <w:widowControl w:val="0"/>
        <w:spacing w:line="480" w:lineRule="auto"/>
        <w:rPr>
          <w:rFonts w:ascii="Times New Roman" w:hAnsi="Times New Roman" w:cs="Times New Roman"/>
          <w:b/>
          <w:bCs/>
          <w:sz w:val="24"/>
        </w:rPr>
      </w:pPr>
      <w:r>
        <w:rPr>
          <w:rFonts w:ascii="Times New Roman" w:hAnsi="Times New Roman" w:cs="Times New Roman"/>
          <w:b/>
          <w:bCs/>
          <w:sz w:val="24"/>
        </w:rPr>
        <w:t xml:space="preserve">Polypharmacy Networks </w:t>
      </w:r>
      <w:r w:rsidRPr="00155891">
        <w:rPr>
          <w:rFonts w:ascii="Times New Roman" w:eastAsiaTheme="minorEastAsia" w:hAnsi="Times New Roman" w:cs="Times New Roman"/>
          <w:b/>
          <w:bCs/>
          <w:sz w:val="24"/>
        </w:rPr>
        <w:t>Among Older Adults Requiring Long-Term Care</w:t>
      </w:r>
      <w:r>
        <w:rPr>
          <w:rFonts w:ascii="Times New Roman" w:hAnsi="Times New Roman" w:cs="Times New Roman"/>
          <w:b/>
          <w:bCs/>
          <w:sz w:val="24"/>
        </w:rPr>
        <w:t>: An Association Rule Mining and Network Analysis</w:t>
      </w:r>
    </w:p>
    <w:p w14:paraId="0BAF4729" w14:textId="77777777" w:rsidR="00DD6E68" w:rsidRPr="003652C1" w:rsidRDefault="00DD6E68" w:rsidP="00DD6E68">
      <w:pPr>
        <w:widowControl w:val="0"/>
        <w:spacing w:line="480" w:lineRule="auto"/>
        <w:rPr>
          <w:rFonts w:ascii="Times New Roman" w:eastAsiaTheme="minorEastAsia" w:hAnsi="Times New Roman" w:cs="Times New Roman"/>
          <w:sz w:val="24"/>
        </w:rPr>
      </w:pPr>
    </w:p>
    <w:p w14:paraId="5E499B34" w14:textId="27A26649" w:rsidR="00DD6E68" w:rsidRDefault="00000000" w:rsidP="00DD6E68">
      <w:pPr>
        <w:widowControl w:val="0"/>
        <w:spacing w:line="480" w:lineRule="auto"/>
        <w:rPr>
          <w:rFonts w:ascii="ＭＳ 明朝" w:eastAsia="ＭＳ 明朝" w:hAnsi="ＭＳ 明朝" w:cs="ＭＳ 明朝"/>
          <w:sz w:val="24"/>
          <w:lang w:val="en-GB"/>
        </w:rPr>
      </w:pPr>
      <w:r w:rsidRPr="003652C1">
        <w:rPr>
          <w:rFonts w:ascii="Times New Roman" w:eastAsiaTheme="minorEastAsia" w:hAnsi="Times New Roman" w:cs="Times New Roman"/>
          <w:sz w:val="24"/>
        </w:rPr>
        <w:t xml:space="preserve">Shotaro </w:t>
      </w:r>
      <w:r w:rsidRPr="003652C1">
        <w:rPr>
          <w:rFonts w:ascii="Times New Roman" w:hAnsi="Times New Roman" w:cs="Times New Roman"/>
          <w:sz w:val="24"/>
          <w:szCs w:val="24"/>
        </w:rPr>
        <w:t xml:space="preserve">Hagiwara, </w:t>
      </w:r>
      <w:r w:rsidRPr="003652C1">
        <w:rPr>
          <w:rFonts w:ascii="Times New Roman" w:eastAsiaTheme="minorEastAsia" w:hAnsi="Times New Roman" w:cs="Times New Roman"/>
          <w:sz w:val="24"/>
        </w:rPr>
        <w:t xml:space="preserve">Jun </w:t>
      </w:r>
      <w:r w:rsidRPr="003652C1">
        <w:rPr>
          <w:rFonts w:ascii="Times New Roman" w:hAnsi="Times New Roman" w:cs="Times New Roman"/>
          <w:sz w:val="24"/>
          <w:szCs w:val="24"/>
        </w:rPr>
        <w:t xml:space="preserve">Komiyama, </w:t>
      </w:r>
      <w:r w:rsidRPr="003652C1">
        <w:rPr>
          <w:rFonts w:ascii="Times New Roman" w:eastAsiaTheme="minorEastAsia" w:hAnsi="Times New Roman" w:cs="Times New Roman"/>
          <w:sz w:val="24"/>
        </w:rPr>
        <w:t xml:space="preserve">Masao </w:t>
      </w:r>
      <w:r w:rsidRPr="003652C1">
        <w:rPr>
          <w:rFonts w:ascii="Times New Roman" w:hAnsi="Times New Roman" w:cs="Times New Roman"/>
          <w:sz w:val="24"/>
          <w:szCs w:val="24"/>
        </w:rPr>
        <w:t>Iwagami,</w:t>
      </w:r>
      <w:r w:rsidRPr="003652C1">
        <w:rPr>
          <w:rFonts w:ascii="Times New Roman" w:eastAsiaTheme="minorEastAsia" w:hAnsi="Times New Roman" w:cs="Times New Roman"/>
          <w:sz w:val="24"/>
        </w:rPr>
        <w:t xml:space="preserve"> Shota </w:t>
      </w:r>
      <w:r w:rsidRPr="003652C1">
        <w:rPr>
          <w:rFonts w:ascii="Times New Roman" w:hAnsi="Times New Roman" w:cs="Times New Roman"/>
          <w:sz w:val="24"/>
          <w:szCs w:val="24"/>
        </w:rPr>
        <w:t xml:space="preserve">Hamada, </w:t>
      </w:r>
      <w:r w:rsidRPr="003652C1">
        <w:rPr>
          <w:rFonts w:ascii="Times New Roman" w:eastAsiaTheme="minorEastAsia" w:hAnsi="Times New Roman" w:cs="Times New Roman"/>
          <w:sz w:val="24"/>
        </w:rPr>
        <w:t>Hiroyuki Kobayashi</w:t>
      </w:r>
      <w:r w:rsidRPr="003652C1">
        <w:rPr>
          <w:rFonts w:ascii="Times New Roman" w:hAnsi="Times New Roman" w:cs="Times New Roman"/>
          <w:sz w:val="24"/>
          <w:szCs w:val="24"/>
        </w:rPr>
        <w:t xml:space="preserve">, </w:t>
      </w:r>
      <w:r w:rsidRPr="003652C1">
        <w:rPr>
          <w:rFonts w:ascii="Times New Roman" w:eastAsiaTheme="minorEastAsia" w:hAnsi="Times New Roman" w:cs="Times New Roman"/>
          <w:sz w:val="24"/>
        </w:rPr>
        <w:t xml:space="preserve">Nanako </w:t>
      </w:r>
      <w:r w:rsidRPr="003652C1">
        <w:rPr>
          <w:rFonts w:ascii="Times New Roman" w:hAnsi="Times New Roman" w:cs="Times New Roman"/>
          <w:sz w:val="24"/>
          <w:szCs w:val="24"/>
        </w:rPr>
        <w:t>Tamiya</w:t>
      </w:r>
      <w:r w:rsidRPr="003652C1">
        <w:rPr>
          <w:rFonts w:ascii="ＭＳ 明朝" w:eastAsia="ＭＳ 明朝" w:hAnsi="ＭＳ 明朝" w:cs="ＭＳ 明朝" w:hint="eastAsia"/>
          <w:sz w:val="24"/>
        </w:rPr>
        <w:t xml:space="preserve">　</w:t>
      </w:r>
    </w:p>
    <w:p w14:paraId="14E7BD00" w14:textId="77777777" w:rsidR="00DD6E68" w:rsidRDefault="00DD6E68" w:rsidP="00DD6E68">
      <w:pPr>
        <w:widowControl w:val="0"/>
        <w:spacing w:line="480" w:lineRule="auto"/>
        <w:rPr>
          <w:rFonts w:ascii="ＭＳ 明朝" w:eastAsia="ＭＳ 明朝" w:hAnsi="ＭＳ 明朝" w:cs="ＭＳ 明朝"/>
          <w:sz w:val="24"/>
          <w:lang w:val="en-GB"/>
        </w:rPr>
      </w:pPr>
    </w:p>
    <w:p w14:paraId="0CB40ABA" w14:textId="720C2DED" w:rsidR="00DD6E68" w:rsidRDefault="00000000">
      <w:pPr>
        <w:spacing w:after="160" w:line="278" w:lineRule="auto"/>
        <w:jc w:val="left"/>
        <w:rPr>
          <w:rFonts w:ascii="ＭＳ 明朝" w:eastAsia="ＭＳ 明朝" w:hAnsi="ＭＳ 明朝" w:cs="ＭＳ 明朝"/>
          <w:sz w:val="24"/>
          <w:lang w:val="en-GB"/>
        </w:rPr>
      </w:pPr>
      <w:r>
        <w:rPr>
          <w:rFonts w:ascii="ＭＳ 明朝" w:eastAsia="ＭＳ 明朝" w:hAnsi="ＭＳ 明朝" w:cs="ＭＳ 明朝"/>
          <w:sz w:val="24"/>
          <w:lang w:val="en-GB"/>
        </w:rPr>
        <w:br w:type="page"/>
      </w:r>
    </w:p>
    <w:p w14:paraId="4866C3C2" w14:textId="5A22591E" w:rsidR="00DD6E68" w:rsidRPr="00756E26" w:rsidRDefault="00000000" w:rsidP="00DD6E68">
      <w:pPr>
        <w:widowControl w:val="0"/>
        <w:spacing w:line="480" w:lineRule="auto"/>
        <w:jc w:val="left"/>
        <w:rPr>
          <w:rFonts w:ascii="Times New Roman" w:hAnsi="Times New Roman" w:cs="Times New Roman"/>
          <w:b/>
          <w:bCs/>
          <w:sz w:val="24"/>
        </w:rPr>
      </w:pPr>
      <w:r w:rsidRPr="00756E26">
        <w:rPr>
          <w:rFonts w:ascii="Times New Roman" w:hAnsi="Times New Roman" w:cs="Times New Roman"/>
          <w:b/>
          <w:bCs/>
          <w:sz w:val="24"/>
        </w:rPr>
        <w:lastRenderedPageBreak/>
        <w:t>Supplementa</w:t>
      </w:r>
      <w:r>
        <w:rPr>
          <w:rFonts w:ascii="Times New Roman" w:hAnsi="Times New Roman" w:cs="Times New Roman"/>
          <w:b/>
          <w:bCs/>
          <w:sz w:val="24"/>
        </w:rPr>
        <w:t>ry</w:t>
      </w:r>
      <w:r w:rsidRPr="00756E26">
        <w:rPr>
          <w:rFonts w:ascii="Times New Roman" w:hAnsi="Times New Roman" w:cs="Times New Roman"/>
          <w:b/>
          <w:bCs/>
          <w:sz w:val="24"/>
        </w:rPr>
        <w:t xml:space="preserve"> Fig. </w:t>
      </w:r>
      <w:r>
        <w:rPr>
          <w:rFonts w:ascii="Times New Roman" w:hAnsi="Times New Roman" w:cs="Times New Roman"/>
          <w:b/>
          <w:bCs/>
          <w:sz w:val="24"/>
        </w:rPr>
        <w:t xml:space="preserve">S1. </w:t>
      </w:r>
      <w:r w:rsidRPr="00756E26">
        <w:rPr>
          <w:rFonts w:ascii="Times New Roman" w:hAnsi="Times New Roman" w:cs="Times New Roman"/>
          <w:b/>
          <w:bCs/>
          <w:sz w:val="24"/>
        </w:rPr>
        <w:t>Potential drug–drug interactions among frequently co-prescribed medications in older adults requiring long-term care.</w:t>
      </w:r>
    </w:p>
    <w:p w14:paraId="2970C172" w14:textId="5F2CB7A4" w:rsidR="00DD6E68" w:rsidRPr="00D01A8C" w:rsidRDefault="00000000" w:rsidP="00DD6E68">
      <w:pPr>
        <w:pStyle w:val="Normal0"/>
        <w:spacing w:line="480" w:lineRule="auto"/>
        <w:jc w:val="left"/>
        <w:rPr>
          <w:rFonts w:ascii="Times New Roman" w:hAnsi="Times New Roman" w:cs="Times New Roman"/>
          <w:sz w:val="24"/>
        </w:rPr>
      </w:pPr>
      <w:r>
        <w:rPr>
          <w:rFonts w:ascii="Times New Roman" w:hAnsi="Times New Roman" w:cs="Times New Roman"/>
          <w:sz w:val="24"/>
          <w:szCs w:val="24"/>
        </w:rPr>
        <w:t>The</w:t>
      </w:r>
      <w:r w:rsidRPr="00F37C3B">
        <w:rPr>
          <w:rFonts w:ascii="Times New Roman" w:hAnsi="Times New Roman" w:cs="Times New Roman"/>
          <w:sz w:val="24"/>
          <w:szCs w:val="24"/>
        </w:rPr>
        <w:t xml:space="preserve"> figure shows all potential DDIs</w:t>
      </w:r>
      <w:r w:rsidRPr="0044449E">
        <w:rPr>
          <w:rFonts w:ascii="Times New Roman" w:hAnsi="Times New Roman" w:cs="Times New Roman"/>
          <w:sz w:val="24"/>
          <w:szCs w:val="24"/>
        </w:rPr>
        <w:t xml:space="preserve"> identified between the 30 most frequently prescribed medications and their commonly co-prescribed medications </w:t>
      </w:r>
      <w:r w:rsidRPr="00F37C3B">
        <w:rPr>
          <w:rFonts w:ascii="Times New Roman" w:hAnsi="Times New Roman" w:cs="Times New Roman"/>
          <w:sz w:val="24"/>
          <w:szCs w:val="24"/>
        </w:rPr>
        <w:t xml:space="preserve">with </w:t>
      </w:r>
      <w:r w:rsidRPr="0044449E">
        <w:rPr>
          <w:rFonts w:ascii="Times New Roman" w:hAnsi="Times New Roman" w:cs="Times New Roman"/>
          <w:sz w:val="24"/>
          <w:szCs w:val="24"/>
        </w:rPr>
        <w:t xml:space="preserve">support </w:t>
      </w:r>
      <w:r w:rsidRPr="00F37C3B">
        <w:rPr>
          <w:rFonts w:ascii="Times New Roman" w:hAnsi="Times New Roman" w:cs="Times New Roman"/>
          <w:sz w:val="24"/>
          <w:szCs w:val="24"/>
        </w:rPr>
        <w:t>values</w:t>
      </w:r>
      <w:r w:rsidRPr="0044449E">
        <w:rPr>
          <w:rFonts w:ascii="Times New Roman" w:hAnsi="Times New Roman" w:cs="Times New Roman"/>
          <w:sz w:val="24"/>
          <w:szCs w:val="24"/>
        </w:rPr>
        <w:t xml:space="preserve"> ≥0.05. Horizontal bars represent support values, indicating the </w:t>
      </w:r>
      <w:r w:rsidRPr="00F37C3B">
        <w:rPr>
          <w:rFonts w:ascii="Times New Roman" w:hAnsi="Times New Roman" w:cs="Times New Roman"/>
          <w:sz w:val="24"/>
          <w:szCs w:val="24"/>
        </w:rPr>
        <w:t>proportion</w:t>
      </w:r>
      <w:r w:rsidRPr="0044449E">
        <w:rPr>
          <w:rFonts w:ascii="Times New Roman" w:hAnsi="Times New Roman" w:cs="Times New Roman"/>
          <w:sz w:val="24"/>
          <w:szCs w:val="24"/>
        </w:rPr>
        <w:t xml:space="preserve"> of </w:t>
      </w:r>
      <w:r w:rsidRPr="00F37C3B">
        <w:rPr>
          <w:rFonts w:ascii="Times New Roman" w:hAnsi="Times New Roman" w:cs="Times New Roman"/>
          <w:sz w:val="24"/>
          <w:szCs w:val="24"/>
        </w:rPr>
        <w:t xml:space="preserve">individuals </w:t>
      </w:r>
      <w:r>
        <w:rPr>
          <w:rFonts w:ascii="Times New Roman" w:hAnsi="Times New Roman" w:cs="Times New Roman"/>
          <w:sz w:val="24"/>
          <w:szCs w:val="24"/>
        </w:rPr>
        <w:t>for</w:t>
      </w:r>
      <w:r w:rsidRPr="00F37C3B">
        <w:rPr>
          <w:rFonts w:ascii="Times New Roman" w:hAnsi="Times New Roman" w:cs="Times New Roman"/>
          <w:sz w:val="24"/>
          <w:szCs w:val="24"/>
        </w:rPr>
        <w:t xml:space="preserve"> whom each medication pair was </w:t>
      </w:r>
      <w:r w:rsidRPr="0044449E">
        <w:rPr>
          <w:rFonts w:ascii="Times New Roman" w:hAnsi="Times New Roman" w:cs="Times New Roman"/>
          <w:sz w:val="24"/>
          <w:szCs w:val="24"/>
        </w:rPr>
        <w:t>co-</w:t>
      </w:r>
      <w:r w:rsidRPr="00F37C3B">
        <w:rPr>
          <w:rFonts w:ascii="Times New Roman" w:hAnsi="Times New Roman" w:cs="Times New Roman"/>
          <w:sz w:val="24"/>
          <w:szCs w:val="24"/>
        </w:rPr>
        <w:t>prescribed</w:t>
      </w:r>
      <w:r w:rsidRPr="0044449E">
        <w:rPr>
          <w:rFonts w:ascii="Times New Roman" w:hAnsi="Times New Roman" w:cs="Times New Roman"/>
          <w:sz w:val="24"/>
          <w:szCs w:val="24"/>
        </w:rPr>
        <w:t xml:space="preserve">, and </w:t>
      </w:r>
      <w:r>
        <w:rPr>
          <w:rFonts w:ascii="Times New Roman" w:hAnsi="Times New Roman" w:cs="Times New Roman"/>
          <w:sz w:val="24"/>
          <w:szCs w:val="24"/>
        </w:rPr>
        <w:t xml:space="preserve">the </w:t>
      </w:r>
      <w:r w:rsidRPr="0044449E">
        <w:rPr>
          <w:rFonts w:ascii="Times New Roman" w:hAnsi="Times New Roman" w:cs="Times New Roman"/>
          <w:sz w:val="24"/>
          <w:szCs w:val="24"/>
        </w:rPr>
        <w:t xml:space="preserve">drug pairs were ranked in descending order of support. Bar colors indicate </w:t>
      </w:r>
      <w:r>
        <w:rPr>
          <w:rFonts w:ascii="Times New Roman" w:hAnsi="Times New Roman" w:cs="Times New Roman"/>
          <w:sz w:val="24"/>
          <w:szCs w:val="24"/>
        </w:rPr>
        <w:t xml:space="preserve">the </w:t>
      </w:r>
      <w:r w:rsidRPr="0044449E">
        <w:rPr>
          <w:rFonts w:ascii="Times New Roman" w:hAnsi="Times New Roman" w:cs="Times New Roman"/>
          <w:sz w:val="24"/>
          <w:szCs w:val="24"/>
        </w:rPr>
        <w:t xml:space="preserve">Lexidrug risk ratings: gray </w:t>
      </w:r>
      <w:r w:rsidRPr="00F37C3B">
        <w:rPr>
          <w:rFonts w:ascii="Times New Roman" w:hAnsi="Times New Roman" w:cs="Times New Roman"/>
          <w:sz w:val="24"/>
          <w:szCs w:val="24"/>
        </w:rPr>
        <w:t xml:space="preserve">for </w:t>
      </w:r>
      <w:r w:rsidRPr="0044449E">
        <w:rPr>
          <w:rFonts w:ascii="Times New Roman" w:hAnsi="Times New Roman" w:cs="Times New Roman"/>
          <w:sz w:val="24"/>
          <w:szCs w:val="24"/>
        </w:rPr>
        <w:t>B</w:t>
      </w:r>
      <w:r w:rsidRPr="00F37C3B">
        <w:rPr>
          <w:rFonts w:ascii="Times New Roman" w:hAnsi="Times New Roman" w:cs="Times New Roman"/>
          <w:sz w:val="24"/>
          <w:szCs w:val="24"/>
        </w:rPr>
        <w:t xml:space="preserve"> (</w:t>
      </w:r>
      <w:r w:rsidRPr="0044449E">
        <w:rPr>
          <w:rFonts w:ascii="Times New Roman" w:hAnsi="Times New Roman" w:cs="Times New Roman"/>
          <w:sz w:val="24"/>
          <w:szCs w:val="24"/>
        </w:rPr>
        <w:t xml:space="preserve">No Action Needed), orange </w:t>
      </w:r>
      <w:r w:rsidRPr="00F37C3B">
        <w:rPr>
          <w:rFonts w:ascii="Times New Roman" w:hAnsi="Times New Roman" w:cs="Times New Roman"/>
          <w:sz w:val="24"/>
          <w:szCs w:val="24"/>
        </w:rPr>
        <w:t xml:space="preserve">for </w:t>
      </w:r>
      <w:r w:rsidRPr="0044449E">
        <w:rPr>
          <w:rFonts w:ascii="Times New Roman" w:hAnsi="Times New Roman" w:cs="Times New Roman"/>
          <w:sz w:val="24"/>
          <w:szCs w:val="24"/>
        </w:rPr>
        <w:t>C</w:t>
      </w:r>
      <w:r w:rsidRPr="00F37C3B">
        <w:rPr>
          <w:rFonts w:ascii="Times New Roman" w:hAnsi="Times New Roman" w:cs="Times New Roman"/>
          <w:sz w:val="24"/>
          <w:szCs w:val="24"/>
        </w:rPr>
        <w:t xml:space="preserve"> (</w:t>
      </w:r>
      <w:r w:rsidRPr="0044449E">
        <w:rPr>
          <w:rFonts w:ascii="Times New Roman" w:hAnsi="Times New Roman" w:cs="Times New Roman"/>
          <w:sz w:val="24"/>
          <w:szCs w:val="24"/>
        </w:rPr>
        <w:t xml:space="preserve">Monitor Therapy), red </w:t>
      </w:r>
      <w:r w:rsidRPr="00F37C3B">
        <w:rPr>
          <w:rFonts w:ascii="Times New Roman" w:hAnsi="Times New Roman" w:cs="Times New Roman"/>
          <w:sz w:val="24"/>
          <w:szCs w:val="24"/>
        </w:rPr>
        <w:t xml:space="preserve">for </w:t>
      </w:r>
      <w:r w:rsidRPr="0044449E">
        <w:rPr>
          <w:rFonts w:ascii="Times New Roman" w:hAnsi="Times New Roman" w:cs="Times New Roman"/>
          <w:sz w:val="24"/>
          <w:szCs w:val="24"/>
        </w:rPr>
        <w:t>D</w:t>
      </w:r>
      <w:r w:rsidRPr="00F37C3B">
        <w:rPr>
          <w:rFonts w:ascii="Times New Roman" w:hAnsi="Times New Roman" w:cs="Times New Roman"/>
          <w:sz w:val="24"/>
          <w:szCs w:val="24"/>
        </w:rPr>
        <w:t xml:space="preserve"> (</w:t>
      </w:r>
      <w:r w:rsidRPr="0044449E">
        <w:rPr>
          <w:rFonts w:ascii="Times New Roman" w:hAnsi="Times New Roman" w:cs="Times New Roman"/>
          <w:sz w:val="24"/>
          <w:szCs w:val="24"/>
        </w:rPr>
        <w:t xml:space="preserve">Consider Therapy Modification), and dark red </w:t>
      </w:r>
      <w:r w:rsidRPr="00F37C3B">
        <w:rPr>
          <w:rFonts w:ascii="Times New Roman" w:hAnsi="Times New Roman" w:cs="Times New Roman"/>
          <w:sz w:val="24"/>
          <w:szCs w:val="24"/>
        </w:rPr>
        <w:t xml:space="preserve">for </w:t>
      </w:r>
      <w:r w:rsidRPr="0044449E">
        <w:rPr>
          <w:rFonts w:ascii="Times New Roman" w:hAnsi="Times New Roman" w:cs="Times New Roman"/>
          <w:sz w:val="24"/>
          <w:szCs w:val="24"/>
        </w:rPr>
        <w:t>X</w:t>
      </w:r>
      <w:r w:rsidRPr="00F37C3B">
        <w:rPr>
          <w:rFonts w:ascii="Times New Roman" w:hAnsi="Times New Roman" w:cs="Times New Roman"/>
          <w:sz w:val="24"/>
          <w:szCs w:val="24"/>
        </w:rPr>
        <w:t xml:space="preserve"> (</w:t>
      </w:r>
      <w:r w:rsidRPr="0044449E">
        <w:rPr>
          <w:rFonts w:ascii="Times New Roman" w:hAnsi="Times New Roman" w:cs="Times New Roman"/>
          <w:sz w:val="24"/>
          <w:szCs w:val="24"/>
        </w:rPr>
        <w:t xml:space="preserve">Avoid Combination). </w:t>
      </w:r>
      <w:r w:rsidRPr="00F37C3B">
        <w:rPr>
          <w:rFonts w:ascii="Times New Roman" w:hAnsi="Times New Roman" w:cs="Times New Roman"/>
          <w:sz w:val="24"/>
          <w:szCs w:val="24"/>
        </w:rPr>
        <w:t xml:space="preserve">Drugs not listed in Lexidrug are marked with an asterisk (*). Ferrous citrate and eldecalcitol were assessed using ferrous sulfate and alfacalcidol, respectively, as surrogate agents. This </w:t>
      </w:r>
      <w:r>
        <w:rPr>
          <w:rFonts w:ascii="Times New Roman" w:hAnsi="Times New Roman" w:cs="Times New Roman"/>
          <w:sz w:val="24"/>
          <w:szCs w:val="24"/>
        </w:rPr>
        <w:t>s</w:t>
      </w:r>
      <w:r w:rsidRPr="00215993">
        <w:rPr>
          <w:rFonts w:ascii="Times New Roman" w:hAnsi="Times New Roman" w:cs="Times New Roman"/>
          <w:sz w:val="24"/>
          <w:szCs w:val="24"/>
        </w:rPr>
        <w:t>upplementary</w:t>
      </w:r>
      <w:r w:rsidRPr="00606FBD">
        <w:rPr>
          <w:rFonts w:ascii="Times New Roman" w:hAnsi="Times New Roman" w:cs="Times New Roman"/>
          <w:sz w:val="24"/>
          <w:szCs w:val="24"/>
        </w:rPr>
        <w:t xml:space="preserve"> </w:t>
      </w:r>
      <w:r w:rsidRPr="00F37C3B">
        <w:rPr>
          <w:rFonts w:ascii="Times New Roman" w:hAnsi="Times New Roman" w:cs="Times New Roman"/>
          <w:sz w:val="24"/>
          <w:szCs w:val="24"/>
        </w:rPr>
        <w:t xml:space="preserve">figure provides </w:t>
      </w:r>
      <w:r w:rsidRPr="00606FBD">
        <w:rPr>
          <w:rFonts w:ascii="Times New Roman" w:hAnsi="Times New Roman" w:cs="Times New Roman"/>
          <w:sz w:val="24"/>
          <w:szCs w:val="24"/>
        </w:rPr>
        <w:t xml:space="preserve">the </w:t>
      </w:r>
      <w:r w:rsidRPr="00215993">
        <w:rPr>
          <w:rFonts w:ascii="Times New Roman" w:hAnsi="Times New Roman" w:cs="Times New Roman"/>
          <w:sz w:val="24"/>
          <w:szCs w:val="24"/>
        </w:rPr>
        <w:t>complete set of screened potential DDIs</w:t>
      </w:r>
      <w:r w:rsidRPr="00606FBD">
        <w:rPr>
          <w:rFonts w:ascii="Times New Roman" w:hAnsi="Times New Roman" w:cs="Times New Roman"/>
          <w:sz w:val="24"/>
          <w:szCs w:val="24"/>
        </w:rPr>
        <w:t>,</w:t>
      </w:r>
      <w:r w:rsidRPr="0044449E">
        <w:rPr>
          <w:rFonts w:ascii="Times New Roman" w:hAnsi="Times New Roman" w:cs="Times New Roman"/>
          <w:sz w:val="24"/>
          <w:szCs w:val="24"/>
        </w:rPr>
        <w:t xml:space="preserve"> whereas Fig</w:t>
      </w:r>
      <w:r>
        <w:rPr>
          <w:rFonts w:ascii="Times New Roman" w:hAnsi="Times New Roman" w:cs="Times New Roman"/>
          <w:sz w:val="24"/>
          <w:szCs w:val="24"/>
        </w:rPr>
        <w:t>.</w:t>
      </w:r>
      <w:r w:rsidRPr="0044449E">
        <w:rPr>
          <w:rFonts w:ascii="Times New Roman" w:hAnsi="Times New Roman" w:cs="Times New Roman"/>
          <w:sz w:val="24"/>
          <w:szCs w:val="24"/>
        </w:rPr>
        <w:t xml:space="preserve"> 3 </w:t>
      </w:r>
      <w:r w:rsidRPr="00F37C3B">
        <w:rPr>
          <w:rFonts w:ascii="Times New Roman" w:hAnsi="Times New Roman" w:cs="Times New Roman"/>
          <w:sz w:val="24"/>
          <w:szCs w:val="24"/>
        </w:rPr>
        <w:t>focuses on</w:t>
      </w:r>
      <w:r w:rsidRPr="0044449E">
        <w:rPr>
          <w:rFonts w:ascii="Times New Roman" w:hAnsi="Times New Roman" w:cs="Times New Roman"/>
          <w:sz w:val="24"/>
          <w:szCs w:val="24"/>
        </w:rPr>
        <w:t xml:space="preserve"> clinically relevant interactions requiring monitoring</w:t>
      </w:r>
      <w:r w:rsidRPr="00F37C3B">
        <w:rPr>
          <w:rFonts w:ascii="Times New Roman" w:hAnsi="Times New Roman" w:cs="Times New Roman"/>
          <w:sz w:val="24"/>
          <w:szCs w:val="24"/>
        </w:rPr>
        <w:t>, therapy modification,</w:t>
      </w:r>
      <w:r w:rsidRPr="0044449E">
        <w:rPr>
          <w:rFonts w:ascii="Times New Roman" w:hAnsi="Times New Roman" w:cs="Times New Roman"/>
          <w:sz w:val="24"/>
          <w:szCs w:val="24"/>
        </w:rPr>
        <w:t xml:space="preserve"> or </w:t>
      </w:r>
      <w:r w:rsidRPr="00F37C3B">
        <w:rPr>
          <w:rFonts w:ascii="Times New Roman" w:hAnsi="Times New Roman" w:cs="Times New Roman"/>
          <w:sz w:val="24"/>
          <w:szCs w:val="24"/>
        </w:rPr>
        <w:t xml:space="preserve">avoidance </w:t>
      </w:r>
      <w:r w:rsidRPr="00606FBD">
        <w:rPr>
          <w:rFonts w:ascii="Times New Roman" w:hAnsi="Times New Roman" w:cs="Times New Roman"/>
          <w:sz w:val="24"/>
          <w:szCs w:val="24"/>
        </w:rPr>
        <w:t xml:space="preserve">(i.e., </w:t>
      </w:r>
      <w:r w:rsidRPr="00215993">
        <w:rPr>
          <w:rFonts w:ascii="Times New Roman" w:hAnsi="Times New Roman" w:cs="Times New Roman"/>
          <w:sz w:val="24"/>
          <w:szCs w:val="24"/>
        </w:rPr>
        <w:t>Lexidrug</w:t>
      </w:r>
      <w:r w:rsidRPr="00606FBD">
        <w:rPr>
          <w:rFonts w:ascii="Times New Roman" w:hAnsi="Times New Roman" w:cs="Times New Roman"/>
          <w:sz w:val="24"/>
          <w:szCs w:val="24"/>
        </w:rPr>
        <w:t xml:space="preserve"> risk ratings </w:t>
      </w:r>
      <w:r w:rsidRPr="00215993">
        <w:rPr>
          <w:rFonts w:ascii="Times New Roman" w:hAnsi="Times New Roman" w:cs="Times New Roman"/>
          <w:sz w:val="24"/>
          <w:szCs w:val="24"/>
        </w:rPr>
        <w:t>C, D, and X</w:t>
      </w:r>
      <w:r w:rsidRPr="00606FBD">
        <w:rPr>
          <w:rFonts w:ascii="Times New Roman" w:hAnsi="Times New Roman" w:cs="Times New Roman"/>
          <w:sz w:val="24"/>
          <w:szCs w:val="24"/>
        </w:rPr>
        <w:t>).</w:t>
      </w:r>
    </w:p>
    <w:p w14:paraId="584ACB51" w14:textId="77777777" w:rsidR="00DD6E68" w:rsidRDefault="00DD6E68" w:rsidP="00DD6E68">
      <w:pPr>
        <w:widowControl w:val="0"/>
        <w:spacing w:line="480" w:lineRule="auto"/>
        <w:rPr>
          <w:rFonts w:ascii="ＭＳ 明朝" w:eastAsia="ＭＳ 明朝" w:hAnsi="ＭＳ 明朝" w:cs="ＭＳ 明朝"/>
          <w:sz w:val="24"/>
          <w:lang w:val="en-GB"/>
        </w:rPr>
      </w:pPr>
    </w:p>
    <w:p w14:paraId="5399D3B3" w14:textId="77777777" w:rsidR="00DD6E68" w:rsidRPr="00DD6E68" w:rsidRDefault="00DD6E68" w:rsidP="00DD6E68">
      <w:pPr>
        <w:widowControl w:val="0"/>
        <w:spacing w:line="480" w:lineRule="auto"/>
        <w:rPr>
          <w:rFonts w:ascii="Times New Roman" w:hAnsi="Times New Roman" w:cs="Times New Roman"/>
          <w:sz w:val="24"/>
          <w:lang w:val="en-GB"/>
        </w:rPr>
      </w:pPr>
    </w:p>
    <w:p w14:paraId="62BE8144" w14:textId="77777777" w:rsidR="002150DA" w:rsidRDefault="002150DA"/>
    <w:sectPr w:rsidR="002150DA" w:rsidSect="0064623E">
      <w:pgSz w:w="11906" w:h="16838"/>
      <w:pgMar w:top="1701" w:right="1440" w:bottom="1440" w:left="1440" w:header="850" w:footer="994"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4D459E35" w14:textId="77777777" w:rsidR="00DD6E68" w:rsidRDefault="00000000" w:rsidP="00DD6E68">
      <w:pPr>
        <w:pStyle w:val="aa"/>
        <w:jc w:val="left"/>
      </w:pPr>
      <w:r>
        <w:rPr>
          <w:rStyle w:val="ac"/>
        </w:rPr>
        <w:annotationRef/>
      </w:r>
      <w:r>
        <w:t xml:space="preserve">Please review the Supplementary Information against the </w:t>
      </w:r>
      <w:r>
        <w:rPr>
          <w:i/>
          <w:iCs/>
        </w:rPr>
        <w:t>Scientific Reports</w:t>
      </w:r>
      <w:r>
        <w:t xml:space="preserve"> author guidelines before submission. In particular:</w:t>
      </w:r>
    </w:p>
    <w:p w14:paraId="02D322C9" w14:textId="77777777" w:rsidR="00DD6E68" w:rsidRDefault="00000000" w:rsidP="00DD6E68">
      <w:pPr>
        <w:pStyle w:val="aa"/>
        <w:numPr>
          <w:ilvl w:val="0"/>
          <w:numId w:val="4"/>
        </w:numPr>
        <w:ind w:left="720"/>
        <w:jc w:val="left"/>
      </w:pPr>
      <w:r>
        <w:t xml:space="preserve">Submit the </w:t>
      </w:r>
      <w:r>
        <w:rPr>
          <w:b/>
          <w:bCs/>
        </w:rPr>
        <w:t>Supplementary Information as a separate file</w:t>
      </w:r>
      <w:r>
        <w:t xml:space="preserve"> (preferably in PDF format) together with the manuscript for peer review.</w:t>
      </w:r>
    </w:p>
    <w:p w14:paraId="78EA3017" w14:textId="77777777" w:rsidR="00DD6E68" w:rsidRDefault="00000000" w:rsidP="00DD6E68">
      <w:pPr>
        <w:pStyle w:val="aa"/>
        <w:numPr>
          <w:ilvl w:val="0"/>
          <w:numId w:val="4"/>
        </w:numPr>
        <w:ind w:left="720"/>
        <w:jc w:val="left"/>
      </w:pPr>
      <w:r>
        <w:t xml:space="preserve">Ensure the </w:t>
      </w:r>
      <w:r>
        <w:rPr>
          <w:b/>
          <w:bCs/>
        </w:rPr>
        <w:t>manuscript title and full author list</w:t>
      </w:r>
      <w:r>
        <w:t xml:space="preserve"> appear on the </w:t>
      </w:r>
      <w:r>
        <w:rPr>
          <w:b/>
          <w:bCs/>
        </w:rPr>
        <w:t>first page</w:t>
      </w:r>
      <w:r>
        <w:t xml:space="preserve"> of the Supplementary Information file.</w:t>
      </w:r>
    </w:p>
    <w:p w14:paraId="4B43CF9A" w14:textId="77777777" w:rsidR="00DD6E68" w:rsidRDefault="00000000" w:rsidP="00DD6E68">
      <w:pPr>
        <w:pStyle w:val="aa"/>
        <w:numPr>
          <w:ilvl w:val="0"/>
          <w:numId w:val="4"/>
        </w:numPr>
        <w:ind w:left="720"/>
        <w:jc w:val="left"/>
      </w:pPr>
      <w:r>
        <w:t xml:space="preserve">Include </w:t>
      </w:r>
      <w:r>
        <w:rPr>
          <w:b/>
          <w:bCs/>
        </w:rPr>
        <w:t>all supplementary material</w:t>
      </w:r>
      <w:r>
        <w:t xml:space="preserve"> in the Supplementary Information file rather than in the main manuscript (e.g., avoid appendices or additional information in the main text).</w:t>
      </w:r>
    </w:p>
    <w:p w14:paraId="0380316C" w14:textId="77777777" w:rsidR="00DD6E68" w:rsidRDefault="00000000" w:rsidP="00DD6E68">
      <w:pPr>
        <w:pStyle w:val="aa"/>
        <w:numPr>
          <w:ilvl w:val="0"/>
          <w:numId w:val="4"/>
        </w:numPr>
        <w:ind w:left="720"/>
        <w:jc w:val="left"/>
      </w:pPr>
      <w:r>
        <w:t xml:space="preserve">Cite all supplementary items consistently in the main text using the journal's format (e.g., </w:t>
      </w:r>
      <w:r>
        <w:rPr>
          <w:b/>
          <w:bCs/>
        </w:rPr>
        <w:t>Supplementary Fig. S1</w:t>
      </w:r>
      <w:r>
        <w:t xml:space="preserve">, </w:t>
      </w:r>
      <w:r>
        <w:rPr>
          <w:b/>
          <w:bCs/>
        </w:rPr>
        <w:t>Supplementary Table S1</w:t>
      </w:r>
      <w:r>
        <w:t>).</w:t>
      </w:r>
    </w:p>
    <w:p w14:paraId="67F4B3FB" w14:textId="77777777" w:rsidR="00DD6E68" w:rsidRDefault="00000000" w:rsidP="00DD6E68">
      <w:pPr>
        <w:pStyle w:val="aa"/>
        <w:numPr>
          <w:ilvl w:val="0"/>
          <w:numId w:val="4"/>
        </w:numPr>
        <w:ind w:left="720"/>
        <w:jc w:val="left"/>
      </w:pPr>
      <w:r>
        <w:t xml:space="preserve">Ensure each supplementary figure has a </w:t>
      </w:r>
      <w:r>
        <w:rPr>
          <w:b/>
          <w:bCs/>
        </w:rPr>
        <w:t>title and legend</w:t>
      </w:r>
      <w:r>
        <w:t xml:space="preserve">, and each supplementary table has a </w:t>
      </w:r>
      <w:r>
        <w:rPr>
          <w:b/>
          <w:bCs/>
        </w:rPr>
        <w:t>title</w:t>
      </w:r>
      <w:r>
        <w:t>.</w:t>
      </w:r>
    </w:p>
    <w:p w14:paraId="31A9836B" w14:textId="77777777" w:rsidR="00DD6E68" w:rsidRDefault="00000000" w:rsidP="00DD6E68">
      <w:pPr>
        <w:pStyle w:val="aa"/>
        <w:numPr>
          <w:ilvl w:val="0"/>
          <w:numId w:val="4"/>
        </w:numPr>
        <w:ind w:left="720"/>
        <w:jc w:val="left"/>
      </w:pPr>
      <w:r>
        <w:t xml:space="preserve">Verify that the Supplementary Information is </w:t>
      </w:r>
      <w:r>
        <w:rPr>
          <w:b/>
          <w:bCs/>
        </w:rPr>
        <w:t>complete, clearly presented, and consistent</w:t>
      </w:r>
      <w:r>
        <w:t xml:space="preserve"> with the style and terminology used in the main manuscript, as it is not copyedited or typeset by the journal.</w:t>
      </w:r>
    </w:p>
    <w:p w14:paraId="4F23748A" w14:textId="77777777" w:rsidR="00DD6E68" w:rsidRDefault="00000000" w:rsidP="00DD6E68">
      <w:pPr>
        <w:pStyle w:val="aa"/>
        <w:numPr>
          <w:ilvl w:val="0"/>
          <w:numId w:val="4"/>
        </w:numPr>
        <w:ind w:left="720"/>
        <w:jc w:val="left"/>
      </w:pPr>
      <w:r>
        <w:t xml:space="preserve">Avoid </w:t>
      </w:r>
      <w:r>
        <w:rPr>
          <w:b/>
          <w:bCs/>
        </w:rPr>
        <w:t>"data not shown"</w:t>
      </w:r>
      <w:r>
        <w:t xml:space="preserve"> statements. Any data necessary to support the manuscript that are not deposited in a public repository should be included in the Supplementary Information.</w:t>
      </w:r>
    </w:p>
    <w:p w14:paraId="339F1ED5" w14:textId="77777777" w:rsidR="00DD6E68" w:rsidRDefault="00000000" w:rsidP="00DD6E68">
      <w:pPr>
        <w:pStyle w:val="aa"/>
        <w:numPr>
          <w:ilvl w:val="0"/>
          <w:numId w:val="4"/>
        </w:numPr>
        <w:jc w:val="left"/>
      </w:pPr>
      <w:r>
        <w:t>Perform a final, careful proofread before submission, as post-publication changes to the Supplementary Information require a formal correction.</w:t>
      </w:r>
    </w:p>
    <w:p w14:paraId="739289F6" w14:textId="77777777" w:rsidR="00A34FB6" w:rsidRDefault="00000000">
      <w:r>
        <w:br/>
        <w:t>AI translation:</w:t>
      </w:r>
      <w:r>
        <w:br/>
        <w:t>提出前に、Scientific Reportsの著者ガイドラインに照らして補足情報を確認してください。特に、補足情報ファイルは原稿とは別に（可能であればPDF形式で）提出し、査読のために原稿と一緒にアップロードしてください。補足情報ファイルの最初のページに、原稿タイトルと全著者名を記載してください。補足資料はすべて補足情報ファイルに含め、本文中（例えば、付録や追加情報としての記載）は避けてください。補足項目は、ジャーナルのフォーマット（例：Supplementary Fig. S1, Supplementary Table S1）に従って本文中で一貫して引用してください。各補足図にはタイトルと説明文を付し、各補足表にもタイトルを付与してください。補足情報は、完全で明確に提示されており、本文中で用いられているスタイルおよび用語と一貫していることを確認してください。なお、補足情報はジャーナルによる校正や組版が行われません。"data not shown"という記述は避けてください。原稿をサポートするために必要なデータで、パブリックリポジトリに登録されていないものは、補足情報に含めてください。提出前に、補足情報を入念に最終校正してください。掲載後に補足情報を変更する場合は、正式な訂正手続きが必要となります。</w:t>
      </w:r>
    </w:p>
  </w:comment>
  <w:comment w:id="1" w:author="Editage Author" w:date="2026-08-08T03:22:00Z" w:initials="EA">
    <w:p w14:paraId="3601C28D" w14:textId="77777777" w:rsidR="00A34FB6" w:rsidRDefault="00215993">
      <w:r>
        <w:rPr>
          <w:rStyle w:val="ac"/>
        </w:rPr>
        <w:annotationRef/>
      </w:r>
      <w:r w:rsidR="00000000">
        <w:t>ご便宜上、この納品ファイル内のコメントは、弊社の最新AIベースの翻訳ツールを使用して日本語に翻訳されています（精度は100％ではありません）。また、オリジナルの英文コメントも通常通りご参照いただけます。</w:t>
      </w:r>
    </w:p>
    <w:p w14:paraId="7C917AD4" w14:textId="77777777" w:rsidR="00A34FB6" w:rsidRDefault="00A34FB6"/>
    <w:p w14:paraId="457BD6FD" w14:textId="77777777" w:rsidR="00A34FB6" w:rsidRDefault="00000000">
      <w:r>
        <w:t xml:space="preserve"> しかしながら、原稿の修正や校正者への質問は、校正者は全て英語のネイティブスピーカーであり、日本語はわかりかねますので、必ず英語でお願いします。日本語での修正をご希望の場合は、別途料金が発生いたしますので、まずはsubmissions@editage.com までご連絡ください。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9289F6" w15:done="0"/>
  <w15:commentEx w15:paraId="457BD6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9289F6" w16cid:durableId="3B10BC5C"/>
  <w16cid:commentId w16cid:paraId="457BD6FD" w16cid:durableId="160CC21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84CB3"/>
    <w:multiLevelType w:val="hybridMultilevel"/>
    <w:tmpl w:val="6262C694"/>
    <w:lvl w:ilvl="0" w:tplc="C0BC6582">
      <w:start w:val="1"/>
      <w:numFmt w:val="bullet"/>
      <w:lvlText w:val=""/>
      <w:lvlJc w:val="left"/>
      <w:pPr>
        <w:ind w:left="1440" w:hanging="360"/>
      </w:pPr>
      <w:rPr>
        <w:rFonts w:ascii="Symbol" w:hAnsi="Symbol"/>
      </w:rPr>
    </w:lvl>
    <w:lvl w:ilvl="1" w:tplc="956239AE">
      <w:start w:val="1"/>
      <w:numFmt w:val="bullet"/>
      <w:lvlText w:val=""/>
      <w:lvlJc w:val="left"/>
      <w:pPr>
        <w:ind w:left="1440" w:hanging="360"/>
      </w:pPr>
      <w:rPr>
        <w:rFonts w:ascii="Symbol" w:hAnsi="Symbol"/>
      </w:rPr>
    </w:lvl>
    <w:lvl w:ilvl="2" w:tplc="5B44A7D8">
      <w:start w:val="1"/>
      <w:numFmt w:val="bullet"/>
      <w:lvlText w:val=""/>
      <w:lvlJc w:val="left"/>
      <w:pPr>
        <w:ind w:left="1440" w:hanging="360"/>
      </w:pPr>
      <w:rPr>
        <w:rFonts w:ascii="Symbol" w:hAnsi="Symbol"/>
      </w:rPr>
    </w:lvl>
    <w:lvl w:ilvl="3" w:tplc="B0540F30">
      <w:start w:val="1"/>
      <w:numFmt w:val="bullet"/>
      <w:lvlText w:val=""/>
      <w:lvlJc w:val="left"/>
      <w:pPr>
        <w:ind w:left="1440" w:hanging="360"/>
      </w:pPr>
      <w:rPr>
        <w:rFonts w:ascii="Symbol" w:hAnsi="Symbol"/>
      </w:rPr>
    </w:lvl>
    <w:lvl w:ilvl="4" w:tplc="E1701504">
      <w:start w:val="1"/>
      <w:numFmt w:val="bullet"/>
      <w:lvlText w:val=""/>
      <w:lvlJc w:val="left"/>
      <w:pPr>
        <w:ind w:left="1440" w:hanging="360"/>
      </w:pPr>
      <w:rPr>
        <w:rFonts w:ascii="Symbol" w:hAnsi="Symbol"/>
      </w:rPr>
    </w:lvl>
    <w:lvl w:ilvl="5" w:tplc="B7A6D814">
      <w:start w:val="1"/>
      <w:numFmt w:val="bullet"/>
      <w:lvlText w:val=""/>
      <w:lvlJc w:val="left"/>
      <w:pPr>
        <w:ind w:left="1440" w:hanging="360"/>
      </w:pPr>
      <w:rPr>
        <w:rFonts w:ascii="Symbol" w:hAnsi="Symbol"/>
      </w:rPr>
    </w:lvl>
    <w:lvl w:ilvl="6" w:tplc="1DCEB928">
      <w:start w:val="1"/>
      <w:numFmt w:val="bullet"/>
      <w:lvlText w:val=""/>
      <w:lvlJc w:val="left"/>
      <w:pPr>
        <w:ind w:left="1440" w:hanging="360"/>
      </w:pPr>
      <w:rPr>
        <w:rFonts w:ascii="Symbol" w:hAnsi="Symbol"/>
      </w:rPr>
    </w:lvl>
    <w:lvl w:ilvl="7" w:tplc="C7B29790">
      <w:start w:val="1"/>
      <w:numFmt w:val="bullet"/>
      <w:lvlText w:val=""/>
      <w:lvlJc w:val="left"/>
      <w:pPr>
        <w:ind w:left="1440" w:hanging="360"/>
      </w:pPr>
      <w:rPr>
        <w:rFonts w:ascii="Symbol" w:hAnsi="Symbol"/>
      </w:rPr>
    </w:lvl>
    <w:lvl w:ilvl="8" w:tplc="FBA8F192">
      <w:start w:val="1"/>
      <w:numFmt w:val="bullet"/>
      <w:lvlText w:val=""/>
      <w:lvlJc w:val="left"/>
      <w:pPr>
        <w:ind w:left="1440" w:hanging="360"/>
      </w:pPr>
      <w:rPr>
        <w:rFonts w:ascii="Symbol" w:hAnsi="Symbol"/>
      </w:rPr>
    </w:lvl>
  </w:abstractNum>
  <w:abstractNum w:abstractNumId="1" w15:restartNumberingAfterBreak="0">
    <w:nsid w:val="38066E23"/>
    <w:multiLevelType w:val="hybridMultilevel"/>
    <w:tmpl w:val="F934EE54"/>
    <w:lvl w:ilvl="0" w:tplc="FAAE6C24">
      <w:start w:val="1"/>
      <w:numFmt w:val="bullet"/>
      <w:lvlText w:val=""/>
      <w:lvlJc w:val="left"/>
      <w:pPr>
        <w:ind w:left="1440" w:hanging="360"/>
      </w:pPr>
      <w:rPr>
        <w:rFonts w:ascii="Symbol" w:hAnsi="Symbol"/>
      </w:rPr>
    </w:lvl>
    <w:lvl w:ilvl="1" w:tplc="0EA2B6DC">
      <w:start w:val="1"/>
      <w:numFmt w:val="bullet"/>
      <w:lvlText w:val=""/>
      <w:lvlJc w:val="left"/>
      <w:pPr>
        <w:ind w:left="1440" w:hanging="360"/>
      </w:pPr>
      <w:rPr>
        <w:rFonts w:ascii="Symbol" w:hAnsi="Symbol"/>
      </w:rPr>
    </w:lvl>
    <w:lvl w:ilvl="2" w:tplc="BA84CF8E">
      <w:start w:val="1"/>
      <w:numFmt w:val="bullet"/>
      <w:lvlText w:val=""/>
      <w:lvlJc w:val="left"/>
      <w:pPr>
        <w:ind w:left="1440" w:hanging="360"/>
      </w:pPr>
      <w:rPr>
        <w:rFonts w:ascii="Symbol" w:hAnsi="Symbol"/>
      </w:rPr>
    </w:lvl>
    <w:lvl w:ilvl="3" w:tplc="F83A5E30">
      <w:start w:val="1"/>
      <w:numFmt w:val="bullet"/>
      <w:lvlText w:val=""/>
      <w:lvlJc w:val="left"/>
      <w:pPr>
        <w:ind w:left="1440" w:hanging="360"/>
      </w:pPr>
      <w:rPr>
        <w:rFonts w:ascii="Symbol" w:hAnsi="Symbol"/>
      </w:rPr>
    </w:lvl>
    <w:lvl w:ilvl="4" w:tplc="C9DA5F32">
      <w:start w:val="1"/>
      <w:numFmt w:val="bullet"/>
      <w:lvlText w:val=""/>
      <w:lvlJc w:val="left"/>
      <w:pPr>
        <w:ind w:left="1440" w:hanging="360"/>
      </w:pPr>
      <w:rPr>
        <w:rFonts w:ascii="Symbol" w:hAnsi="Symbol"/>
      </w:rPr>
    </w:lvl>
    <w:lvl w:ilvl="5" w:tplc="9408965E">
      <w:start w:val="1"/>
      <w:numFmt w:val="bullet"/>
      <w:lvlText w:val=""/>
      <w:lvlJc w:val="left"/>
      <w:pPr>
        <w:ind w:left="1440" w:hanging="360"/>
      </w:pPr>
      <w:rPr>
        <w:rFonts w:ascii="Symbol" w:hAnsi="Symbol"/>
      </w:rPr>
    </w:lvl>
    <w:lvl w:ilvl="6" w:tplc="3F30775E">
      <w:start w:val="1"/>
      <w:numFmt w:val="bullet"/>
      <w:lvlText w:val=""/>
      <w:lvlJc w:val="left"/>
      <w:pPr>
        <w:ind w:left="1440" w:hanging="360"/>
      </w:pPr>
      <w:rPr>
        <w:rFonts w:ascii="Symbol" w:hAnsi="Symbol"/>
      </w:rPr>
    </w:lvl>
    <w:lvl w:ilvl="7" w:tplc="F324590E">
      <w:start w:val="1"/>
      <w:numFmt w:val="bullet"/>
      <w:lvlText w:val=""/>
      <w:lvlJc w:val="left"/>
      <w:pPr>
        <w:ind w:left="1440" w:hanging="360"/>
      </w:pPr>
      <w:rPr>
        <w:rFonts w:ascii="Symbol" w:hAnsi="Symbol"/>
      </w:rPr>
    </w:lvl>
    <w:lvl w:ilvl="8" w:tplc="FFBA39D8">
      <w:start w:val="1"/>
      <w:numFmt w:val="bullet"/>
      <w:lvlText w:val=""/>
      <w:lvlJc w:val="left"/>
      <w:pPr>
        <w:ind w:left="1440" w:hanging="360"/>
      </w:pPr>
      <w:rPr>
        <w:rFonts w:ascii="Symbol" w:hAnsi="Symbol"/>
      </w:rPr>
    </w:lvl>
  </w:abstractNum>
  <w:abstractNum w:abstractNumId="2" w15:restartNumberingAfterBreak="0">
    <w:nsid w:val="65BB7CB9"/>
    <w:multiLevelType w:val="hybridMultilevel"/>
    <w:tmpl w:val="14707B30"/>
    <w:lvl w:ilvl="0" w:tplc="6E2AB9D2">
      <w:start w:val="1"/>
      <w:numFmt w:val="bullet"/>
      <w:lvlText w:val=""/>
      <w:lvlJc w:val="left"/>
      <w:pPr>
        <w:ind w:left="1440" w:hanging="360"/>
      </w:pPr>
      <w:rPr>
        <w:rFonts w:ascii="Symbol" w:hAnsi="Symbol"/>
      </w:rPr>
    </w:lvl>
    <w:lvl w:ilvl="1" w:tplc="1DA6E34E">
      <w:start w:val="1"/>
      <w:numFmt w:val="bullet"/>
      <w:lvlText w:val=""/>
      <w:lvlJc w:val="left"/>
      <w:pPr>
        <w:ind w:left="1440" w:hanging="360"/>
      </w:pPr>
      <w:rPr>
        <w:rFonts w:ascii="Symbol" w:hAnsi="Symbol"/>
      </w:rPr>
    </w:lvl>
    <w:lvl w:ilvl="2" w:tplc="B0ECF5B6">
      <w:start w:val="1"/>
      <w:numFmt w:val="bullet"/>
      <w:lvlText w:val=""/>
      <w:lvlJc w:val="left"/>
      <w:pPr>
        <w:ind w:left="1440" w:hanging="360"/>
      </w:pPr>
      <w:rPr>
        <w:rFonts w:ascii="Symbol" w:hAnsi="Symbol"/>
      </w:rPr>
    </w:lvl>
    <w:lvl w:ilvl="3" w:tplc="F54E71CE">
      <w:start w:val="1"/>
      <w:numFmt w:val="bullet"/>
      <w:lvlText w:val=""/>
      <w:lvlJc w:val="left"/>
      <w:pPr>
        <w:ind w:left="1440" w:hanging="360"/>
      </w:pPr>
      <w:rPr>
        <w:rFonts w:ascii="Symbol" w:hAnsi="Symbol"/>
      </w:rPr>
    </w:lvl>
    <w:lvl w:ilvl="4" w:tplc="634820B2">
      <w:start w:val="1"/>
      <w:numFmt w:val="bullet"/>
      <w:lvlText w:val=""/>
      <w:lvlJc w:val="left"/>
      <w:pPr>
        <w:ind w:left="1440" w:hanging="360"/>
      </w:pPr>
      <w:rPr>
        <w:rFonts w:ascii="Symbol" w:hAnsi="Symbol"/>
      </w:rPr>
    </w:lvl>
    <w:lvl w:ilvl="5" w:tplc="A5BC8E9E">
      <w:start w:val="1"/>
      <w:numFmt w:val="bullet"/>
      <w:lvlText w:val=""/>
      <w:lvlJc w:val="left"/>
      <w:pPr>
        <w:ind w:left="1440" w:hanging="360"/>
      </w:pPr>
      <w:rPr>
        <w:rFonts w:ascii="Symbol" w:hAnsi="Symbol"/>
      </w:rPr>
    </w:lvl>
    <w:lvl w:ilvl="6" w:tplc="EAB24FEE">
      <w:start w:val="1"/>
      <w:numFmt w:val="bullet"/>
      <w:lvlText w:val=""/>
      <w:lvlJc w:val="left"/>
      <w:pPr>
        <w:ind w:left="1440" w:hanging="360"/>
      </w:pPr>
      <w:rPr>
        <w:rFonts w:ascii="Symbol" w:hAnsi="Symbol"/>
      </w:rPr>
    </w:lvl>
    <w:lvl w:ilvl="7" w:tplc="CD8E4008">
      <w:start w:val="1"/>
      <w:numFmt w:val="bullet"/>
      <w:lvlText w:val=""/>
      <w:lvlJc w:val="left"/>
      <w:pPr>
        <w:ind w:left="1440" w:hanging="360"/>
      </w:pPr>
      <w:rPr>
        <w:rFonts w:ascii="Symbol" w:hAnsi="Symbol"/>
      </w:rPr>
    </w:lvl>
    <w:lvl w:ilvl="8" w:tplc="EE06E228">
      <w:start w:val="1"/>
      <w:numFmt w:val="bullet"/>
      <w:lvlText w:val=""/>
      <w:lvlJc w:val="left"/>
      <w:pPr>
        <w:ind w:left="1440" w:hanging="360"/>
      </w:pPr>
      <w:rPr>
        <w:rFonts w:ascii="Symbol" w:hAnsi="Symbol"/>
      </w:rPr>
    </w:lvl>
  </w:abstractNum>
  <w:abstractNum w:abstractNumId="3" w15:restartNumberingAfterBreak="0">
    <w:nsid w:val="75DB29BD"/>
    <w:multiLevelType w:val="hybridMultilevel"/>
    <w:tmpl w:val="C6E27472"/>
    <w:lvl w:ilvl="0" w:tplc="1994AB6E">
      <w:start w:val="1"/>
      <w:numFmt w:val="bullet"/>
      <w:lvlText w:val=""/>
      <w:lvlJc w:val="left"/>
      <w:pPr>
        <w:ind w:left="1440" w:hanging="360"/>
      </w:pPr>
      <w:rPr>
        <w:rFonts w:ascii="Symbol" w:hAnsi="Symbol"/>
      </w:rPr>
    </w:lvl>
    <w:lvl w:ilvl="1" w:tplc="1A06CDF0">
      <w:start w:val="1"/>
      <w:numFmt w:val="bullet"/>
      <w:lvlText w:val=""/>
      <w:lvlJc w:val="left"/>
      <w:pPr>
        <w:ind w:left="1440" w:hanging="360"/>
      </w:pPr>
      <w:rPr>
        <w:rFonts w:ascii="Symbol" w:hAnsi="Symbol"/>
      </w:rPr>
    </w:lvl>
    <w:lvl w:ilvl="2" w:tplc="05141EF8">
      <w:start w:val="1"/>
      <w:numFmt w:val="bullet"/>
      <w:lvlText w:val=""/>
      <w:lvlJc w:val="left"/>
      <w:pPr>
        <w:ind w:left="1440" w:hanging="360"/>
      </w:pPr>
      <w:rPr>
        <w:rFonts w:ascii="Symbol" w:hAnsi="Symbol"/>
      </w:rPr>
    </w:lvl>
    <w:lvl w:ilvl="3" w:tplc="676E5338">
      <w:start w:val="1"/>
      <w:numFmt w:val="bullet"/>
      <w:lvlText w:val=""/>
      <w:lvlJc w:val="left"/>
      <w:pPr>
        <w:ind w:left="1440" w:hanging="360"/>
      </w:pPr>
      <w:rPr>
        <w:rFonts w:ascii="Symbol" w:hAnsi="Symbol"/>
      </w:rPr>
    </w:lvl>
    <w:lvl w:ilvl="4" w:tplc="F9164E4A">
      <w:start w:val="1"/>
      <w:numFmt w:val="bullet"/>
      <w:lvlText w:val=""/>
      <w:lvlJc w:val="left"/>
      <w:pPr>
        <w:ind w:left="1440" w:hanging="360"/>
      </w:pPr>
      <w:rPr>
        <w:rFonts w:ascii="Symbol" w:hAnsi="Symbol"/>
      </w:rPr>
    </w:lvl>
    <w:lvl w:ilvl="5" w:tplc="D1FC27A8">
      <w:start w:val="1"/>
      <w:numFmt w:val="bullet"/>
      <w:lvlText w:val=""/>
      <w:lvlJc w:val="left"/>
      <w:pPr>
        <w:ind w:left="1440" w:hanging="360"/>
      </w:pPr>
      <w:rPr>
        <w:rFonts w:ascii="Symbol" w:hAnsi="Symbol"/>
      </w:rPr>
    </w:lvl>
    <w:lvl w:ilvl="6" w:tplc="B94AE2A2">
      <w:start w:val="1"/>
      <w:numFmt w:val="bullet"/>
      <w:lvlText w:val=""/>
      <w:lvlJc w:val="left"/>
      <w:pPr>
        <w:ind w:left="1440" w:hanging="360"/>
      </w:pPr>
      <w:rPr>
        <w:rFonts w:ascii="Symbol" w:hAnsi="Symbol"/>
      </w:rPr>
    </w:lvl>
    <w:lvl w:ilvl="7" w:tplc="205001F2">
      <w:start w:val="1"/>
      <w:numFmt w:val="bullet"/>
      <w:lvlText w:val=""/>
      <w:lvlJc w:val="left"/>
      <w:pPr>
        <w:ind w:left="1440" w:hanging="360"/>
      </w:pPr>
      <w:rPr>
        <w:rFonts w:ascii="Symbol" w:hAnsi="Symbol"/>
      </w:rPr>
    </w:lvl>
    <w:lvl w:ilvl="8" w:tplc="05E69588">
      <w:start w:val="1"/>
      <w:numFmt w:val="bullet"/>
      <w:lvlText w:val=""/>
      <w:lvlJc w:val="left"/>
      <w:pPr>
        <w:ind w:left="1440" w:hanging="360"/>
      </w:pPr>
      <w:rPr>
        <w:rFonts w:ascii="Symbol" w:hAnsi="Symbol"/>
      </w:rPr>
    </w:lvl>
  </w:abstractNum>
  <w:num w:numId="1" w16cid:durableId="1181049714">
    <w:abstractNumId w:val="0"/>
  </w:num>
  <w:num w:numId="2" w16cid:durableId="1335648049">
    <w:abstractNumId w:val="1"/>
  </w:num>
  <w:num w:numId="3" w16cid:durableId="640698789">
    <w:abstractNumId w:val="2"/>
  </w:num>
  <w:num w:numId="4" w16cid:durableId="6354564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trackRevisions/>
  <w:defaultTabStop w:val="720"/>
  <w:drawingGridHorizontalSpacing w:val="120"/>
  <w:displayHorizontalDrawingGridEvery w:val="2"/>
  <w:displayVerticalDrawingGridEvery w:val="2"/>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68"/>
    <w:rsid w:val="0004089B"/>
    <w:rsid w:val="00046CB2"/>
    <w:rsid w:val="00057A2B"/>
    <w:rsid w:val="001032BF"/>
    <w:rsid w:val="00122780"/>
    <w:rsid w:val="00155891"/>
    <w:rsid w:val="00193056"/>
    <w:rsid w:val="001E16D9"/>
    <w:rsid w:val="002150DA"/>
    <w:rsid w:val="00215993"/>
    <w:rsid w:val="0025018B"/>
    <w:rsid w:val="00271F00"/>
    <w:rsid w:val="00296721"/>
    <w:rsid w:val="00315735"/>
    <w:rsid w:val="003216CA"/>
    <w:rsid w:val="003304FF"/>
    <w:rsid w:val="00330D51"/>
    <w:rsid w:val="00332F74"/>
    <w:rsid w:val="003361F4"/>
    <w:rsid w:val="003652C1"/>
    <w:rsid w:val="0039403F"/>
    <w:rsid w:val="003A100F"/>
    <w:rsid w:val="003D2982"/>
    <w:rsid w:val="003D7CEC"/>
    <w:rsid w:val="003E4B5A"/>
    <w:rsid w:val="0044109D"/>
    <w:rsid w:val="0044449E"/>
    <w:rsid w:val="004D20BC"/>
    <w:rsid w:val="0050412F"/>
    <w:rsid w:val="005546C0"/>
    <w:rsid w:val="005A3D96"/>
    <w:rsid w:val="005E1238"/>
    <w:rsid w:val="005F07DB"/>
    <w:rsid w:val="00606FBD"/>
    <w:rsid w:val="00607BEC"/>
    <w:rsid w:val="0062569B"/>
    <w:rsid w:val="0064623E"/>
    <w:rsid w:val="00652A75"/>
    <w:rsid w:val="00671F7D"/>
    <w:rsid w:val="00675DEC"/>
    <w:rsid w:val="00686F69"/>
    <w:rsid w:val="006C2F95"/>
    <w:rsid w:val="006E1EAF"/>
    <w:rsid w:val="006F67FA"/>
    <w:rsid w:val="00732465"/>
    <w:rsid w:val="007370C4"/>
    <w:rsid w:val="00756E26"/>
    <w:rsid w:val="0078162C"/>
    <w:rsid w:val="00797DAE"/>
    <w:rsid w:val="007A1F8F"/>
    <w:rsid w:val="007C3CEE"/>
    <w:rsid w:val="008F2962"/>
    <w:rsid w:val="008F4962"/>
    <w:rsid w:val="00957C6D"/>
    <w:rsid w:val="009E7617"/>
    <w:rsid w:val="00A34FB6"/>
    <w:rsid w:val="00A42039"/>
    <w:rsid w:val="00A927FE"/>
    <w:rsid w:val="00A93BD4"/>
    <w:rsid w:val="00AA7594"/>
    <w:rsid w:val="00AD4323"/>
    <w:rsid w:val="00B433B5"/>
    <w:rsid w:val="00B81C8F"/>
    <w:rsid w:val="00BB1CEA"/>
    <w:rsid w:val="00BC1979"/>
    <w:rsid w:val="00BE70D3"/>
    <w:rsid w:val="00BF5008"/>
    <w:rsid w:val="00C26A5C"/>
    <w:rsid w:val="00C43F1F"/>
    <w:rsid w:val="00C56A49"/>
    <w:rsid w:val="00C678C0"/>
    <w:rsid w:val="00C9546D"/>
    <w:rsid w:val="00CE3F25"/>
    <w:rsid w:val="00D01A8C"/>
    <w:rsid w:val="00D1056B"/>
    <w:rsid w:val="00D21F39"/>
    <w:rsid w:val="00D41282"/>
    <w:rsid w:val="00D576DD"/>
    <w:rsid w:val="00DA03B0"/>
    <w:rsid w:val="00DD6E68"/>
    <w:rsid w:val="00E90BBA"/>
    <w:rsid w:val="00E94302"/>
    <w:rsid w:val="00EA4BE7"/>
    <w:rsid w:val="00EC614F"/>
    <w:rsid w:val="00EE20D8"/>
    <w:rsid w:val="00F2325B"/>
    <w:rsid w:val="00F24017"/>
    <w:rsid w:val="00F33D13"/>
    <w:rsid w:val="00F37C3B"/>
    <w:rsid w:val="00FE32B4"/>
    <w:rsid w:val="00FF7C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4E13749"/>
  <w15:chartTrackingRefBased/>
  <w15:docId w15:val="{BA39D98C-54F7-43B1-9423-769DAE26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D6E68"/>
    <w:pPr>
      <w:spacing w:after="0" w:line="240" w:lineRule="auto"/>
      <w:jc w:val="both"/>
    </w:pPr>
    <w:rPr>
      <w:rFonts w:ascii="游明朝" w:eastAsia="游明朝" w:hAnsi="游明朝" w:cs="ＭＳ Ｐゴシック"/>
      <w:sz w:val="21"/>
      <w:szCs w:val="21"/>
      <w:lang w:eastAsia="ja-JP"/>
      <w14:ligatures w14:val="none"/>
    </w:rPr>
  </w:style>
  <w:style w:type="paragraph" w:styleId="1">
    <w:name w:val="heading 1"/>
    <w:basedOn w:val="a"/>
    <w:next w:val="a"/>
    <w:link w:val="10"/>
    <w:uiPriority w:val="9"/>
    <w:qFormat/>
    <w:rsid w:val="00DD6E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D6E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D6E6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D6E6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D6E6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D6E68"/>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D6E68"/>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D6E68"/>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D6E68"/>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D6E68"/>
    <w:rPr>
      <w:rFonts w:asciiTheme="majorHAnsi" w:eastAsiaTheme="majorEastAsia" w:hAnsiTheme="majorHAnsi" w:cstheme="majorBidi"/>
      <w:color w:val="0F4761" w:themeColor="accent1" w:themeShade="BF"/>
      <w:sz w:val="40"/>
      <w:szCs w:val="40"/>
    </w:rPr>
  </w:style>
  <w:style w:type="character" w:customStyle="1" w:styleId="20">
    <w:name w:val="見出し 2 (文字)"/>
    <w:basedOn w:val="a0"/>
    <w:link w:val="2"/>
    <w:uiPriority w:val="9"/>
    <w:semiHidden/>
    <w:rsid w:val="00DD6E68"/>
    <w:rPr>
      <w:rFonts w:asciiTheme="majorHAnsi" w:eastAsiaTheme="majorEastAsia" w:hAnsiTheme="majorHAnsi" w:cstheme="majorBidi"/>
      <w:color w:val="0F4761" w:themeColor="accent1" w:themeShade="BF"/>
      <w:sz w:val="32"/>
      <w:szCs w:val="32"/>
    </w:rPr>
  </w:style>
  <w:style w:type="character" w:customStyle="1" w:styleId="30">
    <w:name w:val="見出し 3 (文字)"/>
    <w:basedOn w:val="a0"/>
    <w:link w:val="3"/>
    <w:uiPriority w:val="9"/>
    <w:semiHidden/>
    <w:rsid w:val="00DD6E68"/>
    <w:rPr>
      <w:rFonts w:eastAsiaTheme="majorEastAsia" w:cstheme="majorBidi"/>
      <w:color w:val="0F4761" w:themeColor="accent1" w:themeShade="BF"/>
      <w:sz w:val="28"/>
      <w:szCs w:val="28"/>
    </w:rPr>
  </w:style>
  <w:style w:type="character" w:customStyle="1" w:styleId="40">
    <w:name w:val="見出し 4 (文字)"/>
    <w:basedOn w:val="a0"/>
    <w:link w:val="4"/>
    <w:uiPriority w:val="9"/>
    <w:semiHidden/>
    <w:rsid w:val="00DD6E68"/>
    <w:rPr>
      <w:rFonts w:eastAsiaTheme="majorEastAsia" w:cstheme="majorBidi"/>
      <w:i/>
      <w:iCs/>
      <w:color w:val="0F4761" w:themeColor="accent1" w:themeShade="BF"/>
    </w:rPr>
  </w:style>
  <w:style w:type="character" w:customStyle="1" w:styleId="50">
    <w:name w:val="見出し 5 (文字)"/>
    <w:basedOn w:val="a0"/>
    <w:link w:val="5"/>
    <w:uiPriority w:val="9"/>
    <w:semiHidden/>
    <w:rsid w:val="00DD6E68"/>
    <w:rPr>
      <w:rFonts w:eastAsiaTheme="majorEastAsia" w:cstheme="majorBidi"/>
      <w:color w:val="0F4761" w:themeColor="accent1" w:themeShade="BF"/>
    </w:rPr>
  </w:style>
  <w:style w:type="character" w:customStyle="1" w:styleId="60">
    <w:name w:val="見出し 6 (文字)"/>
    <w:basedOn w:val="a0"/>
    <w:link w:val="6"/>
    <w:uiPriority w:val="9"/>
    <w:semiHidden/>
    <w:rsid w:val="00DD6E68"/>
    <w:rPr>
      <w:rFonts w:eastAsiaTheme="majorEastAsia" w:cstheme="majorBidi"/>
      <w:i/>
      <w:iCs/>
      <w:color w:val="595959" w:themeColor="text1" w:themeTint="A6"/>
    </w:rPr>
  </w:style>
  <w:style w:type="character" w:customStyle="1" w:styleId="70">
    <w:name w:val="見出し 7 (文字)"/>
    <w:basedOn w:val="a0"/>
    <w:link w:val="7"/>
    <w:uiPriority w:val="9"/>
    <w:semiHidden/>
    <w:rsid w:val="00DD6E68"/>
    <w:rPr>
      <w:rFonts w:eastAsiaTheme="majorEastAsia" w:cstheme="majorBidi"/>
      <w:color w:val="595959" w:themeColor="text1" w:themeTint="A6"/>
    </w:rPr>
  </w:style>
  <w:style w:type="character" w:customStyle="1" w:styleId="80">
    <w:name w:val="見出し 8 (文字)"/>
    <w:basedOn w:val="a0"/>
    <w:link w:val="8"/>
    <w:uiPriority w:val="9"/>
    <w:semiHidden/>
    <w:rsid w:val="00DD6E68"/>
    <w:rPr>
      <w:rFonts w:eastAsiaTheme="majorEastAsia" w:cstheme="majorBidi"/>
      <w:i/>
      <w:iCs/>
      <w:color w:val="272727" w:themeColor="text1" w:themeTint="D8"/>
    </w:rPr>
  </w:style>
  <w:style w:type="character" w:customStyle="1" w:styleId="90">
    <w:name w:val="見出し 9 (文字)"/>
    <w:basedOn w:val="a0"/>
    <w:link w:val="9"/>
    <w:uiPriority w:val="9"/>
    <w:semiHidden/>
    <w:rsid w:val="00DD6E68"/>
    <w:rPr>
      <w:rFonts w:eastAsiaTheme="majorEastAsia" w:cstheme="majorBidi"/>
      <w:color w:val="272727" w:themeColor="text1" w:themeTint="D8"/>
    </w:rPr>
  </w:style>
  <w:style w:type="paragraph" w:styleId="a3">
    <w:name w:val="Title"/>
    <w:basedOn w:val="a"/>
    <w:next w:val="a"/>
    <w:link w:val="a4"/>
    <w:uiPriority w:val="10"/>
    <w:qFormat/>
    <w:rsid w:val="00DD6E68"/>
    <w:pPr>
      <w:spacing w:after="80"/>
      <w:contextualSpacing/>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D6E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D6E68"/>
    <w:pPr>
      <w:numPr>
        <w:ilvl w:val="1"/>
      </w:numPr>
    </w:pPr>
    <w:rPr>
      <w:rFonts w:eastAsiaTheme="majorEastAsia" w:cstheme="majorBidi"/>
      <w:color w:val="595959" w:themeColor="text1" w:themeTint="A6"/>
      <w:spacing w:val="15"/>
      <w:sz w:val="28"/>
      <w:szCs w:val="28"/>
    </w:rPr>
  </w:style>
  <w:style w:type="character" w:customStyle="1" w:styleId="a6">
    <w:name w:val="副題 (文字)"/>
    <w:basedOn w:val="a0"/>
    <w:link w:val="a5"/>
    <w:uiPriority w:val="11"/>
    <w:rsid w:val="00DD6E6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D6E68"/>
    <w:pPr>
      <w:spacing w:before="160"/>
      <w:jc w:val="center"/>
    </w:pPr>
    <w:rPr>
      <w:i/>
      <w:iCs/>
      <w:color w:val="404040" w:themeColor="text1" w:themeTint="BF"/>
    </w:rPr>
  </w:style>
  <w:style w:type="character" w:customStyle="1" w:styleId="a8">
    <w:name w:val="引用文 (文字)"/>
    <w:basedOn w:val="a0"/>
    <w:link w:val="a7"/>
    <w:uiPriority w:val="29"/>
    <w:rsid w:val="00DD6E68"/>
    <w:rPr>
      <w:i/>
      <w:iCs/>
      <w:color w:val="404040" w:themeColor="text1" w:themeTint="BF"/>
    </w:rPr>
  </w:style>
  <w:style w:type="paragraph" w:styleId="a9">
    <w:name w:val="List Paragraph"/>
    <w:basedOn w:val="a"/>
    <w:uiPriority w:val="34"/>
    <w:qFormat/>
    <w:rsid w:val="00DD6E68"/>
    <w:pPr>
      <w:ind w:left="720"/>
      <w:contextualSpacing/>
    </w:pPr>
  </w:style>
  <w:style w:type="character" w:styleId="21">
    <w:name w:val="Intense Emphasis"/>
    <w:basedOn w:val="a0"/>
    <w:uiPriority w:val="21"/>
    <w:qFormat/>
    <w:rsid w:val="00DD6E68"/>
    <w:rPr>
      <w:i/>
      <w:iCs/>
      <w:color w:val="0F4761" w:themeColor="accent1" w:themeShade="BF"/>
    </w:rPr>
  </w:style>
  <w:style w:type="paragraph" w:styleId="22">
    <w:name w:val="Intense Quote"/>
    <w:basedOn w:val="a"/>
    <w:next w:val="a"/>
    <w:link w:val="23"/>
    <w:uiPriority w:val="30"/>
    <w:qFormat/>
    <w:rsid w:val="00DD6E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D6E68"/>
    <w:rPr>
      <w:i/>
      <w:iCs/>
      <w:color w:val="0F4761" w:themeColor="accent1" w:themeShade="BF"/>
    </w:rPr>
  </w:style>
  <w:style w:type="character" w:styleId="24">
    <w:name w:val="Intense Reference"/>
    <w:basedOn w:val="a0"/>
    <w:uiPriority w:val="32"/>
    <w:qFormat/>
    <w:rsid w:val="00DD6E68"/>
    <w:rPr>
      <w:b/>
      <w:bCs/>
      <w:smallCaps/>
      <w:color w:val="0F4761" w:themeColor="accent1" w:themeShade="BF"/>
      <w:spacing w:val="5"/>
    </w:rPr>
  </w:style>
  <w:style w:type="paragraph" w:styleId="aa">
    <w:name w:val="annotation text"/>
    <w:basedOn w:val="a"/>
    <w:link w:val="ab"/>
    <w:uiPriority w:val="99"/>
    <w:rsid w:val="00DD6E68"/>
    <w:pPr>
      <w:widowControl w:val="0"/>
    </w:pPr>
    <w:rPr>
      <w:rFonts w:asciiTheme="minorHAnsi" w:eastAsiaTheme="minorEastAsia" w:hAnsiTheme="minorHAnsi" w:cs="Times New Roman"/>
      <w:sz w:val="20"/>
      <w:szCs w:val="20"/>
    </w:rPr>
  </w:style>
  <w:style w:type="character" w:customStyle="1" w:styleId="ab">
    <w:name w:val="コメント文字列 (文字)"/>
    <w:basedOn w:val="a0"/>
    <w:link w:val="aa"/>
    <w:uiPriority w:val="99"/>
    <w:rsid w:val="00DD6E68"/>
    <w:rPr>
      <w:rFonts w:eastAsiaTheme="minorEastAsia" w:cs="Times New Roman"/>
      <w:sz w:val="20"/>
      <w:szCs w:val="20"/>
      <w:lang w:eastAsia="ja-JP"/>
      <w14:ligatures w14:val="none"/>
    </w:rPr>
  </w:style>
  <w:style w:type="character" w:styleId="ac">
    <w:name w:val="annotation reference"/>
    <w:basedOn w:val="a0"/>
    <w:uiPriority w:val="99"/>
    <w:rsid w:val="00DD6E68"/>
    <w:rPr>
      <w:rFonts w:cs="Times New Roman"/>
      <w:sz w:val="16"/>
      <w:szCs w:val="16"/>
    </w:rPr>
  </w:style>
  <w:style w:type="paragraph" w:styleId="ad">
    <w:name w:val="annotation subject"/>
    <w:basedOn w:val="aa"/>
    <w:next w:val="aa"/>
    <w:link w:val="ae"/>
    <w:uiPriority w:val="99"/>
    <w:semiHidden/>
    <w:unhideWhenUsed/>
    <w:rsid w:val="00DD6E68"/>
    <w:pPr>
      <w:widowControl/>
    </w:pPr>
    <w:rPr>
      <w:rFonts w:ascii="游明朝" w:eastAsia="游明朝" w:hAnsi="游明朝" w:cs="ＭＳ Ｐゴシック"/>
      <w:b/>
      <w:bCs/>
    </w:rPr>
  </w:style>
  <w:style w:type="character" w:customStyle="1" w:styleId="ae">
    <w:name w:val="コメント内容 (文字)"/>
    <w:basedOn w:val="ab"/>
    <w:link w:val="ad"/>
    <w:uiPriority w:val="99"/>
    <w:semiHidden/>
    <w:rsid w:val="00DD6E68"/>
    <w:rPr>
      <w:rFonts w:ascii="游明朝" w:eastAsia="游明朝" w:hAnsi="游明朝" w:cs="ＭＳ Ｐゴシック"/>
      <w:b/>
      <w:bCs/>
      <w:sz w:val="20"/>
      <w:szCs w:val="20"/>
      <w:lang w:eastAsia="ja-JP"/>
      <w14:ligatures w14:val="none"/>
    </w:rPr>
  </w:style>
  <w:style w:type="paragraph" w:customStyle="1" w:styleId="Normal0">
    <w:name w:val="Normal_0"/>
    <w:basedOn w:val="a"/>
    <w:rsid w:val="00DD6E68"/>
    <w:rPr>
      <w14:ligatures w14:val="standardContextual"/>
    </w:rPr>
  </w:style>
  <w:style w:type="paragraph" w:styleId="af">
    <w:name w:val="Revision"/>
    <w:hidden/>
    <w:uiPriority w:val="99"/>
    <w:semiHidden/>
    <w:rsid w:val="00122780"/>
    <w:pPr>
      <w:spacing w:after="0" w:line="240" w:lineRule="auto"/>
    </w:pPr>
    <w:rPr>
      <w:rFonts w:ascii="游明朝" w:eastAsia="游明朝" w:hAnsi="游明朝" w:cs="ＭＳ Ｐゴシック"/>
      <w:sz w:val="21"/>
      <w:szCs w:val="21"/>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Shotaro Hagiwara</cp:lastModifiedBy>
  <cp:revision>4</cp:revision>
  <dcterms:created xsi:type="dcterms:W3CDTF">2026-08-07T19:06:00Z</dcterms:created>
  <dcterms:modified xsi:type="dcterms:W3CDTF">2026-08-09T13:05:00Z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987877c5-24a3-4915-b2b6-9cb1b0942256</vt:lpwstr>
  </property>
</Properties>
</file>