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49B7" w14:textId="77777777" w:rsidR="00EB4ED0" w:rsidRPr="00DB02FF" w:rsidRDefault="00EB4ED0" w:rsidP="00EB4ED0">
      <w:pPr>
        <w:pStyle w:val="Caption"/>
        <w:keepNext/>
        <w:ind w:left="-993"/>
        <w:rPr>
          <w:b/>
          <w:bCs/>
          <w:i w:val="0"/>
          <w:iCs w:val="0"/>
          <w:color w:val="auto"/>
        </w:rPr>
      </w:pPr>
      <w:r w:rsidRPr="00DB02FF">
        <w:rPr>
          <w:b/>
          <w:bCs/>
          <w:i w:val="0"/>
          <w:iCs w:val="0"/>
          <w:color w:val="auto"/>
        </w:rPr>
        <w:t>Supplementary Table 1: Equity analysis of included documents: service entitlement, barriers, cultural responsiveness, rights-based approach, and equity principles (n=34)</w:t>
      </w:r>
    </w:p>
    <w:tbl>
      <w:tblPr>
        <w:tblStyle w:val="TableGridLight"/>
        <w:tblW w:w="16019" w:type="dxa"/>
        <w:tblInd w:w="-885" w:type="dxa"/>
        <w:tblLook w:val="0000" w:firstRow="0" w:lastRow="0" w:firstColumn="0" w:lastColumn="0" w:noHBand="0" w:noVBand="0"/>
      </w:tblPr>
      <w:tblGrid>
        <w:gridCol w:w="358"/>
        <w:gridCol w:w="1344"/>
        <w:gridCol w:w="2126"/>
        <w:gridCol w:w="3402"/>
        <w:gridCol w:w="2977"/>
        <w:gridCol w:w="2835"/>
        <w:gridCol w:w="2977"/>
      </w:tblGrid>
      <w:tr w:rsidR="00EB4ED0" w:rsidRPr="00DB02FF" w14:paraId="0E01C764" w14:textId="77777777" w:rsidTr="00EB4ED0">
        <w:trPr>
          <w:tblHeader/>
        </w:trPr>
        <w:tc>
          <w:tcPr>
            <w:tcW w:w="358" w:type="dxa"/>
            <w:shd w:val="clear" w:color="auto" w:fill="000000" w:themeFill="text1"/>
            <w:vAlign w:val="center"/>
          </w:tcPr>
          <w:p w14:paraId="1712D596" w14:textId="77777777" w:rsidR="00EB4ED0" w:rsidRPr="00DB02FF" w:rsidRDefault="00EB4ED0" w:rsidP="007406A9">
            <w:pPr>
              <w:spacing w:after="0"/>
              <w:ind w:firstLine="0"/>
              <w:jc w:val="center"/>
              <w:rPr>
                <w:rFonts w:cs="Calibri"/>
                <w:b/>
                <w:bCs/>
                <w:color w:val="FFFFFF"/>
                <w:sz w:val="14"/>
              </w:rPr>
            </w:pPr>
          </w:p>
        </w:tc>
        <w:tc>
          <w:tcPr>
            <w:tcW w:w="1344" w:type="dxa"/>
            <w:shd w:val="clear" w:color="auto" w:fill="000000" w:themeFill="text1"/>
          </w:tcPr>
          <w:p w14:paraId="4898A8BE" w14:textId="77777777" w:rsidR="00EB4ED0" w:rsidRPr="00DB02FF" w:rsidRDefault="00EB4ED0" w:rsidP="007406A9">
            <w:pPr>
              <w:spacing w:after="0"/>
              <w:ind w:firstLine="0"/>
              <w:rPr>
                <w:rFonts w:cs="Calibri"/>
                <w:sz w:val="14"/>
              </w:rPr>
            </w:pPr>
            <w:r w:rsidRPr="00DB02FF">
              <w:rPr>
                <w:rFonts w:cs="Calibri"/>
                <w:b/>
                <w:bCs/>
                <w:color w:val="FFFFFF"/>
                <w:sz w:val="14"/>
              </w:rPr>
              <w:t xml:space="preserve">Document’s Title </w:t>
            </w:r>
          </w:p>
        </w:tc>
        <w:tc>
          <w:tcPr>
            <w:tcW w:w="2126" w:type="dxa"/>
            <w:shd w:val="clear" w:color="auto" w:fill="000000" w:themeFill="text1"/>
          </w:tcPr>
          <w:p w14:paraId="238E6548" w14:textId="77777777" w:rsidR="00EB4ED0" w:rsidRPr="00DB02FF" w:rsidRDefault="00EB4ED0" w:rsidP="007406A9">
            <w:pPr>
              <w:spacing w:after="0"/>
              <w:ind w:firstLine="0"/>
              <w:rPr>
                <w:rFonts w:cs="Calibri"/>
                <w:sz w:val="14"/>
              </w:rPr>
            </w:pPr>
            <w:r w:rsidRPr="00DB02FF">
              <w:rPr>
                <w:rFonts w:cs="Calibri"/>
                <w:b/>
                <w:bCs/>
                <w:color w:val="FFFFFF"/>
                <w:sz w:val="14"/>
              </w:rPr>
              <w:t>Eligibility Criteria</w:t>
            </w:r>
          </w:p>
          <w:p w14:paraId="28D02FFC" w14:textId="77777777" w:rsidR="00EB4ED0" w:rsidRPr="00DB02FF" w:rsidRDefault="00EB4ED0" w:rsidP="007406A9">
            <w:pPr>
              <w:spacing w:after="0"/>
              <w:ind w:firstLine="0"/>
              <w:rPr>
                <w:rFonts w:cs="Calibri"/>
                <w:sz w:val="14"/>
              </w:rPr>
            </w:pPr>
            <w:r w:rsidRPr="00DB02FF">
              <w:rPr>
                <w:rFonts w:cs="Calibri"/>
                <w:b/>
                <w:bCs/>
                <w:color w:val="FFFFFF"/>
                <w:sz w:val="14"/>
              </w:rPr>
              <w:t>(Who is entitled, visa/residency basis)</w:t>
            </w:r>
          </w:p>
        </w:tc>
        <w:tc>
          <w:tcPr>
            <w:tcW w:w="3402" w:type="dxa"/>
            <w:shd w:val="clear" w:color="auto" w:fill="000000" w:themeFill="text1"/>
          </w:tcPr>
          <w:p w14:paraId="55CD8C32" w14:textId="77777777" w:rsidR="00EB4ED0" w:rsidRPr="00DB02FF" w:rsidRDefault="00EB4ED0" w:rsidP="007406A9">
            <w:pPr>
              <w:spacing w:after="0"/>
              <w:ind w:firstLine="0"/>
              <w:rPr>
                <w:rFonts w:cs="Calibri"/>
                <w:sz w:val="14"/>
              </w:rPr>
            </w:pPr>
            <w:r w:rsidRPr="00DB02FF">
              <w:rPr>
                <w:rFonts w:cs="Calibri"/>
                <w:b/>
                <w:bCs/>
                <w:color w:val="FFFFFF"/>
                <w:sz w:val="14"/>
              </w:rPr>
              <w:t>Barriers Addressed</w:t>
            </w:r>
          </w:p>
          <w:p w14:paraId="4988361A" w14:textId="77777777" w:rsidR="00EB4ED0" w:rsidRPr="00DB02FF" w:rsidRDefault="00EB4ED0" w:rsidP="007406A9">
            <w:pPr>
              <w:spacing w:after="0"/>
              <w:ind w:firstLine="0"/>
              <w:rPr>
                <w:rFonts w:cs="Calibri"/>
                <w:sz w:val="14"/>
              </w:rPr>
            </w:pPr>
            <w:r w:rsidRPr="00DB02FF">
              <w:rPr>
                <w:rFonts w:cs="Calibri"/>
                <w:b/>
                <w:bCs/>
                <w:color w:val="FFFFFF"/>
                <w:sz w:val="14"/>
              </w:rPr>
              <w:t>(Language, cultural, financial, legal, geographic)</w:t>
            </w:r>
          </w:p>
        </w:tc>
        <w:tc>
          <w:tcPr>
            <w:tcW w:w="2977" w:type="dxa"/>
            <w:shd w:val="clear" w:color="auto" w:fill="000000" w:themeFill="text1"/>
          </w:tcPr>
          <w:p w14:paraId="0990586B" w14:textId="77777777" w:rsidR="00EB4ED0" w:rsidRPr="00DB02FF" w:rsidRDefault="00EB4ED0" w:rsidP="007406A9">
            <w:pPr>
              <w:spacing w:after="0"/>
              <w:ind w:firstLine="0"/>
              <w:rPr>
                <w:rFonts w:cs="Calibri"/>
                <w:sz w:val="14"/>
              </w:rPr>
            </w:pPr>
            <w:r w:rsidRPr="00DB02FF">
              <w:rPr>
                <w:rFonts w:cs="Calibri"/>
                <w:b/>
                <w:bCs/>
                <w:color w:val="FFFFFF"/>
                <w:sz w:val="14"/>
              </w:rPr>
              <w:t>Cultural Responsiveness</w:t>
            </w:r>
          </w:p>
          <w:p w14:paraId="019CB39A" w14:textId="77777777" w:rsidR="00EB4ED0" w:rsidRPr="00DB02FF" w:rsidRDefault="00EB4ED0" w:rsidP="007406A9">
            <w:pPr>
              <w:spacing w:after="0"/>
              <w:ind w:firstLine="0"/>
              <w:rPr>
                <w:rFonts w:cs="Calibri"/>
                <w:sz w:val="14"/>
              </w:rPr>
            </w:pPr>
            <w:r w:rsidRPr="00DB02FF">
              <w:rPr>
                <w:rFonts w:cs="Calibri"/>
                <w:b/>
                <w:bCs/>
                <w:color w:val="FFFFFF"/>
                <w:sz w:val="14"/>
              </w:rPr>
              <w:t>(Evidence of culturally sensitive approaches)</w:t>
            </w:r>
          </w:p>
        </w:tc>
        <w:tc>
          <w:tcPr>
            <w:tcW w:w="2835" w:type="dxa"/>
            <w:shd w:val="clear" w:color="auto" w:fill="000000" w:themeFill="text1"/>
          </w:tcPr>
          <w:p w14:paraId="73A2CD4B" w14:textId="77777777" w:rsidR="00EB4ED0" w:rsidRPr="00DB02FF" w:rsidRDefault="00EB4ED0" w:rsidP="007406A9">
            <w:pPr>
              <w:spacing w:after="0"/>
              <w:ind w:firstLine="0"/>
              <w:rPr>
                <w:rFonts w:cs="Calibri"/>
                <w:sz w:val="14"/>
              </w:rPr>
            </w:pPr>
            <w:r w:rsidRPr="00DB02FF">
              <w:rPr>
                <w:rFonts w:cs="Calibri"/>
                <w:b/>
                <w:bCs/>
                <w:color w:val="FFFFFF"/>
                <w:sz w:val="14"/>
              </w:rPr>
              <w:t>Rights-Based Approach</w:t>
            </w:r>
          </w:p>
          <w:p w14:paraId="47AAB8D9" w14:textId="77777777" w:rsidR="00EB4ED0" w:rsidRPr="00DB02FF" w:rsidRDefault="00EB4ED0" w:rsidP="007406A9">
            <w:pPr>
              <w:spacing w:after="0"/>
              <w:ind w:firstLine="0"/>
              <w:rPr>
                <w:rFonts w:cs="Calibri"/>
                <w:sz w:val="14"/>
              </w:rPr>
            </w:pPr>
            <w:r w:rsidRPr="00DB02FF">
              <w:rPr>
                <w:rFonts w:cs="Calibri"/>
                <w:b/>
                <w:bCs/>
                <w:color w:val="FFFFFF"/>
                <w:sz w:val="14"/>
              </w:rPr>
              <w:t>(Reference to human rights frameworks)</w:t>
            </w:r>
          </w:p>
        </w:tc>
        <w:tc>
          <w:tcPr>
            <w:tcW w:w="2977" w:type="dxa"/>
            <w:shd w:val="clear" w:color="auto" w:fill="000000" w:themeFill="text1"/>
          </w:tcPr>
          <w:p w14:paraId="7B8232EC" w14:textId="77777777" w:rsidR="00EB4ED0" w:rsidRPr="00DB02FF" w:rsidRDefault="00EB4ED0" w:rsidP="007406A9">
            <w:pPr>
              <w:spacing w:after="0"/>
              <w:ind w:firstLine="0"/>
              <w:rPr>
                <w:rFonts w:cs="Calibri"/>
                <w:sz w:val="14"/>
              </w:rPr>
            </w:pPr>
            <w:r w:rsidRPr="00DB02FF">
              <w:rPr>
                <w:rFonts w:cs="Calibri"/>
                <w:b/>
                <w:bCs/>
                <w:color w:val="FFFFFF"/>
                <w:sz w:val="14"/>
              </w:rPr>
              <w:t>Equity Principles</w:t>
            </w:r>
          </w:p>
          <w:p w14:paraId="4CE87C9F" w14:textId="77777777" w:rsidR="00EB4ED0" w:rsidRPr="00DB02FF" w:rsidRDefault="00EB4ED0" w:rsidP="007406A9">
            <w:pPr>
              <w:spacing w:after="0"/>
              <w:ind w:firstLine="0"/>
              <w:rPr>
                <w:rFonts w:cs="Calibri"/>
                <w:sz w:val="14"/>
              </w:rPr>
            </w:pPr>
            <w:r w:rsidRPr="00DB02FF">
              <w:rPr>
                <w:rFonts w:cs="Calibri"/>
                <w:b/>
                <w:bCs/>
                <w:color w:val="FFFFFF"/>
                <w:sz w:val="14"/>
              </w:rPr>
              <w:t>(How equity is addressed)</w:t>
            </w:r>
          </w:p>
        </w:tc>
      </w:tr>
      <w:tr w:rsidR="00EB4ED0" w:rsidRPr="00DB02FF" w14:paraId="0690F64C" w14:textId="77777777" w:rsidTr="00EB4ED0">
        <w:tc>
          <w:tcPr>
            <w:tcW w:w="358" w:type="dxa"/>
            <w:vAlign w:val="center"/>
          </w:tcPr>
          <w:p w14:paraId="754B02D1" w14:textId="77777777" w:rsidR="00EB4ED0" w:rsidRPr="00DB02FF" w:rsidRDefault="00EB4ED0" w:rsidP="007406A9">
            <w:pPr>
              <w:spacing w:after="0"/>
              <w:ind w:firstLine="0"/>
              <w:jc w:val="center"/>
              <w:rPr>
                <w:rFonts w:cs="Calibri"/>
                <w:sz w:val="14"/>
              </w:rPr>
            </w:pPr>
            <w:r w:rsidRPr="00DB02FF">
              <w:rPr>
                <w:rFonts w:cs="Calibri"/>
                <w:sz w:val="14"/>
              </w:rPr>
              <w:t>1</w:t>
            </w:r>
          </w:p>
        </w:tc>
        <w:tc>
          <w:tcPr>
            <w:tcW w:w="1344" w:type="dxa"/>
          </w:tcPr>
          <w:p w14:paraId="59B814AB" w14:textId="77777777" w:rsidR="00EB4ED0" w:rsidRPr="00DB02FF" w:rsidRDefault="00EB4ED0" w:rsidP="007406A9">
            <w:pPr>
              <w:spacing w:after="0"/>
              <w:ind w:firstLine="0"/>
              <w:rPr>
                <w:rFonts w:cs="Calibri"/>
                <w:sz w:val="14"/>
              </w:rPr>
            </w:pPr>
            <w:r w:rsidRPr="00DB02FF">
              <w:rPr>
                <w:rFonts w:cs="Calibri"/>
                <w:sz w:val="14"/>
              </w:rPr>
              <w:t xml:space="preserve">National Framework for Gynaecological Cancer Control </w:t>
            </w:r>
            <w:r w:rsidRPr="00DB02FF">
              <w:rPr>
                <w:rFonts w:cs="Calibri"/>
                <w:sz w:val="14"/>
              </w:rPr>
              <w:fldChar w:fldCharType="begin"/>
            </w:r>
            <w:r>
              <w:rPr>
                <w:rFonts w:cs="Calibri"/>
                <w:sz w:val="14"/>
              </w:rPr>
              <w:instrText xml:space="preserve"> ADDIN EN.CITE &lt;EndNote&gt;&lt;Cite&gt;&lt;Author&gt;Australian Government (Cancer Australia)&lt;/Author&gt;&lt;Year&gt;2016&lt;/Year&gt;&lt;RecNum&gt;226&lt;/RecNum&gt;&lt;DisplayText&gt;(30)&lt;/DisplayText&gt;&lt;record&gt;&lt;rec-number&gt;226&lt;/rec-number&gt;&lt;foreign-keys&gt;&lt;key app="EN" db-id="rpvwsrsz7xw2rmep9ztxavrkttar9reapt9w" timestamp="1773185721"&gt;226&lt;/key&gt;&lt;/foreign-keys&gt;&lt;ref-type name="Web Page"&gt;12&lt;/ref-type&gt;&lt;contributors&gt;&lt;authors&gt;&lt;author&gt;Australian Government (Cancer Australia),&lt;/author&gt;&lt;/authors&gt;&lt;/contributors&gt;&lt;titles&gt;&lt;title&gt;National Framework for Gynaecological Cancer Control&lt;/title&gt;&lt;/titles&gt;&lt;volume&gt;2026&lt;/volume&gt;&lt;number&gt;11 March &lt;/number&gt;&lt;dates&gt;&lt;year&gt;2016&lt;/year&gt;&lt;/dates&gt;&lt;urls&gt;&lt;related-urls&gt;&lt;url&gt;https://www.canceraustralia.gov.au/sites/default/files/migrated-files/publications/national-framework-gynaecological-cancer-control/pdf/2016_gcnf_gynae_framework.pdf&lt;/url&gt;&lt;/related-urls&gt;&lt;/urls&gt;&lt;/record&gt;&lt;/Cite&gt;&lt;/EndNote&gt;</w:instrText>
            </w:r>
            <w:r w:rsidRPr="00DB02FF">
              <w:rPr>
                <w:rFonts w:cs="Calibri"/>
                <w:sz w:val="14"/>
              </w:rPr>
              <w:fldChar w:fldCharType="separate"/>
            </w:r>
            <w:r>
              <w:rPr>
                <w:rFonts w:cs="Calibri"/>
                <w:noProof/>
                <w:sz w:val="14"/>
              </w:rPr>
              <w:t>(30)</w:t>
            </w:r>
            <w:r w:rsidRPr="00DB02FF">
              <w:rPr>
                <w:rFonts w:cs="Calibri"/>
                <w:sz w:val="14"/>
              </w:rPr>
              <w:fldChar w:fldCharType="end"/>
            </w:r>
          </w:p>
        </w:tc>
        <w:tc>
          <w:tcPr>
            <w:tcW w:w="2126" w:type="dxa"/>
          </w:tcPr>
          <w:p w14:paraId="05FDD0FF" w14:textId="77777777" w:rsidR="00EB4ED0" w:rsidRPr="00DB02FF" w:rsidRDefault="00EB4ED0" w:rsidP="007406A9">
            <w:pPr>
              <w:spacing w:after="0"/>
              <w:ind w:firstLine="0"/>
              <w:rPr>
                <w:rFonts w:cs="Calibri"/>
                <w:sz w:val="14"/>
              </w:rPr>
            </w:pPr>
            <w:r w:rsidRPr="00DB02FF">
              <w:rPr>
                <w:rFonts w:cs="Calibri"/>
                <w:color w:val="000000"/>
                <w:sz w:val="14"/>
              </w:rPr>
              <w:t>Universal language assumes all women in Australia can access services; no eligibility criteria based on visa status or residency are stated. In the absence of explicit inclusion provisions, access is governed by Medicare eligibility, which varies by visa category.</w:t>
            </w:r>
          </w:p>
        </w:tc>
        <w:tc>
          <w:tcPr>
            <w:tcW w:w="3402" w:type="dxa"/>
          </w:tcPr>
          <w:p w14:paraId="75477730" w14:textId="77777777" w:rsidR="00EB4ED0" w:rsidRPr="00DB02FF" w:rsidRDefault="00EB4ED0" w:rsidP="007406A9">
            <w:pPr>
              <w:spacing w:after="0"/>
              <w:ind w:firstLine="0"/>
              <w:rPr>
                <w:rFonts w:cs="Calibri"/>
                <w:sz w:val="14"/>
              </w:rPr>
            </w:pPr>
            <w:r w:rsidRPr="00DB02FF">
              <w:rPr>
                <w:rFonts w:cs="Calibri"/>
                <w:color w:val="000000"/>
                <w:sz w:val="14"/>
              </w:rPr>
              <w:t xml:space="preserve">Language barriers are acknowledged but no funded or operational solutions are provided. Medicare ineligibility, cost of screening and treatment for those without Medicare, interpreter service availability, translated health information, and fear of visa-related consequences of accessing services are not addressed. </w:t>
            </w:r>
          </w:p>
        </w:tc>
        <w:tc>
          <w:tcPr>
            <w:tcW w:w="2977" w:type="dxa"/>
          </w:tcPr>
          <w:p w14:paraId="51B46140"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w:t>
            </w:r>
          </w:p>
          <w:p w14:paraId="1003B4FC" w14:textId="77777777" w:rsidR="00EB4ED0" w:rsidRPr="00DB02FF" w:rsidRDefault="00EB4ED0" w:rsidP="007406A9">
            <w:pPr>
              <w:spacing w:after="0"/>
              <w:ind w:firstLine="0"/>
              <w:rPr>
                <w:rFonts w:cs="Calibri"/>
                <w:sz w:val="14"/>
              </w:rPr>
            </w:pPr>
            <w:r w:rsidRPr="00DB02FF">
              <w:rPr>
                <w:rFonts w:cs="Calibri"/>
                <w:color w:val="000000"/>
                <w:sz w:val="14"/>
              </w:rPr>
              <w:t>But directed primarily at Aboriginal and Torres Strait Islander populations. CALD populations are referenced in abstract terms ("cultural sensitivity", "cultural dimensions") with no operationalisation, specific strategies, interpreter services, translated materials, or language-concordant care approaches described.</w:t>
            </w:r>
          </w:p>
        </w:tc>
        <w:tc>
          <w:tcPr>
            <w:tcW w:w="2835" w:type="dxa"/>
          </w:tcPr>
          <w:p w14:paraId="7942EE20"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Absent. </w:t>
            </w:r>
          </w:p>
          <w:p w14:paraId="17B645E0" w14:textId="77777777" w:rsidR="00EB4ED0" w:rsidRPr="00DB02FF" w:rsidRDefault="00EB4ED0" w:rsidP="007406A9">
            <w:pPr>
              <w:spacing w:after="0"/>
              <w:ind w:firstLine="0"/>
              <w:rPr>
                <w:rFonts w:cs="Calibri"/>
                <w:sz w:val="14"/>
              </w:rPr>
            </w:pPr>
            <w:r w:rsidRPr="00DB02FF">
              <w:rPr>
                <w:rFonts w:cs="Calibri"/>
                <w:color w:val="000000"/>
                <w:sz w:val="14"/>
              </w:rPr>
              <w:t>No reference to human rights frameworks. No acknowledgment that access to cancer screening and treatment may constitute a rights issue for those with precarious migration or visa status.</w:t>
            </w:r>
          </w:p>
        </w:tc>
        <w:tc>
          <w:tcPr>
            <w:tcW w:w="2977" w:type="dxa"/>
          </w:tcPr>
          <w:p w14:paraId="46A36CC7" w14:textId="77777777" w:rsidR="00EB4ED0" w:rsidRPr="00DB02FF" w:rsidRDefault="00EB4ED0" w:rsidP="007406A9">
            <w:pPr>
              <w:spacing w:after="0"/>
              <w:ind w:firstLine="0"/>
              <w:rPr>
                <w:rFonts w:cs="Calibri"/>
                <w:sz w:val="14"/>
              </w:rPr>
            </w:pPr>
            <w:r w:rsidRPr="00DB02FF">
              <w:rPr>
                <w:rFonts w:cs="Calibri"/>
                <w:color w:val="000000"/>
                <w:sz w:val="14"/>
              </w:rPr>
              <w:t>Equity is operationalised primarily for Aboriginal and Torres Strait Islander populations and geographic access. CALD populations are acknowledged as a priority group but receive minimal, unspecific attention. No dedicated equity targets, strategies, or actions for CALD populations are provided.</w:t>
            </w:r>
          </w:p>
        </w:tc>
      </w:tr>
      <w:tr w:rsidR="00EB4ED0" w:rsidRPr="00DB02FF" w14:paraId="54AA7B0B" w14:textId="77777777" w:rsidTr="00EB4ED0">
        <w:tc>
          <w:tcPr>
            <w:tcW w:w="358" w:type="dxa"/>
            <w:shd w:val="clear" w:color="auto" w:fill="F2F2F2" w:themeFill="background1" w:themeFillShade="F2"/>
            <w:vAlign w:val="center"/>
          </w:tcPr>
          <w:p w14:paraId="02457996" w14:textId="77777777" w:rsidR="00EB4ED0" w:rsidRPr="00DB02FF" w:rsidRDefault="00EB4ED0" w:rsidP="007406A9">
            <w:pPr>
              <w:spacing w:after="0"/>
              <w:ind w:firstLine="0"/>
              <w:jc w:val="center"/>
              <w:rPr>
                <w:rFonts w:cs="Calibri"/>
                <w:sz w:val="14"/>
              </w:rPr>
            </w:pPr>
            <w:r w:rsidRPr="00DB02FF">
              <w:rPr>
                <w:rFonts w:cs="Calibri"/>
                <w:sz w:val="14"/>
              </w:rPr>
              <w:t>2</w:t>
            </w:r>
          </w:p>
        </w:tc>
        <w:tc>
          <w:tcPr>
            <w:tcW w:w="1344" w:type="dxa"/>
            <w:shd w:val="clear" w:color="auto" w:fill="F2F2F2" w:themeFill="background1" w:themeFillShade="F2"/>
          </w:tcPr>
          <w:p w14:paraId="3E5616E8" w14:textId="77777777" w:rsidR="00EB4ED0" w:rsidRPr="00DB02FF" w:rsidRDefault="00EB4ED0" w:rsidP="007406A9">
            <w:pPr>
              <w:spacing w:after="0"/>
              <w:ind w:firstLine="0"/>
              <w:rPr>
                <w:rFonts w:cs="Calibri"/>
                <w:sz w:val="14"/>
              </w:rPr>
            </w:pPr>
            <w:r w:rsidRPr="00DB02FF">
              <w:rPr>
                <w:rFonts w:cs="Calibri"/>
                <w:sz w:val="14"/>
              </w:rPr>
              <w:t xml:space="preserve">Maternity Care in Australia 1st Edition: A framework for a healthy new generation of Australians </w:t>
            </w:r>
            <w:r w:rsidRPr="00DB02FF">
              <w:rPr>
                <w:rFonts w:cs="Calibri"/>
                <w:sz w:val="14"/>
              </w:rPr>
              <w:fldChar w:fldCharType="begin"/>
            </w:r>
            <w:r>
              <w:rPr>
                <w:rFonts w:cs="Calibri"/>
                <w:sz w:val="14"/>
              </w:rPr>
              <w:instrText xml:space="preserve"> ADDIN EN.CITE &lt;EndNote&gt;&lt;Cite&gt;&lt;Author&gt;The Royal Australian and New Zealand College of Obstetricians and Gynaecologists (RANZCOG)&lt;/Author&gt;&lt;Year&gt;2017&lt;/Year&gt;&lt;RecNum&gt;227&lt;/RecNum&gt;&lt;DisplayText&gt;(28)&lt;/DisplayText&gt;&lt;record&gt;&lt;rec-number&gt;227&lt;/rec-number&gt;&lt;foreign-keys&gt;&lt;key app="EN" db-id="rpvwsrsz7xw2rmep9ztxavrkttar9reapt9w" timestamp="1773186277"&gt;227&lt;/key&gt;&lt;/foreign-keys&gt;&lt;ref-type name="Web Page"&gt;12&lt;/ref-type&gt;&lt;contributors&gt;&lt;authors&gt;&lt;author&gt;The Royal Australian and New Zealand College of Obstetricians and Gynaecologists (RANZCOG),&lt;/author&gt;&lt;/authors&gt;&lt;/contributors&gt;&lt;titles&gt;&lt;title&gt;Maternity Care in Australia 1st Edition: A framework for a healthy new generation of Australians &lt;/title&gt;&lt;/titles&gt;&lt;volume&gt;2026&lt;/volume&gt;&lt;number&gt;11 March &lt;/number&gt;&lt;dates&gt;&lt;year&gt;2017&lt;/year&gt;&lt;/dates&gt;&lt;urls&gt;&lt;related-urls&gt;&lt;url&gt;https://ranzcog.edu.au/wp-content/uploads/Maternity-Care-Australia.pdf&lt;/url&gt;&lt;/related-urls&gt;&lt;/urls&gt;&lt;/record&gt;&lt;/Cite&gt;&lt;/EndNote&gt;</w:instrText>
            </w:r>
            <w:r w:rsidRPr="00DB02FF">
              <w:rPr>
                <w:rFonts w:cs="Calibri"/>
                <w:sz w:val="14"/>
              </w:rPr>
              <w:fldChar w:fldCharType="separate"/>
            </w:r>
            <w:r>
              <w:rPr>
                <w:rFonts w:cs="Calibri"/>
                <w:noProof/>
                <w:sz w:val="14"/>
              </w:rPr>
              <w:t>(28)</w:t>
            </w:r>
            <w:r w:rsidRPr="00DB02FF">
              <w:rPr>
                <w:rFonts w:cs="Calibri"/>
                <w:sz w:val="14"/>
              </w:rPr>
              <w:fldChar w:fldCharType="end"/>
            </w:r>
          </w:p>
        </w:tc>
        <w:tc>
          <w:tcPr>
            <w:tcW w:w="2126" w:type="dxa"/>
            <w:shd w:val="clear" w:color="auto" w:fill="F2F2F2" w:themeFill="background1" w:themeFillShade="F2"/>
          </w:tcPr>
          <w:p w14:paraId="07B98A98" w14:textId="77777777" w:rsidR="00EB4ED0" w:rsidRPr="00DB02FF" w:rsidRDefault="00EB4ED0" w:rsidP="007406A9">
            <w:pPr>
              <w:spacing w:after="0"/>
              <w:ind w:firstLine="0"/>
              <w:rPr>
                <w:rFonts w:cs="Calibri"/>
                <w:sz w:val="14"/>
              </w:rPr>
            </w:pPr>
            <w:r w:rsidRPr="00DB02FF">
              <w:rPr>
                <w:rFonts w:cs="Calibri"/>
                <w:color w:val="000000"/>
                <w:sz w:val="14"/>
              </w:rPr>
              <w:t>"All women must have access to maternity care</w:t>
            </w:r>
            <w:proofErr w:type="gramStart"/>
            <w:r w:rsidRPr="00DB02FF">
              <w:rPr>
                <w:rFonts w:cs="Calibri"/>
                <w:color w:val="000000"/>
                <w:sz w:val="14"/>
              </w:rPr>
              <w:t>"</w:t>
            </w:r>
            <w:proofErr w:type="gramEnd"/>
            <w:r w:rsidRPr="00DB02FF">
              <w:rPr>
                <w:rFonts w:cs="Calibri"/>
                <w:color w:val="000000"/>
                <w:sz w:val="14"/>
              </w:rPr>
              <w:t xml:space="preserve"> but no eligibility criteria based on visa status or residency are stated. The absence of explicit inclusion provisions means access remains governed by Medicare eligibility in practice.</w:t>
            </w:r>
          </w:p>
        </w:tc>
        <w:tc>
          <w:tcPr>
            <w:tcW w:w="3402" w:type="dxa"/>
            <w:shd w:val="clear" w:color="auto" w:fill="F2F2F2" w:themeFill="background1" w:themeFillShade="F2"/>
          </w:tcPr>
          <w:p w14:paraId="74069832"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a clear mandate for professional interpreting services. Cultural and geographic barriers receive substantive attention. Financial barriers are acknowledged generally ("minimal financial and other barriers") but not specifically addressed for migrants. Legal barriers are absent.</w:t>
            </w:r>
          </w:p>
        </w:tc>
        <w:tc>
          <w:tcPr>
            <w:tcW w:w="2977" w:type="dxa"/>
            <w:shd w:val="clear" w:color="auto" w:fill="F2F2F2" w:themeFill="background1" w:themeFillShade="F2"/>
          </w:tcPr>
          <w:p w14:paraId="3C09B219"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substantive. </w:t>
            </w:r>
          </w:p>
          <w:p w14:paraId="5B022D57" w14:textId="77777777" w:rsidR="00EB4ED0" w:rsidRPr="00DB02FF" w:rsidRDefault="00EB4ED0" w:rsidP="007406A9">
            <w:pPr>
              <w:spacing w:after="0"/>
              <w:ind w:firstLine="0"/>
              <w:rPr>
                <w:rFonts w:cs="Calibri"/>
                <w:sz w:val="14"/>
              </w:rPr>
            </w:pPr>
            <w:r w:rsidRPr="00DB02FF">
              <w:rPr>
                <w:rFonts w:cs="Calibri"/>
                <w:color w:val="000000"/>
                <w:sz w:val="14"/>
              </w:rPr>
              <w:t>Cultural competency is positioned as foundational to service provision. Specific provisions include information in different languages, translation and interpreting services, and respect for cultural beliefs and sensitivities. These are framed as operational requirements rather than aspirational statements.</w:t>
            </w:r>
          </w:p>
        </w:tc>
        <w:tc>
          <w:tcPr>
            <w:tcW w:w="2835" w:type="dxa"/>
            <w:shd w:val="clear" w:color="auto" w:fill="F2F2F2" w:themeFill="background1" w:themeFillShade="F2"/>
          </w:tcPr>
          <w:p w14:paraId="7D924EA6"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Implicit. </w:t>
            </w:r>
          </w:p>
          <w:p w14:paraId="70E033A8" w14:textId="77777777" w:rsidR="00EB4ED0" w:rsidRPr="00DB02FF" w:rsidRDefault="00EB4ED0" w:rsidP="007406A9">
            <w:pPr>
              <w:spacing w:after="0"/>
              <w:ind w:firstLine="0"/>
              <w:rPr>
                <w:rFonts w:cs="Calibri"/>
                <w:sz w:val="14"/>
              </w:rPr>
            </w:pPr>
            <w:r w:rsidRPr="00DB02FF">
              <w:rPr>
                <w:rFonts w:cs="Calibri"/>
                <w:color w:val="000000"/>
                <w:sz w:val="14"/>
              </w:rPr>
              <w:t>Women's right to the highest standards of maternity care is asserted but no explicit reference is made to international human rights frameworks or conventions.</w:t>
            </w:r>
          </w:p>
        </w:tc>
        <w:tc>
          <w:tcPr>
            <w:tcW w:w="2977" w:type="dxa"/>
            <w:shd w:val="clear" w:color="auto" w:fill="F2F2F2" w:themeFill="background1" w:themeFillShade="F2"/>
          </w:tcPr>
          <w:p w14:paraId="642AAFE3" w14:textId="77777777" w:rsidR="00EB4ED0" w:rsidRPr="00DB02FF" w:rsidRDefault="00EB4ED0" w:rsidP="007406A9">
            <w:pPr>
              <w:spacing w:after="0"/>
              <w:ind w:firstLine="0"/>
              <w:rPr>
                <w:rFonts w:cs="Calibri"/>
                <w:sz w:val="14"/>
              </w:rPr>
            </w:pPr>
            <w:r w:rsidRPr="00DB02FF">
              <w:rPr>
                <w:rFonts w:cs="Calibri"/>
                <w:color w:val="000000"/>
                <w:sz w:val="14"/>
              </w:rPr>
              <w:t>"Particular attention should be paid to the needs of Indigenous women, and women from disadvantaged, migrant or other minority groups." Equity is framed through geographic access and social disadvantage. Migrant women are named but not given specific equity strategies or targets.</w:t>
            </w:r>
          </w:p>
        </w:tc>
      </w:tr>
      <w:tr w:rsidR="00EB4ED0" w:rsidRPr="00DB02FF" w14:paraId="420EBAB9" w14:textId="77777777" w:rsidTr="00EB4ED0">
        <w:tc>
          <w:tcPr>
            <w:tcW w:w="358" w:type="dxa"/>
            <w:vAlign w:val="center"/>
          </w:tcPr>
          <w:p w14:paraId="2B3F3E32" w14:textId="77777777" w:rsidR="00EB4ED0" w:rsidRPr="00DB02FF" w:rsidRDefault="00EB4ED0" w:rsidP="007406A9">
            <w:pPr>
              <w:spacing w:after="0"/>
              <w:ind w:firstLine="0"/>
              <w:jc w:val="center"/>
              <w:rPr>
                <w:rFonts w:cs="Calibri"/>
                <w:sz w:val="14"/>
              </w:rPr>
            </w:pPr>
            <w:r w:rsidRPr="00DB02FF">
              <w:rPr>
                <w:rFonts w:cs="Calibri"/>
                <w:sz w:val="14"/>
              </w:rPr>
              <w:t>3</w:t>
            </w:r>
          </w:p>
        </w:tc>
        <w:tc>
          <w:tcPr>
            <w:tcW w:w="1344" w:type="dxa"/>
          </w:tcPr>
          <w:p w14:paraId="3441DEE7" w14:textId="77777777" w:rsidR="00EB4ED0" w:rsidRPr="00DB02FF" w:rsidRDefault="00EB4ED0" w:rsidP="007406A9">
            <w:pPr>
              <w:spacing w:after="0"/>
              <w:ind w:firstLine="0"/>
              <w:rPr>
                <w:rFonts w:cs="Calibri"/>
                <w:sz w:val="14"/>
              </w:rPr>
            </w:pPr>
            <w:r w:rsidRPr="00DB02FF">
              <w:rPr>
                <w:rFonts w:cs="Calibri"/>
                <w:sz w:val="14"/>
              </w:rPr>
              <w:t xml:space="preserve">Fourth National Sexually Transmissible Infections Strategy 2018–2022 </w:t>
            </w:r>
            <w:r w:rsidRPr="00DB02FF">
              <w:rPr>
                <w:rFonts w:cs="Calibri"/>
                <w:sz w:val="14"/>
              </w:rPr>
              <w:fldChar w:fldCharType="begin"/>
            </w:r>
            <w:r>
              <w:rPr>
                <w:rFonts w:cs="Calibri"/>
                <w:sz w:val="14"/>
              </w:rPr>
              <w:instrText xml:space="preserve"> ADDIN EN.CITE &lt;EndNote&gt;&lt;Cite&gt;&lt;Author&gt;Commonwealth of Australia Department of Health&lt;/Author&gt;&lt;Year&gt;2019&lt;/Year&gt;&lt;RecNum&gt;228&lt;/RecNum&gt;&lt;DisplayText&gt;(25)&lt;/DisplayText&gt;&lt;record&gt;&lt;rec-number&gt;228&lt;/rec-number&gt;&lt;foreign-keys&gt;&lt;key app="EN" db-id="rpvwsrsz7xw2rmep9ztxavrkttar9reapt9w" timestamp="1773186513"&gt;228&lt;/key&gt;&lt;/foreign-keys&gt;&lt;ref-type name="Web Page"&gt;12&lt;/ref-type&gt;&lt;contributors&gt;&lt;authors&gt;&lt;author&gt;Commonwealth of Australia Department of Health,&lt;/author&gt;&lt;/authors&gt;&lt;/contributors&gt;&lt;titles&gt;&lt;title&gt;Fourth National Sexually Transmissible Infections Strategy 2018–2022&lt;/title&gt;&lt;/titles&gt;&lt;volume&gt;2026&lt;/volume&gt;&lt;number&gt;11 March &lt;/number&gt;&lt;dates&gt;&lt;year&gt;2019&lt;/year&gt;&lt;/dates&gt;&lt;urls&gt;&lt;related-urls&gt;&lt;url&gt;https://www.cdc.gov.au/resources/publications/fourth-national-sexually-transmissible-infections-strategy-2018-2022&lt;/url&gt;&lt;/related-urls&gt;&lt;/urls&gt;&lt;/record&gt;&lt;/Cite&gt;&lt;/EndNote&gt;</w:instrText>
            </w:r>
            <w:r w:rsidRPr="00DB02FF">
              <w:rPr>
                <w:rFonts w:cs="Calibri"/>
                <w:sz w:val="14"/>
              </w:rPr>
              <w:fldChar w:fldCharType="separate"/>
            </w:r>
            <w:r>
              <w:rPr>
                <w:rFonts w:cs="Calibri"/>
                <w:noProof/>
                <w:sz w:val="14"/>
              </w:rPr>
              <w:t>(25)</w:t>
            </w:r>
            <w:r w:rsidRPr="00DB02FF">
              <w:rPr>
                <w:rFonts w:cs="Calibri"/>
                <w:sz w:val="14"/>
              </w:rPr>
              <w:fldChar w:fldCharType="end"/>
            </w:r>
          </w:p>
        </w:tc>
        <w:tc>
          <w:tcPr>
            <w:tcW w:w="2126" w:type="dxa"/>
          </w:tcPr>
          <w:p w14:paraId="5E111C7B" w14:textId="77777777" w:rsidR="00EB4ED0" w:rsidRPr="00DB02FF" w:rsidRDefault="00EB4ED0" w:rsidP="007406A9">
            <w:pPr>
              <w:spacing w:after="0"/>
              <w:ind w:firstLine="0"/>
              <w:rPr>
                <w:rFonts w:cs="Calibri"/>
                <w:sz w:val="14"/>
              </w:rPr>
            </w:pPr>
            <w:r w:rsidRPr="00DB02FF">
              <w:rPr>
                <w:rFonts w:cs="Calibri"/>
                <w:color w:val="000000"/>
                <w:sz w:val="14"/>
              </w:rPr>
              <w:t xml:space="preserve">No eligibility criteria based on visa status or residency are stated. Medicare-rebated testing and PBS-subsidised treatment are the implicit access mechanisms throughout. People ineligible for subsidised healthcare </w:t>
            </w:r>
            <w:proofErr w:type="gramStart"/>
            <w:r w:rsidRPr="00DB02FF">
              <w:rPr>
                <w:rFonts w:cs="Calibri"/>
                <w:color w:val="000000"/>
                <w:sz w:val="14"/>
              </w:rPr>
              <w:t>are</w:t>
            </w:r>
            <w:proofErr w:type="gramEnd"/>
            <w:r w:rsidRPr="00DB02FF">
              <w:rPr>
                <w:rFonts w:cs="Calibri"/>
                <w:color w:val="000000"/>
                <w:sz w:val="14"/>
              </w:rPr>
              <w:t xml:space="preserve"> noted twice in passing but no provisions are made. The absence of explicit inclusion criteria creates false universalism.</w:t>
            </w:r>
          </w:p>
        </w:tc>
        <w:tc>
          <w:tcPr>
            <w:tcW w:w="3402" w:type="dxa"/>
          </w:tcPr>
          <w:p w14:paraId="517E8F59" w14:textId="77777777" w:rsidR="00EB4ED0" w:rsidRPr="00DB02FF" w:rsidRDefault="00EB4ED0" w:rsidP="007406A9">
            <w:pPr>
              <w:spacing w:after="0"/>
              <w:ind w:firstLine="0"/>
              <w:rPr>
                <w:rFonts w:cs="Calibri"/>
                <w:sz w:val="14"/>
              </w:rPr>
            </w:pPr>
            <w:r w:rsidRPr="00DB02FF">
              <w:rPr>
                <w:rFonts w:cs="Calibri"/>
                <w:color w:val="000000"/>
                <w:sz w:val="14"/>
              </w:rPr>
              <w:t>Language, stigma, cost, and lack of awareness are identified as barriers for CALD populations. Financial barriers through Medicare ineligibility are noted as "an important consideration" for travellers and mobile workers but not addressed with any action. Immigration-related fears, documentation requirements, and legal barriers specific to migrants are absent.</w:t>
            </w:r>
          </w:p>
        </w:tc>
        <w:tc>
          <w:tcPr>
            <w:tcW w:w="2977" w:type="dxa"/>
          </w:tcPr>
          <w:p w14:paraId="7F4E1C0D"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but limited. </w:t>
            </w:r>
          </w:p>
          <w:p w14:paraId="72970CF0" w14:textId="77777777" w:rsidR="00EB4ED0" w:rsidRPr="00DB02FF" w:rsidRDefault="00EB4ED0" w:rsidP="007406A9">
            <w:pPr>
              <w:spacing w:after="0"/>
              <w:ind w:firstLine="0"/>
              <w:rPr>
                <w:rFonts w:cs="Calibri"/>
                <w:sz w:val="14"/>
              </w:rPr>
            </w:pPr>
            <w:r w:rsidRPr="00DB02FF">
              <w:rPr>
                <w:rFonts w:cs="Calibri"/>
                <w:color w:val="000000"/>
                <w:sz w:val="14"/>
              </w:rPr>
              <w:t>CALD people are listed as a priority population requiring tailored approaches to address cultural, language, and gender issues. Improving health literacy and system navigation is identified as important for young CALD people and international students. No cultural safety framework, interpreter provisions, or migration-specific cultural strategies are described.</w:t>
            </w:r>
          </w:p>
        </w:tc>
        <w:tc>
          <w:tcPr>
            <w:tcW w:w="2835" w:type="dxa"/>
          </w:tcPr>
          <w:p w14:paraId="27D85AE2"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w:t>
            </w:r>
          </w:p>
          <w:p w14:paraId="32236825" w14:textId="77777777" w:rsidR="00EB4ED0" w:rsidRPr="00DB02FF" w:rsidRDefault="00EB4ED0" w:rsidP="007406A9">
            <w:pPr>
              <w:spacing w:after="0"/>
              <w:ind w:firstLine="0"/>
              <w:rPr>
                <w:rFonts w:cs="Calibri"/>
                <w:sz w:val="14"/>
              </w:rPr>
            </w:pPr>
            <w:r w:rsidRPr="00DB02FF">
              <w:rPr>
                <w:rFonts w:cs="Calibri"/>
                <w:color w:val="000000"/>
                <w:sz w:val="14"/>
              </w:rPr>
              <w:t>People with STI have the right to the same health care and information as other members of the community, and a strategy goal is to eliminate the negative impact of stigma, discrimination, and human rights issues on health. No reference to international human rights instruments or conventions.</w:t>
            </w:r>
          </w:p>
        </w:tc>
        <w:tc>
          <w:tcPr>
            <w:tcW w:w="2977" w:type="dxa"/>
          </w:tcPr>
          <w:p w14:paraId="135F1754" w14:textId="77777777" w:rsidR="00EB4ED0" w:rsidRPr="00DB02FF" w:rsidRDefault="00EB4ED0" w:rsidP="007406A9">
            <w:pPr>
              <w:spacing w:after="0"/>
              <w:ind w:firstLine="0"/>
              <w:rPr>
                <w:rFonts w:cs="Calibri"/>
                <w:sz w:val="14"/>
              </w:rPr>
            </w:pPr>
            <w:r w:rsidRPr="00DB02FF">
              <w:rPr>
                <w:rFonts w:cs="Calibri"/>
                <w:color w:val="000000"/>
                <w:sz w:val="14"/>
              </w:rPr>
              <w:t>Migration status is explicitly listed among dimensions of inequality to be addressed, and health care is stated to be accessible to all based on need. However, this principle is not operationalised anywhere in the strategy. No actions address visa-based exclusions from Medicare-funded services, and the strategy proceeds as if need-based access exists in practice.</w:t>
            </w:r>
          </w:p>
        </w:tc>
      </w:tr>
      <w:tr w:rsidR="00EB4ED0" w:rsidRPr="00DB02FF" w14:paraId="33F91F33" w14:textId="77777777" w:rsidTr="00EB4ED0">
        <w:tc>
          <w:tcPr>
            <w:tcW w:w="358" w:type="dxa"/>
            <w:shd w:val="clear" w:color="auto" w:fill="F2F2F2" w:themeFill="background1" w:themeFillShade="F2"/>
            <w:vAlign w:val="center"/>
          </w:tcPr>
          <w:p w14:paraId="4A1E1071" w14:textId="77777777" w:rsidR="00EB4ED0" w:rsidRPr="00DB02FF" w:rsidRDefault="00EB4ED0" w:rsidP="007406A9">
            <w:pPr>
              <w:spacing w:after="0"/>
              <w:ind w:firstLine="0"/>
              <w:jc w:val="center"/>
              <w:rPr>
                <w:rFonts w:cs="Calibri"/>
                <w:sz w:val="14"/>
              </w:rPr>
            </w:pPr>
            <w:r w:rsidRPr="00DB02FF">
              <w:rPr>
                <w:rFonts w:cs="Calibri"/>
                <w:sz w:val="14"/>
              </w:rPr>
              <w:t>4</w:t>
            </w:r>
          </w:p>
        </w:tc>
        <w:tc>
          <w:tcPr>
            <w:tcW w:w="1344" w:type="dxa"/>
            <w:shd w:val="clear" w:color="auto" w:fill="F2F2F2" w:themeFill="background1" w:themeFillShade="F2"/>
          </w:tcPr>
          <w:p w14:paraId="7E699298" w14:textId="77777777" w:rsidR="00EB4ED0" w:rsidRPr="00DB02FF" w:rsidRDefault="00EB4ED0" w:rsidP="007406A9">
            <w:pPr>
              <w:spacing w:after="0"/>
              <w:ind w:firstLine="0"/>
              <w:rPr>
                <w:rFonts w:cs="Calibri"/>
                <w:sz w:val="14"/>
              </w:rPr>
            </w:pPr>
            <w:r w:rsidRPr="00DB02FF">
              <w:rPr>
                <w:rFonts w:cs="Calibri"/>
                <w:sz w:val="14"/>
              </w:rPr>
              <w:t xml:space="preserve">National Women's Health Strategy 2020 –2030 </w:t>
            </w:r>
            <w:r w:rsidRPr="00DB02FF">
              <w:rPr>
                <w:rFonts w:cs="Calibri"/>
                <w:sz w:val="14"/>
              </w:rPr>
              <w:fldChar w:fldCharType="begin"/>
            </w:r>
            <w:r>
              <w:rPr>
                <w:rFonts w:cs="Calibri"/>
                <w:sz w:val="14"/>
              </w:rPr>
              <w:instrText xml:space="preserve"> ADDIN EN.CITE &lt;EndNote&gt;&lt;Cite&gt;&lt;Author&gt;Commonwealth of Australia Department of Health&lt;/Author&gt;&lt;Year&gt;2018&lt;/Year&gt;&lt;RecNum&gt;229&lt;/RecNum&gt;&lt;DisplayText&gt;(36)&lt;/DisplayText&gt;&lt;record&gt;&lt;rec-number&gt;229&lt;/rec-number&gt;&lt;foreign-keys&gt;&lt;key app="EN" db-id="rpvwsrsz7xw2rmep9ztxavrkttar9reapt9w" timestamp="1773187211"&gt;229&lt;/key&gt;&lt;/foreign-keys&gt;&lt;ref-type name="Web Page"&gt;12&lt;/ref-type&gt;&lt;contributors&gt;&lt;authors&gt;&lt;author&gt;Commonwealth of Australia Department of Health,&lt;/author&gt;&lt;/authors&gt;&lt;/contributors&gt;&lt;titles&gt;&lt;title&gt;National Women’s Health Strategy 2020-2030&lt;/title&gt;&lt;/titles&gt;&lt;volume&gt;2026&lt;/volume&gt;&lt;number&gt;11 March &lt;/number&gt;&lt;dates&gt;&lt;year&gt;2018&lt;/year&gt;&lt;/dates&gt;&lt;urls&gt;&lt;related-urls&gt;&lt;url&gt;https://www.health.gov.au/sites/default/files/documents/2021/05/national-women-s-health-strategy-2020-2030_0.pdf&lt;/url&gt;&lt;/related-urls&gt;&lt;/urls&gt;&lt;/record&gt;&lt;/Cite&gt;&lt;/EndNote&gt;</w:instrText>
            </w:r>
            <w:r w:rsidRPr="00DB02FF">
              <w:rPr>
                <w:rFonts w:cs="Calibri"/>
                <w:sz w:val="14"/>
              </w:rPr>
              <w:fldChar w:fldCharType="separate"/>
            </w:r>
            <w:r>
              <w:rPr>
                <w:rFonts w:cs="Calibri"/>
                <w:noProof/>
                <w:sz w:val="14"/>
              </w:rPr>
              <w:t>(36)</w:t>
            </w:r>
            <w:r w:rsidRPr="00DB02FF">
              <w:rPr>
                <w:rFonts w:cs="Calibri"/>
                <w:sz w:val="14"/>
              </w:rPr>
              <w:fldChar w:fldCharType="end"/>
            </w:r>
          </w:p>
        </w:tc>
        <w:tc>
          <w:tcPr>
            <w:tcW w:w="2126" w:type="dxa"/>
            <w:shd w:val="clear" w:color="auto" w:fill="F2F2F2" w:themeFill="background1" w:themeFillShade="F2"/>
          </w:tcPr>
          <w:p w14:paraId="3329BF5D" w14:textId="77777777" w:rsidR="00EB4ED0" w:rsidRPr="00DB02FF" w:rsidRDefault="00EB4ED0" w:rsidP="007406A9">
            <w:pPr>
              <w:spacing w:after="0"/>
              <w:ind w:firstLine="0"/>
              <w:rPr>
                <w:rFonts w:cs="Calibri"/>
                <w:sz w:val="14"/>
              </w:rPr>
            </w:pPr>
            <w:r w:rsidRPr="00DB02FF">
              <w:rPr>
                <w:rFonts w:cs="Calibri"/>
                <w:color w:val="000000"/>
                <w:sz w:val="14"/>
              </w:rPr>
              <w:t>Framed as a strategy for all women and girls with no eligibility criteria based on visa status, residency, or Medicare enrolment stated. The absence of explicit inclusion provisions means access remains governed by Medicare eligibility in practice.</w:t>
            </w:r>
          </w:p>
        </w:tc>
        <w:tc>
          <w:tcPr>
            <w:tcW w:w="3402" w:type="dxa"/>
            <w:shd w:val="clear" w:color="auto" w:fill="F2F2F2" w:themeFill="background1" w:themeFillShade="F2"/>
          </w:tcPr>
          <w:p w14:paraId="639F2D39"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a mandate for interpreter services and culturally and linguistically safe documents. Cultural barriers receive substantive attention across service delivery, workforce training, and health promotion. Financial barriers are acknowledged generally through affordability language, with migrants and refugee populations named alongside health care card holders in the context of expanding family planning services. Legal barriers specific to migrants are absent.</w:t>
            </w:r>
          </w:p>
        </w:tc>
        <w:tc>
          <w:tcPr>
            <w:tcW w:w="2977" w:type="dxa"/>
            <w:shd w:val="clear" w:color="auto" w:fill="F2F2F2" w:themeFill="background1" w:themeFillShade="F2"/>
          </w:tcPr>
          <w:p w14:paraId="6C96C6C3"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substantive. </w:t>
            </w:r>
          </w:p>
          <w:p w14:paraId="6F54059F" w14:textId="77777777" w:rsidR="00EB4ED0" w:rsidRPr="00DB02FF" w:rsidRDefault="00EB4ED0" w:rsidP="007406A9">
            <w:pPr>
              <w:spacing w:after="0"/>
              <w:ind w:firstLine="0"/>
              <w:rPr>
                <w:rFonts w:cs="Calibri"/>
                <w:sz w:val="14"/>
              </w:rPr>
            </w:pPr>
            <w:r w:rsidRPr="00DB02FF">
              <w:rPr>
                <w:rFonts w:cs="Calibri"/>
                <w:color w:val="000000"/>
                <w:sz w:val="14"/>
              </w:rPr>
              <w:t>Culturally and linguistically safe care is positioned as a system-wide requirement rather than an add-on. Specific provisions include interpreter services, co-designed health promotion materials, tailored antenatal awareness campaigns for migrant and CALD women, and workforce training. Migrant and refugee women are named as a priority population, though cultural responsiveness strategies are not differentiated by migration status or visa category.</w:t>
            </w:r>
          </w:p>
        </w:tc>
        <w:tc>
          <w:tcPr>
            <w:tcW w:w="2835" w:type="dxa"/>
            <w:shd w:val="clear" w:color="auto" w:fill="F2F2F2" w:themeFill="background1" w:themeFillShade="F2"/>
          </w:tcPr>
          <w:p w14:paraId="05689C6D"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Implicit. </w:t>
            </w:r>
          </w:p>
          <w:p w14:paraId="1945B839" w14:textId="77777777" w:rsidR="00EB4ED0" w:rsidRPr="00DB02FF" w:rsidRDefault="00EB4ED0" w:rsidP="007406A9">
            <w:pPr>
              <w:spacing w:after="0"/>
              <w:ind w:firstLine="0"/>
              <w:rPr>
                <w:rFonts w:cs="Calibri"/>
                <w:sz w:val="14"/>
              </w:rPr>
            </w:pPr>
            <w:r w:rsidRPr="00DB02FF">
              <w:rPr>
                <w:rFonts w:cs="Calibri"/>
                <w:color w:val="000000"/>
                <w:sz w:val="14"/>
              </w:rPr>
              <w:t>No explicit human rights language or reference to international human rights frameworks, but the strategy aligns with rights principles through its equity and anti-discrimination framing.</w:t>
            </w:r>
          </w:p>
        </w:tc>
        <w:tc>
          <w:tcPr>
            <w:tcW w:w="2977" w:type="dxa"/>
            <w:shd w:val="clear" w:color="auto" w:fill="F2F2F2" w:themeFill="background1" w:themeFillShade="F2"/>
          </w:tcPr>
          <w:p w14:paraId="22B92625" w14:textId="77777777" w:rsidR="00EB4ED0" w:rsidRPr="00DB02FF" w:rsidRDefault="00EB4ED0" w:rsidP="007406A9">
            <w:pPr>
              <w:spacing w:after="0"/>
              <w:ind w:firstLine="0"/>
              <w:rPr>
                <w:rFonts w:cs="Calibri"/>
                <w:sz w:val="14"/>
              </w:rPr>
            </w:pPr>
            <w:r w:rsidRPr="00DB02FF">
              <w:rPr>
                <w:rFonts w:cs="Calibri"/>
                <w:color w:val="000000"/>
                <w:sz w:val="14"/>
              </w:rPr>
              <w:t>Health equity between women is a stated organising principle. The strategy commits to recognising different health needs, addressing gaps in services, and targeting populations with the worst health outcomes. Migrants and refugee women are included among priority populations. However, equity is not operationalised in relation to visa status or Medicare eligibility, and structural entitlement barriers remain unaddressed.</w:t>
            </w:r>
          </w:p>
        </w:tc>
      </w:tr>
      <w:tr w:rsidR="00EB4ED0" w:rsidRPr="00DB02FF" w14:paraId="65952AA5" w14:textId="77777777" w:rsidTr="00EB4ED0">
        <w:tc>
          <w:tcPr>
            <w:tcW w:w="358" w:type="dxa"/>
            <w:vAlign w:val="center"/>
          </w:tcPr>
          <w:p w14:paraId="772EC57C" w14:textId="77777777" w:rsidR="00EB4ED0" w:rsidRPr="00DB02FF" w:rsidRDefault="00EB4ED0" w:rsidP="007406A9">
            <w:pPr>
              <w:spacing w:after="0"/>
              <w:ind w:firstLine="0"/>
              <w:jc w:val="center"/>
              <w:rPr>
                <w:rFonts w:cs="Calibri"/>
                <w:sz w:val="14"/>
              </w:rPr>
            </w:pPr>
            <w:r w:rsidRPr="00DB02FF">
              <w:rPr>
                <w:rFonts w:cs="Calibri"/>
                <w:sz w:val="14"/>
              </w:rPr>
              <w:t>5</w:t>
            </w:r>
          </w:p>
        </w:tc>
        <w:tc>
          <w:tcPr>
            <w:tcW w:w="1344" w:type="dxa"/>
          </w:tcPr>
          <w:p w14:paraId="585B1DB5" w14:textId="77777777" w:rsidR="00EB4ED0" w:rsidRPr="00DB02FF" w:rsidRDefault="00EB4ED0" w:rsidP="007406A9">
            <w:pPr>
              <w:spacing w:after="0"/>
              <w:ind w:firstLine="0"/>
              <w:rPr>
                <w:rFonts w:cs="Calibri"/>
                <w:sz w:val="14"/>
              </w:rPr>
            </w:pPr>
            <w:r w:rsidRPr="00DB02FF">
              <w:rPr>
                <w:rFonts w:cs="Calibri"/>
                <w:sz w:val="14"/>
              </w:rPr>
              <w:t xml:space="preserve">National Action Plan for Endometriosis </w:t>
            </w:r>
            <w:r w:rsidRPr="00DB02FF">
              <w:rPr>
                <w:rFonts w:cs="Calibri"/>
                <w:sz w:val="14"/>
              </w:rPr>
              <w:fldChar w:fldCharType="begin"/>
            </w:r>
            <w:r>
              <w:rPr>
                <w:rFonts w:cs="Calibri"/>
                <w:sz w:val="14"/>
              </w:rPr>
              <w:instrText xml:space="preserve"> ADDIN EN.CITE &lt;EndNote&gt;&lt;Cite&gt;&lt;Author&gt;Commonwealth of Australia (Department of Health)&lt;/Author&gt;&lt;Year&gt;2018&lt;/Year&gt;&lt;RecNum&gt;230&lt;/RecNum&gt;&lt;DisplayText&gt;(29)&lt;/DisplayText&gt;&lt;record&gt;&lt;rec-number&gt;230&lt;/rec-number&gt;&lt;foreign-keys&gt;&lt;key app="EN" db-id="rpvwsrsz7xw2rmep9ztxavrkttar9reapt9w" timestamp="1773188549"&gt;230&lt;/key&gt;&lt;/foreign-keys&gt;&lt;ref-type name="Web Page"&gt;12&lt;/ref-type&gt;&lt;contributors&gt;&lt;authors&gt;&lt;author&gt;Commonwealth of Australia (Department of Health),&lt;/author&gt;&lt;/authors&gt;&lt;/contributors&gt;&lt;titles&gt;&lt;title&gt;National Action Plan for Endometriosis &lt;/title&gt;&lt;/titles&gt;&lt;volume&gt;2026&lt;/volume&gt;&lt;number&gt;11 March &lt;/number&gt;&lt;dates&gt;&lt;year&gt;2018&lt;/year&gt;&lt;/dates&gt;&lt;urls&gt;&lt;related-urls&gt;&lt;url&gt;https://www.health.gov.au/sites/default/files/national-action-plan-for-endometriosis.pdf&lt;/url&gt;&lt;/related-urls&gt;&lt;/urls&gt;&lt;/record&gt;&lt;/Cite&gt;&lt;/EndNote&gt;</w:instrText>
            </w:r>
            <w:r w:rsidRPr="00DB02FF">
              <w:rPr>
                <w:rFonts w:cs="Calibri"/>
                <w:sz w:val="14"/>
              </w:rPr>
              <w:fldChar w:fldCharType="separate"/>
            </w:r>
            <w:r>
              <w:rPr>
                <w:rFonts w:cs="Calibri"/>
                <w:noProof/>
                <w:sz w:val="14"/>
              </w:rPr>
              <w:t>(29)</w:t>
            </w:r>
            <w:r w:rsidRPr="00DB02FF">
              <w:rPr>
                <w:rFonts w:cs="Calibri"/>
                <w:sz w:val="14"/>
              </w:rPr>
              <w:fldChar w:fldCharType="end"/>
            </w:r>
          </w:p>
        </w:tc>
        <w:tc>
          <w:tcPr>
            <w:tcW w:w="2126" w:type="dxa"/>
          </w:tcPr>
          <w:p w14:paraId="3A8F85BE" w14:textId="77777777" w:rsidR="00EB4ED0" w:rsidRPr="00DB02FF" w:rsidRDefault="00EB4ED0" w:rsidP="007406A9">
            <w:pPr>
              <w:spacing w:after="0"/>
              <w:ind w:firstLine="0"/>
              <w:rPr>
                <w:rFonts w:cs="Calibri"/>
                <w:sz w:val="14"/>
              </w:rPr>
            </w:pPr>
            <w:r w:rsidRPr="00DB02FF">
              <w:rPr>
                <w:rFonts w:cs="Calibri"/>
                <w:color w:val="000000"/>
                <w:sz w:val="14"/>
              </w:rPr>
              <w:t>Universal framing: "all women and girls, transgender, non-binary, and gender-diverse people assigned female at birth, regardless of age, background or lifestyle"; with no eligibility criteria based on visa status, residency, or Medicare enrolment stated.</w:t>
            </w:r>
          </w:p>
        </w:tc>
        <w:tc>
          <w:tcPr>
            <w:tcW w:w="3402" w:type="dxa"/>
          </w:tcPr>
          <w:p w14:paraId="2F0A8D76" w14:textId="77777777" w:rsidR="00EB4ED0" w:rsidRPr="00DB02FF" w:rsidRDefault="00EB4ED0" w:rsidP="007406A9">
            <w:pPr>
              <w:spacing w:after="0"/>
              <w:ind w:firstLine="0"/>
              <w:rPr>
                <w:rFonts w:cs="Calibri"/>
                <w:sz w:val="14"/>
              </w:rPr>
            </w:pPr>
            <w:r w:rsidRPr="00DB02FF">
              <w:rPr>
                <w:rFonts w:cs="Calibri"/>
                <w:color w:val="000000"/>
                <w:sz w:val="14"/>
              </w:rPr>
              <w:t>Language barriers are partially addressed through resources in multiple languages across varying literacy levels, but no interpreter services are mentioned. Cultural barriers are acknowledged through co-designed education materials and a requirement for culturally safe models of care. Financial barriers are addressed generally through affordability commitments, with no specific reference to migrants or CALD populations. Legal and geographic barriers for CALD populations are absent.</w:t>
            </w:r>
          </w:p>
        </w:tc>
        <w:tc>
          <w:tcPr>
            <w:tcW w:w="2977" w:type="dxa"/>
          </w:tcPr>
          <w:p w14:paraId="42E1ADA0" w14:textId="77777777" w:rsidR="00EB4ED0" w:rsidRPr="00DB02FF" w:rsidRDefault="00EB4ED0" w:rsidP="007406A9">
            <w:pPr>
              <w:spacing w:after="0"/>
              <w:ind w:firstLine="0"/>
              <w:rPr>
                <w:rFonts w:cs="Calibri"/>
                <w:color w:val="000000"/>
                <w:sz w:val="14"/>
              </w:rPr>
            </w:pPr>
            <w:r w:rsidRPr="00DB02FF">
              <w:rPr>
                <w:rFonts w:cs="Calibri"/>
                <w:color w:val="000000"/>
                <w:sz w:val="14"/>
              </w:rPr>
              <w:t>Implicit.</w:t>
            </w:r>
          </w:p>
          <w:p w14:paraId="66CEB115" w14:textId="77777777" w:rsidR="00EB4ED0" w:rsidRPr="00DB02FF" w:rsidRDefault="00EB4ED0" w:rsidP="007406A9">
            <w:pPr>
              <w:spacing w:after="0"/>
              <w:ind w:firstLine="0"/>
              <w:rPr>
                <w:rFonts w:cs="Calibri"/>
                <w:sz w:val="14"/>
              </w:rPr>
            </w:pPr>
            <w:r w:rsidRPr="00DB02FF">
              <w:rPr>
                <w:rFonts w:cs="Calibri"/>
                <w:color w:val="000000"/>
                <w:sz w:val="14"/>
              </w:rPr>
              <w:t>CALD communities are named among groups requiring improved accessibility. Education materials are to be tailored and co-designed. No cultural safety framework, interpreter provisions, or migration-specific strategies are described.</w:t>
            </w:r>
          </w:p>
        </w:tc>
        <w:tc>
          <w:tcPr>
            <w:tcW w:w="2835" w:type="dxa"/>
          </w:tcPr>
          <w:p w14:paraId="226C6A4B"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Absent. </w:t>
            </w:r>
          </w:p>
          <w:p w14:paraId="343675CC" w14:textId="77777777" w:rsidR="00EB4ED0" w:rsidRPr="00DB02FF" w:rsidRDefault="00EB4ED0" w:rsidP="007406A9">
            <w:pPr>
              <w:spacing w:after="0"/>
              <w:ind w:firstLine="0"/>
              <w:rPr>
                <w:rFonts w:cs="Calibri"/>
                <w:sz w:val="14"/>
              </w:rPr>
            </w:pPr>
            <w:r w:rsidRPr="00DB02FF">
              <w:rPr>
                <w:rFonts w:cs="Calibri"/>
                <w:color w:val="000000"/>
                <w:sz w:val="14"/>
              </w:rPr>
              <w:t>No reference to human rights frameworks of any kind. The word "equity" does not appear in the document.</w:t>
            </w:r>
          </w:p>
        </w:tc>
        <w:tc>
          <w:tcPr>
            <w:tcW w:w="2977" w:type="dxa"/>
          </w:tcPr>
          <w:p w14:paraId="2851CF94" w14:textId="77777777" w:rsidR="00EB4ED0" w:rsidRPr="00DB02FF" w:rsidRDefault="00EB4ED0" w:rsidP="007406A9">
            <w:pPr>
              <w:spacing w:after="0"/>
              <w:ind w:firstLine="0"/>
              <w:rPr>
                <w:rFonts w:cs="Calibri"/>
                <w:sz w:val="14"/>
              </w:rPr>
            </w:pPr>
            <w:r w:rsidRPr="00DB02FF">
              <w:rPr>
                <w:rFonts w:cs="Calibri"/>
                <w:color w:val="000000"/>
                <w:sz w:val="14"/>
              </w:rPr>
              <w:t>Implicit, framed entirely through accessibility and vulnerability language. CALD communities are listed among vulnerable groups requiring improved access and protection from service gaps. No structural or rights-based equity analysis is applied, and visa-based exclusions from Medicare are not acknowledged.</w:t>
            </w:r>
          </w:p>
        </w:tc>
      </w:tr>
      <w:tr w:rsidR="00EB4ED0" w:rsidRPr="00DB02FF" w14:paraId="28C8671B" w14:textId="77777777" w:rsidTr="00EB4ED0">
        <w:tc>
          <w:tcPr>
            <w:tcW w:w="358" w:type="dxa"/>
            <w:shd w:val="clear" w:color="auto" w:fill="F2F2F2" w:themeFill="background1" w:themeFillShade="F2"/>
            <w:vAlign w:val="center"/>
          </w:tcPr>
          <w:p w14:paraId="2691D987" w14:textId="77777777" w:rsidR="00EB4ED0" w:rsidRPr="00DB02FF" w:rsidRDefault="00EB4ED0" w:rsidP="007406A9">
            <w:pPr>
              <w:spacing w:after="0"/>
              <w:ind w:firstLine="0"/>
              <w:jc w:val="center"/>
              <w:rPr>
                <w:rFonts w:cs="Calibri"/>
                <w:sz w:val="14"/>
              </w:rPr>
            </w:pPr>
            <w:r w:rsidRPr="00DB02FF">
              <w:rPr>
                <w:rFonts w:cs="Calibri"/>
                <w:sz w:val="14"/>
              </w:rPr>
              <w:t>6</w:t>
            </w:r>
          </w:p>
        </w:tc>
        <w:tc>
          <w:tcPr>
            <w:tcW w:w="1344" w:type="dxa"/>
            <w:shd w:val="clear" w:color="auto" w:fill="F2F2F2" w:themeFill="background1" w:themeFillShade="F2"/>
          </w:tcPr>
          <w:p w14:paraId="4452E4DD" w14:textId="77777777" w:rsidR="00EB4ED0" w:rsidRPr="00DB02FF" w:rsidRDefault="00EB4ED0" w:rsidP="007406A9">
            <w:pPr>
              <w:spacing w:after="0"/>
              <w:ind w:firstLine="0"/>
              <w:rPr>
                <w:rFonts w:cs="Calibri"/>
                <w:sz w:val="14"/>
              </w:rPr>
            </w:pPr>
            <w:r w:rsidRPr="00DB02FF">
              <w:rPr>
                <w:rFonts w:cs="Calibri"/>
                <w:sz w:val="14"/>
              </w:rPr>
              <w:t xml:space="preserve">Woman-centred care: Strategic </w:t>
            </w:r>
            <w:r w:rsidRPr="00DB02FF">
              <w:rPr>
                <w:rFonts w:cs="Calibri"/>
                <w:sz w:val="14"/>
              </w:rPr>
              <w:lastRenderedPageBreak/>
              <w:t xml:space="preserve">directions for Australian maternity services </w:t>
            </w:r>
            <w:r w:rsidRPr="00DB02FF">
              <w:rPr>
                <w:rFonts w:cs="Calibri"/>
                <w:sz w:val="14"/>
              </w:rPr>
              <w:fldChar w:fldCharType="begin"/>
            </w:r>
            <w:r>
              <w:rPr>
                <w:rFonts w:cs="Calibri"/>
                <w:sz w:val="14"/>
              </w:rPr>
              <w:instrText xml:space="preserve"> ADDIN EN.CITE &lt;EndNote&gt;&lt;Cite&gt;&lt;Author&gt;Council of Australian Governments (COAG) Health Council&lt;/Author&gt;&lt;Year&gt;2019&lt;/Year&gt;&lt;RecNum&gt;231&lt;/RecNum&gt;&lt;DisplayText&gt;(52)&lt;/DisplayText&gt;&lt;record&gt;&lt;rec-number&gt;231&lt;/rec-number&gt;&lt;foreign-keys&gt;&lt;key app="EN" db-id="rpvwsrsz7xw2rmep9ztxavrkttar9reapt9w" timestamp="1773189883"&gt;231&lt;/key&gt;&lt;/foreign-keys&gt;&lt;ref-type name="Web Page"&gt;12&lt;/ref-type&gt;&lt;contributors&gt;&lt;authors&gt;&lt;author&gt;Council of Australian Governments (COAG) Health Council, &lt;/author&gt;&lt;/authors&gt;&lt;/contributors&gt;&lt;titles&gt;&lt;title&gt;Woman-centred care: Strategic directions for Australian maternity services&lt;/title&gt;&lt;/titles&gt;&lt;volume&gt;2026&lt;/volume&gt;&lt;number&gt;11 March &lt;/number&gt;&lt;dates&gt;&lt;year&gt;2019&lt;/year&gt;&lt;/dates&gt;&lt;urls&gt;&lt;related-urls&gt;&lt;url&gt;https://www.health.gov.au/sites/default/files/documents/2019/11/woman-centred-care-strategic-directions-for-australian-maternity-services.pdf&lt;/url&gt;&lt;/related-urls&gt;&lt;/urls&gt;&lt;/record&gt;&lt;/Cite&gt;&lt;/EndNote&gt;</w:instrText>
            </w:r>
            <w:r w:rsidRPr="00DB02FF">
              <w:rPr>
                <w:rFonts w:cs="Calibri"/>
                <w:sz w:val="14"/>
              </w:rPr>
              <w:fldChar w:fldCharType="separate"/>
            </w:r>
            <w:r>
              <w:rPr>
                <w:rFonts w:cs="Calibri"/>
                <w:noProof/>
                <w:sz w:val="14"/>
              </w:rPr>
              <w:t>(52)</w:t>
            </w:r>
            <w:r w:rsidRPr="00DB02FF">
              <w:rPr>
                <w:rFonts w:cs="Calibri"/>
                <w:sz w:val="14"/>
              </w:rPr>
              <w:fldChar w:fldCharType="end"/>
            </w:r>
          </w:p>
        </w:tc>
        <w:tc>
          <w:tcPr>
            <w:tcW w:w="2126" w:type="dxa"/>
            <w:shd w:val="clear" w:color="auto" w:fill="F2F2F2" w:themeFill="background1" w:themeFillShade="F2"/>
          </w:tcPr>
          <w:p w14:paraId="3B22BD70"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Access to maternity care is explicitly linked to Medicare, </w:t>
            </w:r>
            <w:r w:rsidRPr="00DB02FF">
              <w:rPr>
                <w:rFonts w:cs="Calibri"/>
                <w:color w:val="000000"/>
                <w:sz w:val="14"/>
              </w:rPr>
              <w:lastRenderedPageBreak/>
              <w:t>private health insurance, and state and territory funding arrangements. No eligibility criteria based on visa status or residency are stated, but the funding architecture described implicitly excludes those without Medicare entitlements.</w:t>
            </w:r>
          </w:p>
        </w:tc>
        <w:tc>
          <w:tcPr>
            <w:tcW w:w="3402" w:type="dxa"/>
            <w:shd w:val="clear" w:color="auto" w:fill="F2F2F2" w:themeFill="background1" w:themeFillShade="F2"/>
          </w:tcPr>
          <w:p w14:paraId="3ECA52A5"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A systematic review cited in the document identifies the following barriers for immigrant and refugee </w:t>
            </w:r>
            <w:r w:rsidRPr="00DB02FF">
              <w:rPr>
                <w:rFonts w:cs="Calibri"/>
                <w:color w:val="000000"/>
                <w:sz w:val="14"/>
              </w:rPr>
              <w:lastRenderedPageBreak/>
              <w:t>women: language and interpreter-related issues, health professionals' lack of cultural knowledge, systemic barriers and difficulty navigating the health system, transport difficulties, and cost of services. This is the most explicit acknowledgement of migration-specific barriers in the maternity documents reviewed to this point, though the barriers are drawn from cited evidence rather than addressed through specific policy actions.</w:t>
            </w:r>
          </w:p>
        </w:tc>
        <w:tc>
          <w:tcPr>
            <w:tcW w:w="2977" w:type="dxa"/>
            <w:shd w:val="clear" w:color="auto" w:fill="F2F2F2" w:themeFill="background1" w:themeFillShade="F2"/>
          </w:tcPr>
          <w:p w14:paraId="72D15F6D"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Present and substantive. </w:t>
            </w:r>
          </w:p>
          <w:p w14:paraId="6546D07B" w14:textId="77777777" w:rsidR="00EB4ED0" w:rsidRPr="00DB02FF" w:rsidRDefault="00EB4ED0" w:rsidP="007406A9">
            <w:pPr>
              <w:spacing w:after="0"/>
              <w:ind w:firstLine="0"/>
              <w:rPr>
                <w:rFonts w:cs="Calibri"/>
                <w:sz w:val="14"/>
              </w:rPr>
            </w:pPr>
            <w:r w:rsidRPr="00DB02FF">
              <w:rPr>
                <w:rFonts w:cs="Calibri"/>
                <w:color w:val="000000"/>
                <w:sz w:val="14"/>
              </w:rPr>
              <w:t xml:space="preserve">Culturally safe and responsive maternity care in </w:t>
            </w:r>
            <w:r w:rsidRPr="00DB02FF">
              <w:rPr>
                <w:rFonts w:cs="Calibri"/>
                <w:color w:val="000000"/>
                <w:sz w:val="14"/>
              </w:rPr>
              <w:lastRenderedPageBreak/>
              <w:t>women's preferred language is a stated principle. A dedicated strategic direction commits to developing culturally safe models of care in partnership with CALD women and their communities. Enablers include language services, bilingual and bicultural workers, maternity liaison officers, interpreter training, language-specific antenatal clinics, and a CALD workforce. The Culturally Responsive Clinical Practice framework for working with migrants and refugees, endorsed by RANZCOG and 17 other organisations, is referenced.</w:t>
            </w:r>
          </w:p>
        </w:tc>
        <w:tc>
          <w:tcPr>
            <w:tcW w:w="2835" w:type="dxa"/>
            <w:shd w:val="clear" w:color="auto" w:fill="F2F2F2" w:themeFill="background1" w:themeFillShade="F2"/>
          </w:tcPr>
          <w:p w14:paraId="68B8F07F"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Present. </w:t>
            </w:r>
          </w:p>
          <w:p w14:paraId="19EF34F8" w14:textId="77777777" w:rsidR="00EB4ED0" w:rsidRPr="00DB02FF" w:rsidRDefault="00EB4ED0" w:rsidP="007406A9">
            <w:pPr>
              <w:spacing w:after="0"/>
              <w:ind w:firstLine="0"/>
              <w:rPr>
                <w:rFonts w:cs="Calibri"/>
                <w:sz w:val="14"/>
              </w:rPr>
            </w:pPr>
            <w:r w:rsidRPr="00DB02FF">
              <w:rPr>
                <w:rFonts w:cs="Calibri"/>
                <w:color w:val="000000"/>
                <w:sz w:val="14"/>
              </w:rPr>
              <w:t xml:space="preserve">The strategy is aligned with the Respectful </w:t>
            </w:r>
            <w:r w:rsidRPr="00DB02FF">
              <w:rPr>
                <w:rFonts w:cs="Calibri"/>
                <w:color w:val="000000"/>
                <w:sz w:val="14"/>
              </w:rPr>
              <w:lastRenderedPageBreak/>
              <w:t>Maternity Charter: the universal rights of childbearing women. Disrespect and abuse during maternity care are explicitly named as violations of basic human rights. Women's right to autonomy, self-determination, and freedom from coercion are stated.</w:t>
            </w:r>
          </w:p>
        </w:tc>
        <w:tc>
          <w:tcPr>
            <w:tcW w:w="2977" w:type="dxa"/>
            <w:shd w:val="clear" w:color="auto" w:fill="F2F2F2" w:themeFill="background1" w:themeFillShade="F2"/>
          </w:tcPr>
          <w:p w14:paraId="08CFD91A"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Equity is a stated aim but not operationalised for migrant populations specifically. Data </w:t>
            </w:r>
            <w:r w:rsidRPr="00DB02FF">
              <w:rPr>
                <w:rFonts w:cs="Calibri"/>
                <w:color w:val="000000"/>
                <w:sz w:val="14"/>
              </w:rPr>
              <w:lastRenderedPageBreak/>
              <w:t>demonstrating worse outcomes for mothers born in non-English-speaking countries is cited, but no equity targets or strategies specific to migrant women follow from this evidence.</w:t>
            </w:r>
          </w:p>
        </w:tc>
      </w:tr>
      <w:tr w:rsidR="00EB4ED0" w:rsidRPr="00DB02FF" w14:paraId="4E552AF7" w14:textId="77777777" w:rsidTr="00EB4ED0">
        <w:tc>
          <w:tcPr>
            <w:tcW w:w="358" w:type="dxa"/>
            <w:vAlign w:val="center"/>
          </w:tcPr>
          <w:p w14:paraId="2B28342D" w14:textId="77777777" w:rsidR="00EB4ED0" w:rsidRPr="00DB02FF" w:rsidRDefault="00EB4ED0" w:rsidP="007406A9">
            <w:pPr>
              <w:spacing w:after="0"/>
              <w:ind w:firstLine="0"/>
              <w:jc w:val="center"/>
              <w:rPr>
                <w:rFonts w:cs="Calibri"/>
                <w:sz w:val="14"/>
              </w:rPr>
            </w:pPr>
            <w:r w:rsidRPr="00DB02FF">
              <w:rPr>
                <w:rFonts w:cs="Calibri"/>
                <w:sz w:val="14"/>
              </w:rPr>
              <w:lastRenderedPageBreak/>
              <w:t>7</w:t>
            </w:r>
          </w:p>
        </w:tc>
        <w:tc>
          <w:tcPr>
            <w:tcW w:w="1344" w:type="dxa"/>
          </w:tcPr>
          <w:p w14:paraId="4066731F" w14:textId="77777777" w:rsidR="00EB4ED0" w:rsidRPr="00DB02FF" w:rsidRDefault="00EB4ED0" w:rsidP="007406A9">
            <w:pPr>
              <w:spacing w:after="0"/>
              <w:ind w:firstLine="0"/>
              <w:rPr>
                <w:rFonts w:cs="Calibri"/>
                <w:sz w:val="14"/>
              </w:rPr>
            </w:pPr>
            <w:r w:rsidRPr="00DB02FF">
              <w:rPr>
                <w:rFonts w:cs="Calibri"/>
                <w:sz w:val="14"/>
              </w:rPr>
              <w:t xml:space="preserve">DVA Family and Domestic Violence Strategy 2020–25 </w:t>
            </w:r>
            <w:r w:rsidRPr="00DB02FF">
              <w:rPr>
                <w:rFonts w:cs="Calibri"/>
                <w:sz w:val="14"/>
              </w:rPr>
              <w:fldChar w:fldCharType="begin"/>
            </w:r>
            <w:r>
              <w:rPr>
                <w:rFonts w:cs="Calibri"/>
                <w:sz w:val="14"/>
              </w:rPr>
              <w:instrText xml:space="preserve"> ADDIN EN.CITE &lt;EndNote&gt;&lt;Cite&gt;&lt;Author&gt;Department of Veterans&amp;apos; Affairs (DVA)&lt;/Author&gt;&lt;Year&gt;2019&lt;/Year&gt;&lt;RecNum&gt;232&lt;/RecNum&gt;&lt;DisplayText&gt;(21)&lt;/DisplayText&gt;&lt;record&gt;&lt;rec-number&gt;232&lt;/rec-number&gt;&lt;foreign-keys&gt;&lt;key app="EN" db-id="rpvwsrsz7xw2rmep9ztxavrkttar9reapt9w" timestamp="1773191716"&gt;232&lt;/key&gt;&lt;/foreign-keys&gt;&lt;ref-type name="Web Page"&gt;12&lt;/ref-type&gt;&lt;contributors&gt;&lt;authors&gt;&lt;author&gt;Department of Veterans&amp;apos; Affairs (DVA), &lt;/author&gt;&lt;/authors&gt;&lt;/contributors&gt;&lt;titles&gt;&lt;title&gt;DVA Family and Domestic Violence Strategy 2020–25&lt;/title&gt;&lt;/titles&gt;&lt;volume&gt;2026&lt;/volume&gt;&lt;number&gt;11 March &lt;/number&gt;&lt;dates&gt;&lt;year&gt;2019&lt;/year&gt;&lt;/dates&gt;&lt;urls&gt;&lt;related-urls&gt;&lt;url&gt;https://www.dva.gov.au/sites/default/files/dva-family-and-domestic-violence-strategy2020-2025.pdf&lt;/url&gt;&lt;/related-urls&gt;&lt;/urls&gt;&lt;/record&gt;&lt;/Cite&gt;&lt;/EndNote&gt;</w:instrText>
            </w:r>
            <w:r w:rsidRPr="00DB02FF">
              <w:rPr>
                <w:rFonts w:cs="Calibri"/>
                <w:sz w:val="14"/>
              </w:rPr>
              <w:fldChar w:fldCharType="separate"/>
            </w:r>
            <w:r>
              <w:rPr>
                <w:rFonts w:cs="Calibri"/>
                <w:noProof/>
                <w:sz w:val="14"/>
              </w:rPr>
              <w:t>(21)</w:t>
            </w:r>
            <w:r w:rsidRPr="00DB02FF">
              <w:rPr>
                <w:rFonts w:cs="Calibri"/>
                <w:sz w:val="14"/>
              </w:rPr>
              <w:fldChar w:fldCharType="end"/>
            </w:r>
          </w:p>
        </w:tc>
        <w:tc>
          <w:tcPr>
            <w:tcW w:w="2126" w:type="dxa"/>
          </w:tcPr>
          <w:p w14:paraId="355B3EC2" w14:textId="77777777" w:rsidR="00EB4ED0" w:rsidRPr="00DB02FF" w:rsidRDefault="00EB4ED0" w:rsidP="007406A9">
            <w:pPr>
              <w:spacing w:after="0"/>
              <w:ind w:firstLine="0"/>
              <w:rPr>
                <w:rFonts w:cs="Calibri"/>
                <w:sz w:val="14"/>
              </w:rPr>
            </w:pPr>
            <w:r w:rsidRPr="00DB02FF">
              <w:rPr>
                <w:rFonts w:cs="Calibri"/>
                <w:color w:val="000000"/>
                <w:sz w:val="14"/>
              </w:rPr>
              <w:t>Services are explicitly scoped to veterans, their families, and DVA staff. No eligibility criteria based on visa status, residency, or Medicare enrolment are stated. The document does not acknowledge that Crisis Payments, Open Arms access, and Medicare-dependent services may be unavailable to former partners on temporary visas, particularly following separation.</w:t>
            </w:r>
          </w:p>
        </w:tc>
        <w:tc>
          <w:tcPr>
            <w:tcW w:w="3402" w:type="dxa"/>
          </w:tcPr>
          <w:p w14:paraId="088371CB" w14:textId="77777777" w:rsidR="00EB4ED0" w:rsidRPr="00DB02FF" w:rsidRDefault="00EB4ED0" w:rsidP="007406A9">
            <w:pPr>
              <w:spacing w:after="0"/>
              <w:ind w:firstLine="0"/>
              <w:rPr>
                <w:rFonts w:cs="Calibri"/>
                <w:sz w:val="14"/>
              </w:rPr>
            </w:pPr>
            <w:r w:rsidRPr="00DB02FF">
              <w:rPr>
                <w:rFonts w:cs="Calibri"/>
                <w:color w:val="000000"/>
                <w:sz w:val="14"/>
              </w:rPr>
              <w:t>No barriers specific to migrant or CALD populations are addressed. CALD communities are named as a group for whom risk identification approaches will be tailored, but no specific barriers; language, financial, legal, or immigration-related are identified or actioned.</w:t>
            </w:r>
          </w:p>
        </w:tc>
        <w:tc>
          <w:tcPr>
            <w:tcW w:w="2977" w:type="dxa"/>
          </w:tcPr>
          <w:p w14:paraId="35B14001"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Implicit. </w:t>
            </w:r>
          </w:p>
          <w:p w14:paraId="6BF1363C" w14:textId="77777777" w:rsidR="00EB4ED0" w:rsidRPr="00DB02FF" w:rsidRDefault="00EB4ED0" w:rsidP="007406A9">
            <w:pPr>
              <w:spacing w:after="0"/>
              <w:ind w:firstLine="0"/>
              <w:rPr>
                <w:rFonts w:cs="Calibri"/>
                <w:sz w:val="14"/>
              </w:rPr>
            </w:pPr>
            <w:r w:rsidRPr="00DB02FF">
              <w:rPr>
                <w:rFonts w:cs="Calibri"/>
                <w:color w:val="000000"/>
                <w:sz w:val="14"/>
              </w:rPr>
              <w:t>CALD women are named once as a vulnerable group and once in relation to tailored risk identification. No interpreter services, translated materials, bicultural workers, or migration-specific cultural strategies are described.</w:t>
            </w:r>
          </w:p>
        </w:tc>
        <w:tc>
          <w:tcPr>
            <w:tcW w:w="2835" w:type="dxa"/>
          </w:tcPr>
          <w:p w14:paraId="1FBA8DC4"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Absent. </w:t>
            </w:r>
          </w:p>
          <w:p w14:paraId="52DD5651" w14:textId="77777777" w:rsidR="00EB4ED0" w:rsidRPr="00DB02FF" w:rsidRDefault="00EB4ED0" w:rsidP="007406A9">
            <w:pPr>
              <w:spacing w:after="0"/>
              <w:ind w:firstLine="0"/>
              <w:rPr>
                <w:rFonts w:cs="Calibri"/>
                <w:sz w:val="14"/>
              </w:rPr>
            </w:pPr>
            <w:r w:rsidRPr="00DB02FF">
              <w:rPr>
                <w:rFonts w:cs="Calibri"/>
                <w:color w:val="000000"/>
                <w:sz w:val="14"/>
              </w:rPr>
              <w:t>No reference to human rights frameworks. The intersection of family violence with immigration law and limited visa rights is not acknowledged.</w:t>
            </w:r>
          </w:p>
        </w:tc>
        <w:tc>
          <w:tcPr>
            <w:tcW w:w="2977" w:type="dxa"/>
          </w:tcPr>
          <w:p w14:paraId="10455186" w14:textId="77777777" w:rsidR="00EB4ED0" w:rsidRPr="00DB02FF" w:rsidRDefault="00EB4ED0" w:rsidP="007406A9">
            <w:pPr>
              <w:spacing w:after="0"/>
              <w:ind w:firstLine="0"/>
              <w:rPr>
                <w:rFonts w:cs="Calibri"/>
                <w:sz w:val="14"/>
              </w:rPr>
            </w:pPr>
            <w:r w:rsidRPr="00DB02FF">
              <w:rPr>
                <w:rFonts w:cs="Calibri"/>
                <w:color w:val="000000"/>
                <w:sz w:val="14"/>
              </w:rPr>
              <w:t>CALD populations are listed as a vulnerable group but without specific equity measures. Universal service framing is applied without acknowledging that it may reproduce inequities for those with precarious migration status, restricted service eligibility, or visa-dependent relationships.</w:t>
            </w:r>
          </w:p>
        </w:tc>
      </w:tr>
      <w:tr w:rsidR="00EB4ED0" w:rsidRPr="00DB02FF" w14:paraId="073C688E" w14:textId="77777777" w:rsidTr="00EB4ED0">
        <w:tc>
          <w:tcPr>
            <w:tcW w:w="358" w:type="dxa"/>
            <w:shd w:val="clear" w:color="auto" w:fill="F2F2F2" w:themeFill="background1" w:themeFillShade="F2"/>
            <w:vAlign w:val="center"/>
          </w:tcPr>
          <w:p w14:paraId="345E22CB" w14:textId="77777777" w:rsidR="00EB4ED0" w:rsidRPr="00DB02FF" w:rsidRDefault="00EB4ED0" w:rsidP="007406A9">
            <w:pPr>
              <w:spacing w:after="0"/>
              <w:ind w:firstLine="0"/>
              <w:jc w:val="center"/>
              <w:rPr>
                <w:rFonts w:cs="Calibri"/>
                <w:color w:val="000000" w:themeColor="text1"/>
                <w:sz w:val="14"/>
              </w:rPr>
            </w:pPr>
            <w:r w:rsidRPr="00DB02FF">
              <w:rPr>
                <w:rFonts w:cs="Calibri"/>
                <w:color w:val="000000" w:themeColor="text1"/>
                <w:sz w:val="14"/>
              </w:rPr>
              <w:t>8</w:t>
            </w:r>
          </w:p>
        </w:tc>
        <w:tc>
          <w:tcPr>
            <w:tcW w:w="1344" w:type="dxa"/>
            <w:shd w:val="clear" w:color="auto" w:fill="F2F2F2" w:themeFill="background1" w:themeFillShade="F2"/>
          </w:tcPr>
          <w:p w14:paraId="1A699027" w14:textId="77777777" w:rsidR="00EB4ED0" w:rsidRPr="00DB02FF" w:rsidRDefault="00EB4ED0" w:rsidP="007406A9">
            <w:pPr>
              <w:spacing w:after="0"/>
              <w:ind w:firstLine="0"/>
              <w:rPr>
                <w:rFonts w:cs="Calibri"/>
                <w:sz w:val="14"/>
              </w:rPr>
            </w:pPr>
            <w:r w:rsidRPr="00DB02FF">
              <w:rPr>
                <w:rFonts w:cs="Calibri"/>
                <w:color w:val="000000" w:themeColor="text1"/>
                <w:sz w:val="14"/>
              </w:rPr>
              <w:t xml:space="preserve">National Stillbirth Action and Implementation Plan </w:t>
            </w:r>
            <w:r w:rsidRPr="00DB02FF">
              <w:rPr>
                <w:rFonts w:cs="Calibri"/>
                <w:color w:val="000000" w:themeColor="text1"/>
                <w:sz w:val="14"/>
              </w:rPr>
              <w:fldChar w:fldCharType="begin"/>
            </w:r>
            <w:r>
              <w:rPr>
                <w:rFonts w:cs="Calibri"/>
                <w:color w:val="000000" w:themeColor="text1"/>
                <w:sz w:val="14"/>
              </w:rPr>
              <w:instrText xml:space="preserve"> ADDIN EN.CITE &lt;EndNote&gt;&lt;Cite&gt;&lt;Author&gt;Australian Government Department of Health&lt;/Author&gt;&lt;Year&gt;2020&lt;/Year&gt;&lt;RecNum&gt;235&lt;/RecNum&gt;&lt;DisplayText&gt;(32)&lt;/DisplayText&gt;&lt;record&gt;&lt;rec-number&gt;235&lt;/rec-number&gt;&lt;foreign-keys&gt;&lt;key app="EN" db-id="rpvwsrsz7xw2rmep9ztxavrkttar9reapt9w" timestamp="1773193652"&gt;235&lt;/key&gt;&lt;/foreign-keys&gt;&lt;ref-type name="Web Page"&gt;12&lt;/ref-type&gt;&lt;contributors&gt;&lt;authors&gt;&lt;author&gt;Australian Government Department of Health, &lt;/author&gt;&lt;/authors&gt;&lt;/contributors&gt;&lt;titles&gt;&lt;title&gt;National Stillbirth Action and Implementation Plan&lt;/title&gt;&lt;/titles&gt;&lt;volume&gt;2026&lt;/volume&gt;&lt;number&gt;11 March &lt;/number&gt;&lt;dates&gt;&lt;year&gt;2020&lt;/year&gt;&lt;/dates&gt;&lt;urls&gt;&lt;related-urls&gt;&lt;url&gt;https://www.health.gov.au/sites/default/files/documents/2021/03/national-stillbirth-action-and-implementation-plan.pdf&lt;/url&gt;&lt;/related-urls&gt;&lt;/urls&gt;&lt;/record&gt;&lt;/Cite&gt;&lt;/EndNote&gt;</w:instrText>
            </w:r>
            <w:r w:rsidRPr="00DB02FF">
              <w:rPr>
                <w:rFonts w:cs="Calibri"/>
                <w:color w:val="000000" w:themeColor="text1"/>
                <w:sz w:val="14"/>
              </w:rPr>
              <w:fldChar w:fldCharType="separate"/>
            </w:r>
            <w:r>
              <w:rPr>
                <w:rFonts w:cs="Calibri"/>
                <w:noProof/>
                <w:color w:val="000000" w:themeColor="text1"/>
                <w:sz w:val="14"/>
              </w:rPr>
              <w:t>(32)</w:t>
            </w:r>
            <w:r w:rsidRPr="00DB02FF">
              <w:rPr>
                <w:rFonts w:cs="Calibri"/>
                <w:color w:val="000000" w:themeColor="text1"/>
                <w:sz w:val="14"/>
              </w:rPr>
              <w:fldChar w:fldCharType="end"/>
            </w:r>
          </w:p>
        </w:tc>
        <w:tc>
          <w:tcPr>
            <w:tcW w:w="2126" w:type="dxa"/>
            <w:shd w:val="clear" w:color="auto" w:fill="F2F2F2" w:themeFill="background1" w:themeFillShade="F2"/>
          </w:tcPr>
          <w:p w14:paraId="5ECBE9CE" w14:textId="77777777" w:rsidR="00EB4ED0" w:rsidRPr="00DB02FF" w:rsidRDefault="00EB4ED0" w:rsidP="007406A9">
            <w:pPr>
              <w:spacing w:after="0"/>
              <w:ind w:firstLine="0"/>
              <w:rPr>
                <w:rFonts w:cs="Calibri"/>
                <w:sz w:val="14"/>
              </w:rPr>
            </w:pPr>
            <w:r w:rsidRPr="00DB02FF">
              <w:rPr>
                <w:rFonts w:cs="Calibri"/>
                <w:color w:val="000000"/>
                <w:sz w:val="14"/>
              </w:rPr>
              <w:t>Maternity services are delivered through a mix of public and private providers, with state and territory governments predominantly responsible for publicly funded programs. Medicare subsidises access to private maternity services. No eligibility criteria based on visa status or residency are stated for migrant and refugee women. The document does not address differential access based on Medicare entitlement or immigration status.</w:t>
            </w:r>
          </w:p>
        </w:tc>
        <w:tc>
          <w:tcPr>
            <w:tcW w:w="3402" w:type="dxa"/>
            <w:shd w:val="clear" w:color="auto" w:fill="F2F2F2" w:themeFill="background1" w:themeFillShade="F2"/>
          </w:tcPr>
          <w:p w14:paraId="4FD5622C" w14:textId="77777777" w:rsidR="00EB4ED0" w:rsidRPr="00DB02FF" w:rsidRDefault="00EB4ED0" w:rsidP="007406A9">
            <w:pPr>
              <w:spacing w:after="0"/>
              <w:ind w:firstLine="0"/>
              <w:rPr>
                <w:rFonts w:cs="Calibri"/>
                <w:sz w:val="14"/>
              </w:rPr>
            </w:pPr>
            <w:r w:rsidRPr="00DB02FF">
              <w:rPr>
                <w:rFonts w:cs="Calibri"/>
                <w:color w:val="000000"/>
                <w:sz w:val="14"/>
              </w:rPr>
              <w:t>Language, culture, fear, confusion, and distrust or misunderstanding of the health system are identified as barriers to antenatal care for migrant and refugee women. Financial and legal barriers, including Medicare ineligibility and visa status, are not addressed.</w:t>
            </w:r>
          </w:p>
        </w:tc>
        <w:tc>
          <w:tcPr>
            <w:tcW w:w="2977" w:type="dxa"/>
            <w:shd w:val="clear" w:color="auto" w:fill="F2F2F2" w:themeFill="background1" w:themeFillShade="F2"/>
          </w:tcPr>
          <w:p w14:paraId="4823FFC3" w14:textId="77777777" w:rsidR="00EB4ED0" w:rsidRPr="00DB02FF" w:rsidRDefault="00EB4ED0" w:rsidP="007406A9">
            <w:pPr>
              <w:spacing w:after="0"/>
              <w:ind w:firstLine="0"/>
              <w:rPr>
                <w:rFonts w:cs="Calibri"/>
                <w:color w:val="000000"/>
                <w:sz w:val="14"/>
              </w:rPr>
            </w:pPr>
            <w:r w:rsidRPr="00DB02FF">
              <w:rPr>
                <w:rFonts w:cs="Calibri"/>
                <w:color w:val="000000"/>
                <w:sz w:val="14"/>
              </w:rPr>
              <w:t>Present and substantive.</w:t>
            </w:r>
          </w:p>
          <w:p w14:paraId="2817A426" w14:textId="77777777" w:rsidR="00EB4ED0" w:rsidRPr="00DB02FF" w:rsidRDefault="00EB4ED0" w:rsidP="007406A9">
            <w:pPr>
              <w:spacing w:after="0"/>
              <w:ind w:firstLine="0"/>
              <w:rPr>
                <w:rFonts w:cs="Calibri"/>
                <w:sz w:val="14"/>
              </w:rPr>
            </w:pPr>
            <w:r w:rsidRPr="00DB02FF">
              <w:rPr>
                <w:rFonts w:cs="Calibri"/>
                <w:color w:val="000000"/>
                <w:sz w:val="14"/>
              </w:rPr>
              <w:t>A dedicated action area commits to culturally and linguistically appropriate models of stillbirth prevention and care for migrant and refugee women, with specific goals, tasks, lead agencies, and timeframes. Provisions include co-designed prevention messages, culturally safe models of care developed in partnership with migrant and refugee women, increased professional interpreter access, health professional education on cultural safety, and acknowledgement of cultural norms around death and bereavement.</w:t>
            </w:r>
          </w:p>
        </w:tc>
        <w:tc>
          <w:tcPr>
            <w:tcW w:w="2835" w:type="dxa"/>
            <w:shd w:val="clear" w:color="auto" w:fill="F2F2F2" w:themeFill="background1" w:themeFillShade="F2"/>
          </w:tcPr>
          <w:p w14:paraId="2E010425" w14:textId="77777777" w:rsidR="00EB4ED0" w:rsidRPr="00DB02FF" w:rsidRDefault="00EB4ED0" w:rsidP="007406A9">
            <w:pPr>
              <w:spacing w:after="0"/>
              <w:ind w:firstLine="0"/>
              <w:rPr>
                <w:rFonts w:cs="Calibri"/>
                <w:sz w:val="14"/>
              </w:rPr>
            </w:pPr>
            <w:r w:rsidRPr="00DB02FF">
              <w:rPr>
                <w:rFonts w:cs="Calibri"/>
                <w:color w:val="000000"/>
                <w:sz w:val="14"/>
              </w:rPr>
              <w:t>Present through alignment with the Respectful Maternity Charter and the woman-centred care framework, within which reducing disparities in outcomes is a guiding principle. No explicit reference to international human rights frameworks or conventions.</w:t>
            </w:r>
          </w:p>
        </w:tc>
        <w:tc>
          <w:tcPr>
            <w:tcW w:w="2977" w:type="dxa"/>
            <w:shd w:val="clear" w:color="auto" w:fill="F2F2F2" w:themeFill="background1" w:themeFillShade="F2"/>
          </w:tcPr>
          <w:p w14:paraId="7808DE13" w14:textId="77777777" w:rsidR="00EB4ED0" w:rsidRPr="00DB02FF" w:rsidRDefault="00EB4ED0" w:rsidP="007406A9">
            <w:pPr>
              <w:spacing w:after="0"/>
              <w:ind w:firstLine="0"/>
              <w:rPr>
                <w:rFonts w:cs="Calibri"/>
                <w:sz w:val="14"/>
              </w:rPr>
            </w:pPr>
            <w:r w:rsidRPr="00DB02FF">
              <w:rPr>
                <w:rFonts w:cs="Calibri"/>
                <w:color w:val="000000"/>
                <w:sz w:val="14"/>
              </w:rPr>
              <w:t>Explicit and operationalised for migrant and refugee women. Higher stillbirth rates among migrant and refugee groups are named as an equity gap requiring specific strategies. A measurable goal states that stillbirth rates among migrant and refugee groups should be no greater than those in the general population. Data quality on country of birth is identified as necessary for equity reporting and monitoring.</w:t>
            </w:r>
          </w:p>
        </w:tc>
      </w:tr>
      <w:tr w:rsidR="00EB4ED0" w:rsidRPr="00DB02FF" w14:paraId="76D6AD39" w14:textId="77777777" w:rsidTr="00EB4ED0">
        <w:tc>
          <w:tcPr>
            <w:tcW w:w="358" w:type="dxa"/>
            <w:vAlign w:val="center"/>
          </w:tcPr>
          <w:p w14:paraId="3383C78F" w14:textId="77777777" w:rsidR="00EB4ED0" w:rsidRPr="00DB02FF" w:rsidRDefault="00EB4ED0" w:rsidP="007406A9">
            <w:pPr>
              <w:spacing w:after="0"/>
              <w:ind w:firstLine="0"/>
              <w:jc w:val="center"/>
              <w:rPr>
                <w:rFonts w:cs="Calibri"/>
                <w:color w:val="000000" w:themeColor="text1"/>
                <w:sz w:val="14"/>
              </w:rPr>
            </w:pPr>
            <w:r w:rsidRPr="00DB02FF">
              <w:rPr>
                <w:rFonts w:cs="Calibri"/>
                <w:color w:val="000000" w:themeColor="text1"/>
                <w:sz w:val="14"/>
              </w:rPr>
              <w:t>9</w:t>
            </w:r>
          </w:p>
        </w:tc>
        <w:tc>
          <w:tcPr>
            <w:tcW w:w="1344" w:type="dxa"/>
          </w:tcPr>
          <w:p w14:paraId="618B86B9" w14:textId="77777777" w:rsidR="00EB4ED0" w:rsidRPr="00DB02FF" w:rsidRDefault="00EB4ED0" w:rsidP="007406A9">
            <w:pPr>
              <w:spacing w:after="0"/>
              <w:ind w:firstLine="0"/>
              <w:rPr>
                <w:rFonts w:cs="Calibri"/>
                <w:sz w:val="14"/>
              </w:rPr>
            </w:pPr>
            <w:r w:rsidRPr="00DB02FF">
              <w:rPr>
                <w:rFonts w:cs="Calibri"/>
                <w:color w:val="000000" w:themeColor="text1"/>
                <w:sz w:val="14"/>
              </w:rPr>
              <w:t xml:space="preserve">Syphilis roundtable – Ministerial Advisory Committee on Blood Borne Viruses and Sexually Transmissible Infections (MACBBVSTI) recommendations </w:t>
            </w:r>
            <w:r w:rsidRPr="00DB02FF">
              <w:rPr>
                <w:rFonts w:cs="Calibri"/>
                <w:color w:val="000000" w:themeColor="text1"/>
                <w:sz w:val="14"/>
              </w:rPr>
              <w:fldChar w:fldCharType="begin"/>
            </w:r>
            <w:r>
              <w:rPr>
                <w:rFonts w:cs="Calibri"/>
                <w:color w:val="000000" w:themeColor="text1"/>
                <w:sz w:val="14"/>
              </w:rPr>
              <w:instrText xml:space="preserve"> ADDIN EN.CITE &lt;EndNote&gt;&lt;Cite&gt;&lt;Author&gt;Ministerial Advisory Committee on Blood Borne Viruses and STIs (MACBBVSTI)&lt;/Author&gt;&lt;Year&gt;2021&lt;/Year&gt;&lt;RecNum&gt;237&lt;/RecNum&gt;&lt;DisplayText&gt;(49)&lt;/DisplayText&gt;&lt;record&gt;&lt;rec-number&gt;237&lt;/rec-number&gt;&lt;foreign-keys&gt;&lt;key app="EN" db-id="rpvwsrsz7xw2rmep9ztxavrkttar9reapt9w" timestamp="1773195666"&gt;237&lt;/key&gt;&lt;/foreign-keys&gt;&lt;ref-type name="Web Page"&gt;12&lt;/ref-type&gt;&lt;contributors&gt;&lt;authors&gt;&lt;author&gt;Ministerial Advisory Committee on Blood Borne Viruses and STIs (MACBBVSTI), &lt;/author&gt;&lt;/authors&gt;&lt;/contributors&gt;&lt;titles&gt;&lt;title&gt;Syphilis roundtable – MACBBVSTI recommendations&lt;/title&gt;&lt;/titles&gt;&lt;volume&gt;2026&lt;/volume&gt;&lt;number&gt;11 March &lt;/number&gt;&lt;dates&gt;&lt;year&gt;2021&lt;/year&gt;&lt;/dates&gt;&lt;urls&gt;&lt;related-urls&gt;&lt;url&gt;https://www.health.gov.au/resources/publications/syphilis-roundtable-22-october-2021-macbbvsti-recommendations?language=en&lt;/url&gt;&lt;/related-urls&gt;&lt;/urls&gt;&lt;/record&gt;&lt;/Cite&gt;&lt;/EndNote&gt;</w:instrText>
            </w:r>
            <w:r w:rsidRPr="00DB02FF">
              <w:rPr>
                <w:rFonts w:cs="Calibri"/>
                <w:color w:val="000000" w:themeColor="text1"/>
                <w:sz w:val="14"/>
              </w:rPr>
              <w:fldChar w:fldCharType="separate"/>
            </w:r>
            <w:r>
              <w:rPr>
                <w:rFonts w:cs="Calibri"/>
                <w:noProof/>
                <w:color w:val="000000" w:themeColor="text1"/>
                <w:sz w:val="14"/>
              </w:rPr>
              <w:t>(49)</w:t>
            </w:r>
            <w:r w:rsidRPr="00DB02FF">
              <w:rPr>
                <w:rFonts w:cs="Calibri"/>
                <w:color w:val="000000" w:themeColor="text1"/>
                <w:sz w:val="14"/>
              </w:rPr>
              <w:fldChar w:fldCharType="end"/>
            </w:r>
          </w:p>
        </w:tc>
        <w:tc>
          <w:tcPr>
            <w:tcW w:w="2126" w:type="dxa"/>
          </w:tcPr>
          <w:p w14:paraId="40BC55E0" w14:textId="77777777" w:rsidR="00EB4ED0" w:rsidRPr="00DB02FF" w:rsidRDefault="00EB4ED0" w:rsidP="007406A9">
            <w:pPr>
              <w:spacing w:after="0"/>
              <w:ind w:firstLine="0"/>
              <w:rPr>
                <w:rFonts w:cs="Calibri"/>
                <w:sz w:val="14"/>
              </w:rPr>
            </w:pPr>
            <w:r w:rsidRPr="00DB02FF">
              <w:rPr>
                <w:rFonts w:cs="Calibri"/>
                <w:color w:val="000000"/>
                <w:sz w:val="14"/>
              </w:rPr>
              <w:t>Proposed Annual Sexual Health Check MBS item specifies "all Medicare-eligible persons," explicitly excluding those without Medicare entitlements. Free, anonymous, and confidential testing is recommended with consideration of expanding eligibility criteria, implying current restrictions exist, but whether expansions would include non-Medicare-eligible populations is not specified.</w:t>
            </w:r>
          </w:p>
        </w:tc>
        <w:tc>
          <w:tcPr>
            <w:tcW w:w="3402" w:type="dxa"/>
          </w:tcPr>
          <w:p w14:paraId="14375715" w14:textId="77777777" w:rsidR="00EB4ED0" w:rsidRPr="00DB02FF" w:rsidRDefault="00EB4ED0" w:rsidP="007406A9">
            <w:pPr>
              <w:spacing w:after="0"/>
              <w:ind w:firstLine="0"/>
              <w:rPr>
                <w:rFonts w:cs="Calibri"/>
                <w:sz w:val="14"/>
              </w:rPr>
            </w:pPr>
            <w:r w:rsidRPr="00DB02FF">
              <w:rPr>
                <w:rFonts w:cs="Calibri"/>
                <w:color w:val="000000"/>
                <w:sz w:val="14"/>
              </w:rPr>
              <w:t>Language barriers are implicitly acknowledged through a recommendation for targeted information and resources for migrant, refugee, and international student populations. Cultural barriers are addressed through improved cultural safety in guidance materials and workforce training. Geographic barriers are addressed through outreach models and point-of-care testing in high-notification settings. Free testing is recommended but not specified as extending to non-Medicare-eligible populations. Visa status, Medicare eligibility gaps, mandatory health insurance requirements, and immigration-related fears are not addressed.</w:t>
            </w:r>
          </w:p>
        </w:tc>
        <w:tc>
          <w:tcPr>
            <w:tcW w:w="2977" w:type="dxa"/>
          </w:tcPr>
          <w:p w14:paraId="2A1478E7" w14:textId="77777777" w:rsidR="00EB4ED0" w:rsidRPr="00DB02FF" w:rsidRDefault="00EB4ED0" w:rsidP="007406A9">
            <w:pPr>
              <w:spacing w:after="0"/>
              <w:ind w:firstLine="0"/>
              <w:rPr>
                <w:rFonts w:cs="Calibri"/>
                <w:sz w:val="14"/>
              </w:rPr>
            </w:pPr>
            <w:r w:rsidRPr="00DB02FF">
              <w:rPr>
                <w:rFonts w:cs="Calibri"/>
                <w:color w:val="000000"/>
                <w:sz w:val="14"/>
              </w:rPr>
              <w:t>Present but directed primarily at Aboriginal and Torres Strait Islander populations. Cultural safety improvements are recommended for workforce training across general practice, nursing, and allied health. Migrant, refugee, and international student populations are named once in relation to targeted information provision, with no corresponding cultural safety strategies described.</w:t>
            </w:r>
          </w:p>
        </w:tc>
        <w:tc>
          <w:tcPr>
            <w:tcW w:w="2835" w:type="dxa"/>
          </w:tcPr>
          <w:p w14:paraId="6E6EF933"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Absent. </w:t>
            </w:r>
          </w:p>
          <w:p w14:paraId="325B1E14" w14:textId="77777777" w:rsidR="00EB4ED0" w:rsidRPr="00DB02FF" w:rsidRDefault="00EB4ED0" w:rsidP="007406A9">
            <w:pPr>
              <w:spacing w:after="0"/>
              <w:ind w:firstLine="0"/>
              <w:rPr>
                <w:rFonts w:cs="Calibri"/>
                <w:sz w:val="14"/>
              </w:rPr>
            </w:pPr>
            <w:r w:rsidRPr="00DB02FF">
              <w:rPr>
                <w:rFonts w:cs="Calibri"/>
                <w:color w:val="000000"/>
                <w:sz w:val="14"/>
              </w:rPr>
              <w:t>No reference to human rights frameworks. Equity is addressed through population burden rather than rights-based principles, and the structural exclusions created by Medicare eligibility criteria are not acknowledged.</w:t>
            </w:r>
          </w:p>
        </w:tc>
        <w:tc>
          <w:tcPr>
            <w:tcW w:w="2977" w:type="dxa"/>
          </w:tcPr>
          <w:p w14:paraId="6C9DA52D" w14:textId="77777777" w:rsidR="00EB4ED0" w:rsidRPr="00DB02FF" w:rsidRDefault="00EB4ED0" w:rsidP="007406A9">
            <w:pPr>
              <w:spacing w:after="0"/>
              <w:ind w:firstLine="0"/>
              <w:rPr>
                <w:rFonts w:cs="Calibri"/>
                <w:sz w:val="14"/>
              </w:rPr>
            </w:pPr>
            <w:r w:rsidRPr="00DB02FF">
              <w:rPr>
                <w:rFonts w:cs="Calibri"/>
                <w:color w:val="000000"/>
                <w:sz w:val="14"/>
              </w:rPr>
              <w:t>Equity is framed through disproportionate burden among men who have sex with men, women of childbearing age, and Aboriginal and Torres Strait Islander communities. A requirement that the national syphilis plan address outcomes for both Aboriginal and Torres Strait Islander and non-Aboriginal and Torres Strait Islander populations is specified. Migrant populations are not included in the equity framework, and Medicare eligibility criteria that structurally exclude them remain unaddressed.</w:t>
            </w:r>
          </w:p>
        </w:tc>
      </w:tr>
      <w:tr w:rsidR="00EB4ED0" w:rsidRPr="00DB02FF" w14:paraId="43314147" w14:textId="77777777" w:rsidTr="00EB4ED0">
        <w:tc>
          <w:tcPr>
            <w:tcW w:w="358" w:type="dxa"/>
            <w:shd w:val="clear" w:color="auto" w:fill="F2F2F2" w:themeFill="background1" w:themeFillShade="F2"/>
            <w:vAlign w:val="center"/>
          </w:tcPr>
          <w:p w14:paraId="24C069E8" w14:textId="77777777" w:rsidR="00EB4ED0" w:rsidRPr="00DB02FF" w:rsidRDefault="00EB4ED0" w:rsidP="007406A9">
            <w:pPr>
              <w:spacing w:after="0"/>
              <w:ind w:firstLine="0"/>
              <w:jc w:val="center"/>
              <w:rPr>
                <w:rFonts w:cs="Calibri"/>
                <w:color w:val="000000" w:themeColor="text1"/>
                <w:sz w:val="14"/>
              </w:rPr>
            </w:pPr>
            <w:r w:rsidRPr="00DB02FF">
              <w:rPr>
                <w:rFonts w:cs="Calibri"/>
                <w:color w:val="000000" w:themeColor="text1"/>
                <w:sz w:val="14"/>
              </w:rPr>
              <w:t>10</w:t>
            </w:r>
          </w:p>
        </w:tc>
        <w:tc>
          <w:tcPr>
            <w:tcW w:w="1344" w:type="dxa"/>
            <w:shd w:val="clear" w:color="auto" w:fill="F2F2F2" w:themeFill="background1" w:themeFillShade="F2"/>
          </w:tcPr>
          <w:p w14:paraId="04ABA90D" w14:textId="77777777" w:rsidR="00EB4ED0" w:rsidRPr="00DB02FF" w:rsidRDefault="00EB4ED0" w:rsidP="007406A9">
            <w:pPr>
              <w:spacing w:after="0"/>
              <w:ind w:firstLine="0"/>
              <w:rPr>
                <w:rFonts w:cs="Calibri"/>
                <w:sz w:val="14"/>
              </w:rPr>
            </w:pPr>
            <w:r w:rsidRPr="00DB02FF">
              <w:rPr>
                <w:rFonts w:cs="Calibri"/>
                <w:color w:val="000000" w:themeColor="text1"/>
                <w:sz w:val="14"/>
              </w:rPr>
              <w:t xml:space="preserve">First National Blood Borne Viruses and Sexually </w:t>
            </w:r>
            <w:r w:rsidRPr="00DB02FF">
              <w:rPr>
                <w:rFonts w:cs="Calibri"/>
                <w:color w:val="000000" w:themeColor="text1"/>
                <w:sz w:val="14"/>
              </w:rPr>
              <w:lastRenderedPageBreak/>
              <w:t xml:space="preserve">Transmissible Infections Research Strategy 2021–2025 </w:t>
            </w:r>
            <w:r w:rsidRPr="00DB02FF">
              <w:rPr>
                <w:rFonts w:cs="Calibri"/>
                <w:color w:val="000000" w:themeColor="text1"/>
                <w:sz w:val="14"/>
              </w:rPr>
              <w:fldChar w:fldCharType="begin"/>
            </w:r>
            <w:r>
              <w:rPr>
                <w:rFonts w:cs="Calibri"/>
                <w:color w:val="000000" w:themeColor="text1"/>
                <w:sz w:val="14"/>
              </w:rPr>
              <w:instrText xml:space="preserve"> ADDIN EN.CITE &lt;EndNote&gt;&lt;Cite&gt;&lt;Author&gt;Commonwealth of Australia Department of Health&lt;/Author&gt;&lt;Year&gt;2021&lt;/Year&gt;&lt;RecNum&gt;238&lt;/RecNum&gt;&lt;DisplayText&gt;(23)&lt;/DisplayText&gt;&lt;record&gt;&lt;rec-number&gt;238&lt;/rec-number&gt;&lt;foreign-keys&gt;&lt;key app="EN" db-id="rpvwsrsz7xw2rmep9ztxavrkttar9reapt9w" timestamp="1773196348"&gt;238&lt;/key&gt;&lt;/foreign-keys&gt;&lt;ref-type name="Web Page"&gt;12&lt;/ref-type&gt;&lt;contributors&gt;&lt;authors&gt;&lt;author&gt;Commonwealth of Australia Department of Health, &lt;/author&gt;&lt;/authors&gt;&lt;/contributors&gt;&lt;titles&gt;&lt;title&gt;First National Blood Borne Viruses and Sexually Transmissible Infections Research Strategy 2021–2025&lt;/title&gt;&lt;/titles&gt;&lt;volume&gt;2026&lt;/volume&gt;&lt;number&gt;11 March &lt;/number&gt;&lt;dates&gt;&lt;year&gt;2021&lt;/year&gt;&lt;/dates&gt;&lt;urls&gt;&lt;related-urls&gt;&lt;url&gt;https://www.cdc.gov.au/resources/publications/first-national-bbv-sti-research-strategy-2021-2025?language=en&lt;/url&gt;&lt;/related-urls&gt;&lt;/urls&gt;&lt;/record&gt;&lt;/Cite&gt;&lt;/EndNote&gt;</w:instrText>
            </w:r>
            <w:r w:rsidRPr="00DB02FF">
              <w:rPr>
                <w:rFonts w:cs="Calibri"/>
                <w:color w:val="000000" w:themeColor="text1"/>
                <w:sz w:val="14"/>
              </w:rPr>
              <w:fldChar w:fldCharType="separate"/>
            </w:r>
            <w:r>
              <w:rPr>
                <w:rFonts w:cs="Calibri"/>
                <w:noProof/>
                <w:color w:val="000000" w:themeColor="text1"/>
                <w:sz w:val="14"/>
              </w:rPr>
              <w:t>(23)</w:t>
            </w:r>
            <w:r w:rsidRPr="00DB02FF">
              <w:rPr>
                <w:rFonts w:cs="Calibri"/>
                <w:color w:val="000000" w:themeColor="text1"/>
                <w:sz w:val="14"/>
              </w:rPr>
              <w:fldChar w:fldCharType="end"/>
            </w:r>
          </w:p>
        </w:tc>
        <w:tc>
          <w:tcPr>
            <w:tcW w:w="2126" w:type="dxa"/>
            <w:shd w:val="clear" w:color="auto" w:fill="F2F2F2" w:themeFill="background1" w:themeFillShade="F2"/>
          </w:tcPr>
          <w:p w14:paraId="4880FAF0"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No eligibility criteria based on visa status, residency, or Medicare enrolment are stated. </w:t>
            </w:r>
            <w:r w:rsidRPr="00DB02FF">
              <w:rPr>
                <w:rFonts w:cs="Calibri"/>
                <w:color w:val="000000"/>
                <w:sz w:val="14"/>
              </w:rPr>
              <w:lastRenderedPageBreak/>
              <w:t>The document operates through a research lens and does not specify who is entitled to BBV/STI services.</w:t>
            </w:r>
          </w:p>
        </w:tc>
        <w:tc>
          <w:tcPr>
            <w:tcW w:w="3402" w:type="dxa"/>
            <w:shd w:val="clear" w:color="auto" w:fill="F2F2F2" w:themeFill="background1" w:themeFillShade="F2"/>
          </w:tcPr>
          <w:p w14:paraId="1727B144"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Language barriers and interpreter services are absent from the document entirely. Cultural barriers are acknowledged in general terms through references to </w:t>
            </w:r>
            <w:r w:rsidRPr="00DB02FF">
              <w:rPr>
                <w:rFonts w:cs="Calibri"/>
                <w:color w:val="000000"/>
                <w:sz w:val="14"/>
              </w:rPr>
              <w:lastRenderedPageBreak/>
              <w:t>culturally appropriate services and the social, cultural, and structural factors facilitating transmission. Financial barriers are addressed through cost-effectiveness analysis framing but not in relation to CALD populations or Medicare ineligibility. Legal and geographic barriers for CALD populations are not addressed.</w:t>
            </w:r>
          </w:p>
        </w:tc>
        <w:tc>
          <w:tcPr>
            <w:tcW w:w="2977" w:type="dxa"/>
            <w:shd w:val="clear" w:color="auto" w:fill="F2F2F2" w:themeFill="background1" w:themeFillShade="F2"/>
          </w:tcPr>
          <w:p w14:paraId="68C83CA4" w14:textId="77777777" w:rsidR="00EB4ED0" w:rsidRPr="00DB02FF" w:rsidRDefault="00EB4ED0" w:rsidP="007406A9">
            <w:pPr>
              <w:spacing w:after="0"/>
              <w:ind w:firstLine="0"/>
              <w:rPr>
                <w:rFonts w:cs="Calibri"/>
                <w:sz w:val="14"/>
              </w:rPr>
            </w:pPr>
            <w:r w:rsidRPr="00DB02FF">
              <w:rPr>
                <w:rFonts w:cs="Calibri"/>
                <w:sz w:val="14"/>
              </w:rPr>
              <w:lastRenderedPageBreak/>
              <w:t xml:space="preserve">Implicit. </w:t>
            </w:r>
          </w:p>
          <w:p w14:paraId="64CB4F98" w14:textId="77777777" w:rsidR="00EB4ED0" w:rsidRPr="00DB02FF" w:rsidRDefault="00EB4ED0" w:rsidP="007406A9">
            <w:pPr>
              <w:spacing w:after="0"/>
              <w:ind w:firstLine="0"/>
              <w:rPr>
                <w:rFonts w:cs="Calibri"/>
                <w:sz w:val="14"/>
              </w:rPr>
            </w:pPr>
            <w:r w:rsidRPr="00DB02FF">
              <w:rPr>
                <w:rFonts w:cs="Calibri"/>
                <w:sz w:val="14"/>
              </w:rPr>
              <w:t xml:space="preserve">Culturally appropriate services and community and cultural drivers of transmission are </w:t>
            </w:r>
            <w:r w:rsidRPr="00DB02FF">
              <w:rPr>
                <w:rFonts w:cs="Calibri"/>
                <w:sz w:val="14"/>
              </w:rPr>
              <w:lastRenderedPageBreak/>
              <w:t>referenced in general terms. Adherence to jurisdictional guidelines on cultural security and competency is noted for data improvements. No specific cultural responsiveness strategies, examples, or actions for CALD populations are described.</w:t>
            </w:r>
          </w:p>
        </w:tc>
        <w:tc>
          <w:tcPr>
            <w:tcW w:w="2835" w:type="dxa"/>
            <w:shd w:val="clear" w:color="auto" w:fill="F2F2F2" w:themeFill="background1" w:themeFillShade="F2"/>
          </w:tcPr>
          <w:p w14:paraId="66B96943"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Implicit. </w:t>
            </w:r>
          </w:p>
          <w:p w14:paraId="72081085" w14:textId="77777777" w:rsidR="00EB4ED0" w:rsidRPr="00DB02FF" w:rsidRDefault="00EB4ED0" w:rsidP="007406A9">
            <w:pPr>
              <w:spacing w:after="0"/>
              <w:ind w:firstLine="0"/>
              <w:rPr>
                <w:rFonts w:cs="Calibri"/>
                <w:sz w:val="14"/>
              </w:rPr>
            </w:pPr>
            <w:r w:rsidRPr="00DB02FF">
              <w:rPr>
                <w:rFonts w:cs="Calibri"/>
                <w:color w:val="000000"/>
                <w:sz w:val="14"/>
              </w:rPr>
              <w:t xml:space="preserve">The Ottawa Charter is cited as the framework for effective action, with reference to respect </w:t>
            </w:r>
            <w:r w:rsidRPr="00DB02FF">
              <w:rPr>
                <w:rFonts w:cs="Calibri"/>
                <w:color w:val="000000"/>
                <w:sz w:val="14"/>
              </w:rPr>
              <w:lastRenderedPageBreak/>
              <w:t>for human rights. Equitable and effective treatment is stated as a principle, recognising the dignity of all and individuals' right to participate in their own health outcomes. No explicit reference to international human rights conventions or the right to health.</w:t>
            </w:r>
          </w:p>
        </w:tc>
        <w:tc>
          <w:tcPr>
            <w:tcW w:w="2977" w:type="dxa"/>
            <w:shd w:val="clear" w:color="auto" w:fill="F2F2F2" w:themeFill="background1" w:themeFillShade="F2"/>
          </w:tcPr>
          <w:p w14:paraId="3A6EAEB6"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Equity is referenced three times as a general principle but is never specifically applied to CALD populations. Identifying approaches to </w:t>
            </w:r>
            <w:r w:rsidRPr="00DB02FF">
              <w:rPr>
                <w:rFonts w:cs="Calibri"/>
                <w:color w:val="000000"/>
                <w:sz w:val="14"/>
              </w:rPr>
              <w:lastRenderedPageBreak/>
              <w:t>deliver services to different populations to achieve equity and remove barriers to access is stated as a research objective. No equity targets, strategies, or actions specific to migrants or CALD communities are described.</w:t>
            </w:r>
          </w:p>
        </w:tc>
      </w:tr>
      <w:tr w:rsidR="00EB4ED0" w:rsidRPr="00DB02FF" w14:paraId="71F96889" w14:textId="77777777" w:rsidTr="00EB4ED0">
        <w:tc>
          <w:tcPr>
            <w:tcW w:w="358" w:type="dxa"/>
            <w:vAlign w:val="center"/>
          </w:tcPr>
          <w:p w14:paraId="53A20D5E" w14:textId="77777777" w:rsidR="00EB4ED0" w:rsidRPr="00DB02FF" w:rsidRDefault="00EB4ED0" w:rsidP="007406A9">
            <w:pPr>
              <w:spacing w:after="0"/>
              <w:ind w:firstLine="0"/>
              <w:jc w:val="center"/>
              <w:rPr>
                <w:rFonts w:cs="Calibri"/>
                <w:color w:val="000000" w:themeColor="text1"/>
                <w:sz w:val="14"/>
              </w:rPr>
            </w:pPr>
            <w:r w:rsidRPr="00DB02FF">
              <w:rPr>
                <w:rFonts w:cs="Calibri"/>
                <w:color w:val="000000" w:themeColor="text1"/>
                <w:sz w:val="14"/>
              </w:rPr>
              <w:lastRenderedPageBreak/>
              <w:t>11</w:t>
            </w:r>
          </w:p>
        </w:tc>
        <w:tc>
          <w:tcPr>
            <w:tcW w:w="1344" w:type="dxa"/>
          </w:tcPr>
          <w:p w14:paraId="0AE7C16B" w14:textId="77777777" w:rsidR="00EB4ED0" w:rsidRPr="00DB02FF" w:rsidRDefault="00EB4ED0" w:rsidP="007406A9">
            <w:pPr>
              <w:spacing w:after="0"/>
              <w:ind w:firstLine="0"/>
              <w:rPr>
                <w:rFonts w:cs="Calibri"/>
                <w:sz w:val="14"/>
              </w:rPr>
            </w:pPr>
            <w:r w:rsidRPr="00DB02FF">
              <w:rPr>
                <w:rFonts w:cs="Calibri"/>
                <w:color w:val="000000" w:themeColor="text1"/>
                <w:sz w:val="14"/>
              </w:rPr>
              <w:t xml:space="preserve">National Stillbirth Action and Implementation Plan: Monitoring and Evaluation Framework 2022–2030 </w:t>
            </w:r>
            <w:r w:rsidRPr="00DB02FF">
              <w:rPr>
                <w:rFonts w:cs="Calibri"/>
                <w:color w:val="000000" w:themeColor="text1"/>
                <w:sz w:val="14"/>
              </w:rPr>
              <w:fldChar w:fldCharType="begin"/>
            </w:r>
            <w:r>
              <w:rPr>
                <w:rFonts w:cs="Calibri"/>
                <w:color w:val="000000" w:themeColor="text1"/>
                <w:sz w:val="14"/>
              </w:rPr>
              <w:instrText xml:space="preserve"> ADDIN EN.CITE &lt;EndNote&gt;&lt;Cite&gt;&lt;Author&gt;Australian Government Department of Health and Aged Care&lt;/Author&gt;&lt;Year&gt;2021&lt;/Year&gt;&lt;RecNum&gt;239&lt;/RecNum&gt;&lt;DisplayText&gt;(33)&lt;/DisplayText&gt;&lt;record&gt;&lt;rec-number&gt;239&lt;/rec-number&gt;&lt;foreign-keys&gt;&lt;key app="EN" db-id="rpvwsrsz7xw2rmep9ztxavrkttar9reapt9w" timestamp="1773203707"&gt;239&lt;/key&gt;&lt;/foreign-keys&gt;&lt;ref-type name="Web Page"&gt;12&lt;/ref-type&gt;&lt;contributors&gt;&lt;authors&gt;&lt;author&gt;Australian Government Department of Health and Aged Care, &lt;/author&gt;&lt;/authors&gt;&lt;/contributors&gt;&lt;titles&gt;&lt;title&gt;National Stillbirth Action and Implementation Plan: Monitoring and Evaluation Framework 2022–2030&lt;/title&gt;&lt;/titles&gt;&lt;volume&gt;11 March &lt;/volume&gt;&lt;number&gt;2026&lt;/number&gt;&lt;dates&gt;&lt;year&gt;2021&lt;/year&gt;&lt;/dates&gt;&lt;urls&gt;&lt;related-urls&gt;&lt;url&gt;https://www.health.gov.au/sites/default/files/2022-12/national-stillbirth-action-and-implementation-plan-nsaip-monitoring-and-evaluation-framework-2022-2030_0.pdf&lt;/url&gt;&lt;/related-urls&gt;&lt;/urls&gt;&lt;/record&gt;&lt;/Cite&gt;&lt;/EndNote&gt;</w:instrText>
            </w:r>
            <w:r w:rsidRPr="00DB02FF">
              <w:rPr>
                <w:rFonts w:cs="Calibri"/>
                <w:color w:val="000000" w:themeColor="text1"/>
                <w:sz w:val="14"/>
              </w:rPr>
              <w:fldChar w:fldCharType="separate"/>
            </w:r>
            <w:r>
              <w:rPr>
                <w:rFonts w:cs="Calibri"/>
                <w:noProof/>
                <w:color w:val="000000" w:themeColor="text1"/>
                <w:sz w:val="14"/>
              </w:rPr>
              <w:t>(33)</w:t>
            </w:r>
            <w:r w:rsidRPr="00DB02FF">
              <w:rPr>
                <w:rFonts w:cs="Calibri"/>
                <w:color w:val="000000" w:themeColor="text1"/>
                <w:sz w:val="14"/>
              </w:rPr>
              <w:fldChar w:fldCharType="end"/>
            </w:r>
          </w:p>
        </w:tc>
        <w:tc>
          <w:tcPr>
            <w:tcW w:w="2126" w:type="dxa"/>
          </w:tcPr>
          <w:p w14:paraId="77F3D96B" w14:textId="77777777" w:rsidR="00EB4ED0" w:rsidRPr="00DB02FF" w:rsidRDefault="00EB4ED0" w:rsidP="007406A9">
            <w:pPr>
              <w:spacing w:after="0"/>
              <w:ind w:firstLine="0"/>
              <w:rPr>
                <w:rFonts w:cs="Calibri"/>
                <w:sz w:val="14"/>
              </w:rPr>
            </w:pPr>
            <w:r w:rsidRPr="00DB02FF">
              <w:rPr>
                <w:rFonts w:cs="Calibri"/>
                <w:color w:val="000000"/>
                <w:sz w:val="14"/>
              </w:rPr>
              <w:t>Not explicitly stated. Responsibility for funding, planning, and delivering maternity services is noted as shared across Australian, state, and territory governments with jurisdictional variations. No eligibility criteria based on visa status, residency, or Medicare entitlement are addressed.</w:t>
            </w:r>
          </w:p>
        </w:tc>
        <w:tc>
          <w:tcPr>
            <w:tcW w:w="3402" w:type="dxa"/>
          </w:tcPr>
          <w:p w14:paraId="60E8DCDF"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a specific action to increase access to and engagement of professional interpreters in maternity services for migrant and refugee women. Cultural barriers are addressed through culturally safe approaches developed in partnership with migrant and refugee women and service stakeholders. Community engagement is addressed through co-designed stillbirth prevention messages. Financial and legal barriers are not addressed.</w:t>
            </w:r>
          </w:p>
        </w:tc>
        <w:tc>
          <w:tcPr>
            <w:tcW w:w="2977" w:type="dxa"/>
          </w:tcPr>
          <w:p w14:paraId="606E52B7" w14:textId="77777777" w:rsidR="00EB4ED0" w:rsidRPr="00DB02FF" w:rsidRDefault="00EB4ED0" w:rsidP="007406A9">
            <w:pPr>
              <w:spacing w:after="0"/>
              <w:ind w:firstLine="0"/>
              <w:rPr>
                <w:rFonts w:cs="Calibri"/>
                <w:sz w:val="14"/>
              </w:rPr>
            </w:pPr>
            <w:r w:rsidRPr="00DB02FF">
              <w:rPr>
                <w:rFonts w:cs="Calibri"/>
                <w:color w:val="000000"/>
                <w:sz w:val="14"/>
              </w:rPr>
              <w:t>Present and substantive. Culturally and linguistically appropriate models for stillbirth prevention and care for migrant and refugee women are a stated commitment. Cultural safety is recognised as a subjective experience measurable only through direct feedback from women. An increase in the availability of culturally safe maternity care is included as a national indicator.</w:t>
            </w:r>
          </w:p>
        </w:tc>
        <w:tc>
          <w:tcPr>
            <w:tcW w:w="2835" w:type="dxa"/>
          </w:tcPr>
          <w:p w14:paraId="0368326A"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through equity framing. </w:t>
            </w:r>
          </w:p>
          <w:p w14:paraId="4F62D09E" w14:textId="77777777" w:rsidR="00EB4ED0" w:rsidRPr="00DB02FF" w:rsidRDefault="00EB4ED0" w:rsidP="007406A9">
            <w:pPr>
              <w:spacing w:after="0"/>
              <w:ind w:firstLine="0"/>
              <w:rPr>
                <w:rFonts w:cs="Calibri"/>
                <w:sz w:val="14"/>
              </w:rPr>
            </w:pPr>
            <w:r w:rsidRPr="00DB02FF">
              <w:rPr>
                <w:rFonts w:cs="Calibri"/>
                <w:color w:val="000000"/>
                <w:sz w:val="14"/>
              </w:rPr>
              <w:t>Stillbirth rates in Australia are explicitly described as inequitable, and reducing disparities is stated as an ambition of the plan. No explicit reference to international human rights frameworks or conventions.</w:t>
            </w:r>
          </w:p>
        </w:tc>
        <w:tc>
          <w:tcPr>
            <w:tcW w:w="2977" w:type="dxa"/>
          </w:tcPr>
          <w:p w14:paraId="1CEA1B83"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w:t>
            </w:r>
          </w:p>
          <w:p w14:paraId="5C2E2976" w14:textId="77777777" w:rsidR="00EB4ED0" w:rsidRPr="00DB02FF" w:rsidRDefault="00EB4ED0" w:rsidP="007406A9">
            <w:pPr>
              <w:spacing w:after="0"/>
              <w:ind w:firstLine="0"/>
              <w:rPr>
                <w:rFonts w:cs="Calibri"/>
                <w:sz w:val="14"/>
              </w:rPr>
            </w:pPr>
            <w:r w:rsidRPr="00DB02FF">
              <w:rPr>
                <w:rFonts w:cs="Calibri"/>
                <w:color w:val="000000"/>
                <w:sz w:val="14"/>
              </w:rPr>
              <w:t>Reducing disparities in stillbirth rates between population groups is part of the vision. CALD women are identified as a target cohort for equity-focused action. Stillbirth inequity is named as a structural problem requiring a monitored and measured response.</w:t>
            </w:r>
          </w:p>
        </w:tc>
      </w:tr>
      <w:tr w:rsidR="00EB4ED0" w:rsidRPr="00DB02FF" w14:paraId="6105C58B" w14:textId="77777777" w:rsidTr="00EB4ED0">
        <w:tc>
          <w:tcPr>
            <w:tcW w:w="358" w:type="dxa"/>
            <w:shd w:val="clear" w:color="auto" w:fill="F2F2F2" w:themeFill="background1" w:themeFillShade="F2"/>
            <w:vAlign w:val="center"/>
          </w:tcPr>
          <w:p w14:paraId="082C335A" w14:textId="77777777" w:rsidR="00EB4ED0" w:rsidRPr="00DB02FF" w:rsidRDefault="00EB4ED0" w:rsidP="007406A9">
            <w:pPr>
              <w:spacing w:after="0"/>
              <w:ind w:firstLine="0"/>
              <w:jc w:val="center"/>
              <w:rPr>
                <w:rFonts w:cs="Calibri"/>
                <w:color w:val="000000" w:themeColor="text1"/>
                <w:sz w:val="14"/>
              </w:rPr>
            </w:pPr>
            <w:r w:rsidRPr="00DB02FF">
              <w:rPr>
                <w:rFonts w:cs="Calibri"/>
                <w:color w:val="000000" w:themeColor="text1"/>
                <w:sz w:val="14"/>
              </w:rPr>
              <w:t>12</w:t>
            </w:r>
          </w:p>
        </w:tc>
        <w:tc>
          <w:tcPr>
            <w:tcW w:w="1344" w:type="dxa"/>
            <w:shd w:val="clear" w:color="auto" w:fill="F2F2F2" w:themeFill="background1" w:themeFillShade="F2"/>
          </w:tcPr>
          <w:p w14:paraId="22BAC69C" w14:textId="77777777" w:rsidR="00EB4ED0" w:rsidRPr="00DB02FF" w:rsidRDefault="00EB4ED0" w:rsidP="007406A9">
            <w:pPr>
              <w:spacing w:after="0"/>
              <w:ind w:firstLine="0"/>
              <w:rPr>
                <w:rFonts w:cs="Calibri"/>
                <w:sz w:val="14"/>
              </w:rPr>
            </w:pPr>
            <w:r w:rsidRPr="00DB02FF">
              <w:rPr>
                <w:rFonts w:cs="Calibri"/>
                <w:color w:val="000000" w:themeColor="text1"/>
                <w:sz w:val="14"/>
              </w:rPr>
              <w:t xml:space="preserve">National Plan to End Violence against Women and Children 2022–2032 </w:t>
            </w:r>
            <w:r w:rsidRPr="00DB02FF">
              <w:rPr>
                <w:rFonts w:cs="Calibri"/>
                <w:color w:val="000000" w:themeColor="text1"/>
                <w:sz w:val="14"/>
              </w:rPr>
              <w:fldChar w:fldCharType="begin"/>
            </w:r>
            <w:r>
              <w:rPr>
                <w:rFonts w:cs="Calibri"/>
                <w:color w:val="000000" w:themeColor="text1"/>
                <w:sz w:val="14"/>
              </w:rPr>
              <w:instrText xml:space="preserve"> ADDIN EN.CITE &lt;EndNote&gt;&lt;Cite&gt;&lt;Author&gt;Commonwealth of Australia Department of Social Services&lt;/Author&gt;&lt;Year&gt;2022&lt;/Year&gt;&lt;RecNum&gt;240&lt;/RecNum&gt;&lt;DisplayText&gt;(31)&lt;/DisplayText&gt;&lt;record&gt;&lt;rec-number&gt;240&lt;/rec-number&gt;&lt;foreign-keys&gt;&lt;key app="EN" db-id="rpvwsrsz7xw2rmep9ztxavrkttar9reapt9w" timestamp="1773204177"&gt;240&lt;/key&gt;&lt;/foreign-keys&gt;&lt;ref-type name="Web Page"&gt;12&lt;/ref-type&gt;&lt;contributors&gt;&lt;authors&gt;&lt;author&gt;Commonwealth of Australia Department of Social Services, &lt;/author&gt;&lt;/authors&gt;&lt;/contributors&gt;&lt;titles&gt;&lt;title&gt;National Plan to End Violence against Women and Children 2022–2032&lt;/title&gt;&lt;/titles&gt;&lt;volume&gt;2026&lt;/volume&gt;&lt;number&gt;11 March &lt;/number&gt;&lt;dates&gt;&lt;year&gt;2022&lt;/year&gt;&lt;/dates&gt;&lt;urls&gt;&lt;related-urls&gt;&lt;url&gt;https://www.dss.gov.au/system/files/resources/national-plan-end-violence-against-women-and-children-2022-2032.pdf&lt;/url&gt;&lt;/related-urls&gt;&lt;/urls&gt;&lt;custom1&gt;2026&lt;/custom1&gt;&lt;custom2&gt;11 March &lt;/custom2&gt;&lt;/record&gt;&lt;/Cite&gt;&lt;/EndNote&gt;</w:instrText>
            </w:r>
            <w:r w:rsidRPr="00DB02FF">
              <w:rPr>
                <w:rFonts w:cs="Calibri"/>
                <w:color w:val="000000" w:themeColor="text1"/>
                <w:sz w:val="14"/>
              </w:rPr>
              <w:fldChar w:fldCharType="separate"/>
            </w:r>
            <w:r>
              <w:rPr>
                <w:rFonts w:cs="Calibri"/>
                <w:noProof/>
                <w:color w:val="000000" w:themeColor="text1"/>
                <w:sz w:val="14"/>
              </w:rPr>
              <w:t>(31)</w:t>
            </w:r>
            <w:r w:rsidRPr="00DB02FF">
              <w:rPr>
                <w:rFonts w:cs="Calibri"/>
                <w:color w:val="000000" w:themeColor="text1"/>
                <w:sz w:val="14"/>
              </w:rPr>
              <w:fldChar w:fldCharType="end"/>
            </w:r>
          </w:p>
        </w:tc>
        <w:tc>
          <w:tcPr>
            <w:tcW w:w="2126" w:type="dxa"/>
            <w:shd w:val="clear" w:color="auto" w:fill="F2F2F2" w:themeFill="background1" w:themeFillShade="F2"/>
          </w:tcPr>
          <w:p w14:paraId="72620A03" w14:textId="77777777" w:rsidR="00EB4ED0" w:rsidRPr="00DB02FF" w:rsidRDefault="00EB4ED0" w:rsidP="007406A9">
            <w:pPr>
              <w:spacing w:after="0"/>
              <w:ind w:firstLine="0"/>
              <w:rPr>
                <w:rFonts w:cs="Calibri"/>
                <w:sz w:val="14"/>
              </w:rPr>
            </w:pPr>
            <w:r w:rsidRPr="00DB02FF">
              <w:rPr>
                <w:rFonts w:cs="Calibri"/>
                <w:color w:val="000000"/>
                <w:sz w:val="14"/>
              </w:rPr>
              <w:t>Restricted eligibility for migrant women is explicitly acknowledged. Temporary visa holders face specific challenges including depending on partners for residency and having restricted eligibility for government support and services. Access to support services regardless of visa status is stated as a principle, though implementation mechanisms are not specified.</w:t>
            </w:r>
          </w:p>
        </w:tc>
        <w:tc>
          <w:tcPr>
            <w:tcW w:w="3402" w:type="dxa"/>
            <w:shd w:val="clear" w:color="auto" w:fill="F2F2F2" w:themeFill="background1" w:themeFillShade="F2"/>
          </w:tcPr>
          <w:p w14:paraId="36270FE6"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reference to TIS National and the Aboriginal Interpreter Service. Legal barriers receive substantive treatment: visa and residency concerns, immigration law creating unique patterns of abuse, the impact of relationship breakdown on visa status, and fear that accessing support will affect migration status are all named. Cultural barriers including stigma and culturally specific norms around gender are addressed. Financial barriers including economic abuse, financial insecurity, and lack of accommodation and employment for international students and working holiday visa holders are identified. Perpetrators using women's visa status as a tool of control and abuse is explicitly named.</w:t>
            </w:r>
          </w:p>
        </w:tc>
        <w:tc>
          <w:tcPr>
            <w:tcW w:w="2977" w:type="dxa"/>
            <w:shd w:val="clear" w:color="auto" w:fill="F2F2F2" w:themeFill="background1" w:themeFillShade="F2"/>
          </w:tcPr>
          <w:p w14:paraId="1399B94F" w14:textId="77777777" w:rsidR="00EB4ED0" w:rsidRPr="00DB02FF" w:rsidRDefault="00EB4ED0" w:rsidP="007406A9">
            <w:pPr>
              <w:spacing w:after="0"/>
              <w:ind w:firstLine="0"/>
              <w:rPr>
                <w:rFonts w:cs="Calibri"/>
                <w:color w:val="000000"/>
                <w:sz w:val="14"/>
              </w:rPr>
            </w:pPr>
            <w:r w:rsidRPr="00DB02FF">
              <w:rPr>
                <w:rFonts w:cs="Calibri"/>
                <w:color w:val="000000"/>
                <w:sz w:val="14"/>
              </w:rPr>
              <w:t>Present and substantive.</w:t>
            </w:r>
          </w:p>
          <w:p w14:paraId="0B66BB82" w14:textId="77777777" w:rsidR="00EB4ED0" w:rsidRPr="00DB02FF" w:rsidRDefault="00EB4ED0" w:rsidP="007406A9">
            <w:pPr>
              <w:spacing w:after="0"/>
              <w:ind w:firstLine="0"/>
              <w:rPr>
                <w:rFonts w:cs="Calibri"/>
                <w:sz w:val="14"/>
              </w:rPr>
            </w:pPr>
            <w:r w:rsidRPr="00DB02FF">
              <w:rPr>
                <w:rFonts w:cs="Calibri"/>
                <w:color w:val="000000"/>
                <w:sz w:val="14"/>
              </w:rPr>
              <w:t>Trauma-informed, culturally safe, and person-centred responses are required. Mainstream services are expected to embed cultural safety at their core. Migration-specific services including My Blue Sky, providing free legal and migration support, are referenced.</w:t>
            </w:r>
          </w:p>
        </w:tc>
        <w:tc>
          <w:tcPr>
            <w:tcW w:w="2835" w:type="dxa"/>
            <w:shd w:val="clear" w:color="auto" w:fill="F2F2F2" w:themeFill="background1" w:themeFillShade="F2"/>
          </w:tcPr>
          <w:p w14:paraId="7F34195A" w14:textId="77777777" w:rsidR="00EB4ED0" w:rsidRPr="00DB02FF" w:rsidRDefault="00EB4ED0" w:rsidP="007406A9">
            <w:pPr>
              <w:spacing w:after="0"/>
              <w:ind w:firstLine="0"/>
              <w:rPr>
                <w:rFonts w:cs="Calibri"/>
                <w:sz w:val="14"/>
              </w:rPr>
            </w:pPr>
            <w:r w:rsidRPr="00DB02FF">
              <w:rPr>
                <w:rFonts w:cs="Calibri"/>
                <w:color w:val="000000"/>
                <w:sz w:val="14"/>
              </w:rPr>
              <w:t>Present and strong. Violence against women is explicitly named as a human rights issue. Australia's obligations under CEDAW, the UN Convention on the Rights of the Child, ICCPR, ICESCR, and the International Convention on the Elimination of All Forms of Racial Discrimination are all referenced.</w:t>
            </w:r>
          </w:p>
        </w:tc>
        <w:tc>
          <w:tcPr>
            <w:tcW w:w="2977" w:type="dxa"/>
            <w:shd w:val="clear" w:color="auto" w:fill="F2F2F2" w:themeFill="background1" w:themeFillShade="F2"/>
          </w:tcPr>
          <w:p w14:paraId="0CBD9B91" w14:textId="77777777" w:rsidR="00EB4ED0" w:rsidRPr="00DB02FF" w:rsidRDefault="00EB4ED0" w:rsidP="007406A9">
            <w:pPr>
              <w:spacing w:after="0"/>
              <w:ind w:firstLine="0"/>
              <w:rPr>
                <w:rFonts w:cs="Calibri"/>
                <w:sz w:val="14"/>
              </w:rPr>
            </w:pPr>
            <w:r w:rsidRPr="00DB02FF">
              <w:rPr>
                <w:rFonts w:cs="Calibri"/>
                <w:color w:val="000000"/>
                <w:sz w:val="14"/>
              </w:rPr>
              <w:t>Intersectionality is a core organising principle. Refugees and migrants on temporary visas, particularly those of colour, are named as experiencing racialised and gendered violence driven by intersecting structural discrimination. Granting migrant women access to support regardless of visa status is stated as an equity commitment.</w:t>
            </w:r>
          </w:p>
        </w:tc>
      </w:tr>
      <w:tr w:rsidR="00EB4ED0" w:rsidRPr="00DB02FF" w14:paraId="3F76019B" w14:textId="77777777" w:rsidTr="00EB4ED0">
        <w:tc>
          <w:tcPr>
            <w:tcW w:w="358" w:type="dxa"/>
            <w:vAlign w:val="center"/>
          </w:tcPr>
          <w:p w14:paraId="3578445B" w14:textId="77777777" w:rsidR="00EB4ED0" w:rsidRPr="00DB02FF" w:rsidRDefault="00EB4ED0" w:rsidP="007406A9">
            <w:pPr>
              <w:spacing w:after="0"/>
              <w:ind w:firstLine="0"/>
              <w:jc w:val="center"/>
              <w:rPr>
                <w:rFonts w:cs="Calibri"/>
                <w:sz w:val="14"/>
              </w:rPr>
            </w:pPr>
            <w:r w:rsidRPr="00DB02FF">
              <w:rPr>
                <w:rFonts w:cs="Calibri"/>
                <w:sz w:val="14"/>
              </w:rPr>
              <w:t>13</w:t>
            </w:r>
          </w:p>
        </w:tc>
        <w:tc>
          <w:tcPr>
            <w:tcW w:w="1344" w:type="dxa"/>
          </w:tcPr>
          <w:p w14:paraId="61E32F3F" w14:textId="77777777" w:rsidR="00EB4ED0" w:rsidRPr="00DB02FF" w:rsidRDefault="00EB4ED0" w:rsidP="007406A9">
            <w:pPr>
              <w:spacing w:after="0"/>
              <w:ind w:firstLine="0"/>
              <w:rPr>
                <w:rFonts w:cs="Calibri"/>
                <w:sz w:val="14"/>
              </w:rPr>
            </w:pPr>
            <w:r w:rsidRPr="00DB02FF">
              <w:rPr>
                <w:rFonts w:cs="Calibri"/>
                <w:sz w:val="14"/>
              </w:rPr>
              <w:t xml:space="preserve">Fourth National Hepatitis B Strategy 2023–2030 </w:t>
            </w:r>
            <w:r w:rsidRPr="00DB02FF">
              <w:rPr>
                <w:rFonts w:cs="Calibri"/>
                <w:sz w:val="14"/>
              </w:rPr>
              <w:fldChar w:fldCharType="begin"/>
            </w:r>
            <w:r>
              <w:rPr>
                <w:rFonts w:cs="Calibri"/>
                <w:sz w:val="14"/>
              </w:rPr>
              <w:instrText xml:space="preserve"> ADDIN EN.CITE &lt;EndNote&gt;&lt;Cite&gt;&lt;Author&gt;Department of Health and Aged Care&lt;/Author&gt;&lt;Year&gt;2023&lt;/Year&gt;&lt;RecNum&gt;243&lt;/RecNum&gt;&lt;DisplayText&gt;(24)&lt;/DisplayText&gt;&lt;record&gt;&lt;rec-number&gt;243&lt;/rec-number&gt;&lt;foreign-keys&gt;&lt;key app="EN" db-id="rpvwsrsz7xw2rmep9ztxavrkttar9reapt9w" timestamp="1773209447"&gt;243&lt;/key&gt;&lt;/foreign-keys&gt;&lt;ref-type name="Web Page"&gt;12&lt;/ref-type&gt;&lt;contributors&gt;&lt;authors&gt;&lt;author&gt;Department of Health and Aged Care, &lt;/author&gt;&lt;/authors&gt;&lt;/contributors&gt;&lt;titles&gt;&lt;title&gt;Fourth National Hepatitis B Strategy 2023–2030&lt;/title&gt;&lt;/titles&gt;&lt;volume&gt;2026&lt;/volume&gt;&lt;number&gt;11 March &lt;/number&gt;&lt;dates&gt;&lt;year&gt;2023&lt;/year&gt;&lt;/dates&gt;&lt;urls&gt;&lt;related-urls&gt;&lt;url&gt;https://www.cdc.gov.au/resources/publications/draft-fourth-national-hepatitis-b-strategy-2023-2030&lt;/url&gt;&lt;/related-urls&gt;&lt;/urls&gt;&lt;/record&gt;&lt;/Cite&gt;&lt;/EndNote&gt;</w:instrText>
            </w:r>
            <w:r w:rsidRPr="00DB02FF">
              <w:rPr>
                <w:rFonts w:cs="Calibri"/>
                <w:sz w:val="14"/>
              </w:rPr>
              <w:fldChar w:fldCharType="separate"/>
            </w:r>
            <w:r>
              <w:rPr>
                <w:rFonts w:cs="Calibri"/>
                <w:noProof/>
                <w:sz w:val="14"/>
              </w:rPr>
              <w:t>(24)</w:t>
            </w:r>
            <w:r w:rsidRPr="00DB02FF">
              <w:rPr>
                <w:rFonts w:cs="Calibri"/>
                <w:sz w:val="14"/>
              </w:rPr>
              <w:fldChar w:fldCharType="end"/>
            </w:r>
          </w:p>
        </w:tc>
        <w:tc>
          <w:tcPr>
            <w:tcW w:w="2126" w:type="dxa"/>
          </w:tcPr>
          <w:p w14:paraId="63987C12" w14:textId="77777777" w:rsidR="00EB4ED0" w:rsidRPr="00DB02FF" w:rsidRDefault="00EB4ED0" w:rsidP="007406A9">
            <w:pPr>
              <w:spacing w:after="0"/>
              <w:ind w:firstLine="0"/>
              <w:rPr>
                <w:rFonts w:cs="Calibri"/>
                <w:sz w:val="14"/>
              </w:rPr>
            </w:pPr>
            <w:r w:rsidRPr="00DB02FF">
              <w:rPr>
                <w:rFonts w:cs="Calibri"/>
                <w:color w:val="000000"/>
                <w:sz w:val="14"/>
              </w:rPr>
              <w:t xml:space="preserve">Universal eligibility is stated but explicitly qualified. Migration status and access to Medicare are acknowledged as barriers alongside a specific action to remove barriers for people ineligible for subsidised healthcare. </w:t>
            </w:r>
          </w:p>
        </w:tc>
        <w:tc>
          <w:tcPr>
            <w:tcW w:w="3402" w:type="dxa"/>
          </w:tcPr>
          <w:p w14:paraId="6BDCA5DD" w14:textId="77777777" w:rsidR="00EB4ED0" w:rsidRPr="00DB02FF" w:rsidRDefault="00EB4ED0" w:rsidP="007406A9">
            <w:pPr>
              <w:spacing w:after="0"/>
              <w:ind w:firstLine="0"/>
              <w:rPr>
                <w:rFonts w:cs="Calibri"/>
                <w:sz w:val="14"/>
              </w:rPr>
            </w:pPr>
            <w:r w:rsidRPr="00DB02FF">
              <w:rPr>
                <w:rFonts w:cs="Calibri"/>
                <w:color w:val="000000"/>
                <w:sz w:val="14"/>
              </w:rPr>
              <w:t xml:space="preserve">Language barriers are addressed through bilingual and bicultural healthcare providers, accredited translation services, and first/preferred language communication within six months of diagnosis. Cultural barriers are addressed through community-led, culturally appropriate services and recognition of the tension between biomedical frameworks and cultural understandings of hepatitis B. Financial barriers are addressed through affordability commitments and a specific action to remove barriers for </w:t>
            </w:r>
            <w:proofErr w:type="gramStart"/>
            <w:r w:rsidRPr="00DB02FF">
              <w:rPr>
                <w:rFonts w:cs="Calibri"/>
                <w:color w:val="000000"/>
                <w:sz w:val="14"/>
              </w:rPr>
              <w:t>those ineligible</w:t>
            </w:r>
            <w:proofErr w:type="gramEnd"/>
            <w:r w:rsidRPr="00DB02FF">
              <w:rPr>
                <w:rFonts w:cs="Calibri"/>
                <w:color w:val="000000"/>
                <w:sz w:val="14"/>
              </w:rPr>
              <w:t xml:space="preserve"> for subsidised healthcare. Legal barriers are addressed through acknowledgement that Australia's anti-discrimination legislation excludes migration law, with a dedicated action on access to justice for those affected by immigration status concerns. Geographic barriers are addressed through telehealth and mobile outreach models.</w:t>
            </w:r>
          </w:p>
        </w:tc>
        <w:tc>
          <w:tcPr>
            <w:tcW w:w="2977" w:type="dxa"/>
          </w:tcPr>
          <w:p w14:paraId="0AD3FBA3"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substantive. </w:t>
            </w:r>
          </w:p>
          <w:p w14:paraId="01694282" w14:textId="77777777" w:rsidR="00EB4ED0" w:rsidRPr="00DB02FF" w:rsidRDefault="00EB4ED0" w:rsidP="007406A9">
            <w:pPr>
              <w:spacing w:after="0"/>
              <w:ind w:firstLine="0"/>
              <w:rPr>
                <w:rFonts w:cs="Calibri"/>
                <w:sz w:val="14"/>
              </w:rPr>
            </w:pPr>
            <w:r w:rsidRPr="00DB02FF">
              <w:rPr>
                <w:rFonts w:cs="Calibri"/>
                <w:color w:val="000000"/>
                <w:sz w:val="14"/>
              </w:rPr>
              <w:t>Health promotion programs are to be community-led and delivered by affected communities. Diagnosis and care decisions are to be explained in first/preferred language using accredited interpreters within six months. Multicultural and migrant health services are identified as critical infrastructure. Cultural understandings of health and intergenerational impacts are explicitly acknowledged alongside biomedical approaches.</w:t>
            </w:r>
          </w:p>
        </w:tc>
        <w:tc>
          <w:tcPr>
            <w:tcW w:w="2835" w:type="dxa"/>
          </w:tcPr>
          <w:p w14:paraId="3E2921BC" w14:textId="77777777" w:rsidR="00EB4ED0" w:rsidRPr="00DB02FF" w:rsidRDefault="00EB4ED0" w:rsidP="007406A9">
            <w:pPr>
              <w:spacing w:after="0"/>
              <w:ind w:firstLine="0"/>
              <w:rPr>
                <w:rFonts w:cs="Calibri"/>
                <w:color w:val="000000"/>
                <w:sz w:val="14"/>
              </w:rPr>
            </w:pPr>
            <w:r w:rsidRPr="00DB02FF">
              <w:rPr>
                <w:rFonts w:cs="Calibri"/>
                <w:color w:val="000000"/>
                <w:sz w:val="14"/>
              </w:rPr>
              <w:t>Present and comprehensive.</w:t>
            </w:r>
          </w:p>
          <w:p w14:paraId="4AFFFF17" w14:textId="77777777" w:rsidR="00EB4ED0" w:rsidRPr="00DB02FF" w:rsidRDefault="00EB4ED0" w:rsidP="007406A9">
            <w:pPr>
              <w:spacing w:after="0"/>
              <w:ind w:firstLine="0"/>
              <w:rPr>
                <w:rFonts w:cs="Calibri"/>
                <w:sz w:val="14"/>
              </w:rPr>
            </w:pPr>
            <w:r w:rsidRPr="00DB02FF">
              <w:rPr>
                <w:rFonts w:cs="Calibri"/>
                <w:color w:val="000000"/>
                <w:sz w:val="14"/>
              </w:rPr>
              <w:t xml:space="preserve">Valuing and upholding human rights </w:t>
            </w:r>
            <w:proofErr w:type="gramStart"/>
            <w:r w:rsidRPr="00DB02FF">
              <w:rPr>
                <w:rFonts w:cs="Calibri"/>
                <w:color w:val="000000"/>
                <w:sz w:val="14"/>
              </w:rPr>
              <w:t>is</w:t>
            </w:r>
            <w:proofErr w:type="gramEnd"/>
            <w:r w:rsidRPr="00DB02FF">
              <w:rPr>
                <w:rFonts w:cs="Calibri"/>
                <w:color w:val="000000"/>
                <w:sz w:val="14"/>
              </w:rPr>
              <w:t xml:space="preserve"> stated as essential to the hepatitis B response. People affected by hepatitis B have the right to the highest attainable standard of living without discrimination regardless of legal status. References include the International Covenant on Economic, Social and Cultural Rights and the United Nations Declaration on the Rights of Indigenous Peoples.</w:t>
            </w:r>
          </w:p>
        </w:tc>
        <w:tc>
          <w:tcPr>
            <w:tcW w:w="2977" w:type="dxa"/>
          </w:tcPr>
          <w:p w14:paraId="59E9F9D5"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and operationalised. </w:t>
            </w:r>
          </w:p>
          <w:p w14:paraId="0022507A" w14:textId="77777777" w:rsidR="00EB4ED0" w:rsidRPr="00DB02FF" w:rsidRDefault="00EB4ED0" w:rsidP="007406A9">
            <w:pPr>
              <w:spacing w:after="0"/>
              <w:ind w:firstLine="0"/>
              <w:rPr>
                <w:rFonts w:cs="Calibri"/>
                <w:sz w:val="14"/>
              </w:rPr>
            </w:pPr>
            <w:r w:rsidRPr="00DB02FF">
              <w:rPr>
                <w:rFonts w:cs="Calibri"/>
                <w:color w:val="000000"/>
                <w:sz w:val="14"/>
              </w:rPr>
              <w:t>Health equity is defined as the absence of remediable disparities resulting from unfair social conditions, requiring active removal of discriminatory structural and institutional conditions. An equity threshold requires targets to be achieved across all priority populations. CALD communities facing multiple layers of stigma and discrimination are specifically named as requiring additional equity efforts.</w:t>
            </w:r>
          </w:p>
        </w:tc>
      </w:tr>
      <w:tr w:rsidR="00EB4ED0" w:rsidRPr="00DB02FF" w14:paraId="06F07DDC" w14:textId="77777777" w:rsidTr="00EB4ED0">
        <w:tc>
          <w:tcPr>
            <w:tcW w:w="358" w:type="dxa"/>
            <w:shd w:val="clear" w:color="auto" w:fill="F2F2F2" w:themeFill="background1" w:themeFillShade="F2"/>
            <w:vAlign w:val="center"/>
          </w:tcPr>
          <w:p w14:paraId="2D28745F" w14:textId="77777777" w:rsidR="00EB4ED0" w:rsidRPr="00DB02FF" w:rsidRDefault="00EB4ED0" w:rsidP="007406A9">
            <w:pPr>
              <w:spacing w:after="0"/>
              <w:ind w:firstLine="0"/>
              <w:jc w:val="center"/>
              <w:rPr>
                <w:rFonts w:cs="Calibri"/>
                <w:color w:val="000000" w:themeColor="text1"/>
                <w:sz w:val="14"/>
              </w:rPr>
            </w:pPr>
            <w:r w:rsidRPr="00DB02FF">
              <w:rPr>
                <w:rFonts w:cs="Calibri"/>
                <w:color w:val="000000" w:themeColor="text1"/>
                <w:sz w:val="14"/>
              </w:rPr>
              <w:t>14</w:t>
            </w:r>
          </w:p>
        </w:tc>
        <w:tc>
          <w:tcPr>
            <w:tcW w:w="1344" w:type="dxa"/>
            <w:shd w:val="clear" w:color="auto" w:fill="F2F2F2" w:themeFill="background1" w:themeFillShade="F2"/>
          </w:tcPr>
          <w:p w14:paraId="0405394E" w14:textId="77777777" w:rsidR="00EB4ED0" w:rsidRPr="00DB02FF" w:rsidRDefault="00EB4ED0" w:rsidP="007406A9">
            <w:pPr>
              <w:spacing w:after="0"/>
              <w:ind w:firstLine="0"/>
              <w:rPr>
                <w:rFonts w:cs="Calibri"/>
                <w:sz w:val="14"/>
              </w:rPr>
            </w:pPr>
            <w:r w:rsidRPr="00DB02FF">
              <w:rPr>
                <w:rFonts w:cs="Calibri"/>
                <w:color w:val="000000" w:themeColor="text1"/>
                <w:sz w:val="14"/>
              </w:rPr>
              <w:t xml:space="preserve">National Strategy for the Elimination of Cervical Cancer in Australia by 2035 </w:t>
            </w:r>
            <w:r w:rsidRPr="00DB02FF">
              <w:rPr>
                <w:rFonts w:cs="Calibri"/>
                <w:color w:val="000000" w:themeColor="text1"/>
                <w:sz w:val="14"/>
              </w:rPr>
              <w:fldChar w:fldCharType="begin"/>
            </w:r>
            <w:r>
              <w:rPr>
                <w:rFonts w:cs="Calibri"/>
                <w:color w:val="000000" w:themeColor="text1"/>
                <w:sz w:val="14"/>
              </w:rPr>
              <w:instrText xml:space="preserve"> ADDIN EN.CITE &lt;EndNote&gt;&lt;Cite&gt;&lt;Author&gt;Australian Centre for the Prevention of Cervical Cancer&lt;/Author&gt;&lt;Year&gt;2023&lt;/Year&gt;&lt;RecNum&gt;244&lt;/RecNum&gt;&lt;DisplayText&gt;(34)&lt;/DisplayText&gt;&lt;record&gt;&lt;rec-number&gt;244&lt;/rec-number&gt;&lt;foreign-keys&gt;&lt;key app="EN" db-id="rpvwsrsz7xw2rmep9ztxavrkttar9reapt9w" timestamp="1773280518"&gt;244&lt;/key&gt;&lt;/foreign-keys&gt;&lt;ref-type name="Web Page"&gt;12&lt;/ref-type&gt;&lt;contributors&gt;&lt;authors&gt;&lt;author&gt;Australian Centre for the Prevention of Cervical Cancer, &lt;/author&gt;&lt;/authors&gt;&lt;/contributors&gt;&lt;titles&gt;&lt;title&gt;National Strategy for the Elimination of Cervical Cancer in Australia by 2035&lt;/title&gt;&lt;/titles&gt;&lt;volume&gt;2026&lt;/volume&gt;&lt;number&gt;12 March &lt;/number&gt;&lt;dates&gt;&lt;year&gt;2023&lt;/year&gt;&lt;/dates&gt;&lt;urls&gt;&lt;related-urls&gt;&lt;url&gt;https://www.health.gov.au/sites/default/files/2023-11/national-strategy-for-the-elimination-of-cervical-cancer-in-australia.pdf&lt;/url&gt;&lt;/related-urls&gt;&lt;/urls&gt;&lt;/record&gt;&lt;/Cite&gt;&lt;/EndNote&gt;</w:instrText>
            </w:r>
            <w:r w:rsidRPr="00DB02FF">
              <w:rPr>
                <w:rFonts w:cs="Calibri"/>
                <w:color w:val="000000" w:themeColor="text1"/>
                <w:sz w:val="14"/>
              </w:rPr>
              <w:fldChar w:fldCharType="separate"/>
            </w:r>
            <w:r>
              <w:rPr>
                <w:rFonts w:cs="Calibri"/>
                <w:noProof/>
                <w:color w:val="000000" w:themeColor="text1"/>
                <w:sz w:val="14"/>
              </w:rPr>
              <w:t>(34)</w:t>
            </w:r>
            <w:r w:rsidRPr="00DB02FF">
              <w:rPr>
                <w:rFonts w:cs="Calibri"/>
                <w:color w:val="000000" w:themeColor="text1"/>
                <w:sz w:val="14"/>
              </w:rPr>
              <w:fldChar w:fldCharType="end"/>
            </w:r>
          </w:p>
        </w:tc>
        <w:tc>
          <w:tcPr>
            <w:tcW w:w="2126" w:type="dxa"/>
            <w:shd w:val="clear" w:color="auto" w:fill="F2F2F2" w:themeFill="background1" w:themeFillShade="F2"/>
          </w:tcPr>
          <w:p w14:paraId="5774222D" w14:textId="77777777" w:rsidR="00EB4ED0" w:rsidRPr="00DB02FF" w:rsidRDefault="00EB4ED0" w:rsidP="007406A9">
            <w:pPr>
              <w:spacing w:after="0"/>
              <w:ind w:firstLine="0"/>
              <w:rPr>
                <w:rFonts w:cs="Calibri"/>
                <w:sz w:val="14"/>
              </w:rPr>
            </w:pPr>
            <w:r w:rsidRPr="00DB02FF">
              <w:rPr>
                <w:rFonts w:cs="Calibri"/>
                <w:color w:val="000000"/>
                <w:sz w:val="14"/>
              </w:rPr>
              <w:t xml:space="preserve">Screening eligibility is defined by age and sexual history, with no mention of visa status, residency, or Medicare enrolment. HPV vaccination is free under the National Immunisation Program for eligible age groups. The absence of explicit inclusion provisions means access to </w:t>
            </w:r>
            <w:r w:rsidRPr="00DB02FF">
              <w:rPr>
                <w:rFonts w:cs="Calibri"/>
                <w:color w:val="000000"/>
                <w:sz w:val="14"/>
              </w:rPr>
              <w:lastRenderedPageBreak/>
              <w:t>screening and vaccination may be governed by Medicare eligibility in practice, which the document does not address.</w:t>
            </w:r>
          </w:p>
        </w:tc>
        <w:tc>
          <w:tcPr>
            <w:tcW w:w="3402" w:type="dxa"/>
            <w:shd w:val="clear" w:color="auto" w:fill="F2F2F2" w:themeFill="background1" w:themeFillShade="F2"/>
          </w:tcPr>
          <w:p w14:paraId="1D500512"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Language barriers are addressed through first/preferred language communication, translation provisions, and collection of language spoken at home. Cultural barriers receive extensive attention throughout. Financial barriers are partially addressed through social worker referrals, Centrelink support, and patient transport schemes, but Medicare ineligibility as a financial barrier is not discussed. Legal barriers including visa status and immigration-related concerns </w:t>
            </w:r>
            <w:r w:rsidRPr="00DB02FF">
              <w:rPr>
                <w:rFonts w:cs="Calibri"/>
                <w:color w:val="000000"/>
                <w:sz w:val="14"/>
              </w:rPr>
              <w:lastRenderedPageBreak/>
              <w:t>are entirely absent. Geographic barriers are addressed extensively through hub-and-spoke models, and telehealth.</w:t>
            </w:r>
          </w:p>
        </w:tc>
        <w:tc>
          <w:tcPr>
            <w:tcW w:w="2977" w:type="dxa"/>
            <w:shd w:val="clear" w:color="auto" w:fill="F2F2F2" w:themeFill="background1" w:themeFillShade="F2"/>
          </w:tcPr>
          <w:p w14:paraId="21DF4C85"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Present and substantive. </w:t>
            </w:r>
          </w:p>
          <w:p w14:paraId="0E876103" w14:textId="77777777" w:rsidR="00EB4ED0" w:rsidRPr="00DB02FF" w:rsidRDefault="00EB4ED0" w:rsidP="007406A9">
            <w:pPr>
              <w:spacing w:after="0"/>
              <w:ind w:firstLine="0"/>
              <w:rPr>
                <w:rFonts w:cs="Calibri"/>
                <w:sz w:val="14"/>
              </w:rPr>
            </w:pPr>
            <w:r w:rsidRPr="00DB02FF">
              <w:rPr>
                <w:rFonts w:cs="Calibri"/>
                <w:color w:val="000000"/>
                <w:sz w:val="14"/>
              </w:rPr>
              <w:t xml:space="preserve">Cultural appropriateness, safety, and trust are positioned as core to the strategy. Cultural safety is defined as the ongoing critical reflection of practitioner power differentials in delivering healthcare free of racism. CALD-specific provisions include co-development of resources with community members and cervical cancer survivors from CALD </w:t>
            </w:r>
            <w:r w:rsidRPr="00DB02FF">
              <w:rPr>
                <w:rFonts w:cs="Calibri"/>
                <w:color w:val="000000"/>
                <w:sz w:val="14"/>
              </w:rPr>
              <w:lastRenderedPageBreak/>
              <w:t>communities, attention to stigma, discrimination, and trauma, and a case study illustrating culturally safe multidisciplinary care including respect for religious beliefs and cultural taboos around cancer communication.</w:t>
            </w:r>
          </w:p>
        </w:tc>
        <w:tc>
          <w:tcPr>
            <w:tcW w:w="2835" w:type="dxa"/>
            <w:shd w:val="clear" w:color="auto" w:fill="F2F2F2" w:themeFill="background1" w:themeFillShade="F2"/>
          </w:tcPr>
          <w:p w14:paraId="7AA169A2"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Implicit. </w:t>
            </w:r>
          </w:p>
          <w:p w14:paraId="1D5E58E0" w14:textId="77777777" w:rsidR="00EB4ED0" w:rsidRPr="00DB02FF" w:rsidRDefault="00EB4ED0" w:rsidP="007406A9">
            <w:pPr>
              <w:spacing w:after="0"/>
              <w:ind w:firstLine="0"/>
              <w:rPr>
                <w:rFonts w:cs="Calibri"/>
                <w:sz w:val="14"/>
              </w:rPr>
            </w:pPr>
            <w:r w:rsidRPr="00DB02FF">
              <w:rPr>
                <w:rFonts w:cs="Calibri"/>
                <w:color w:val="000000"/>
                <w:sz w:val="14"/>
              </w:rPr>
              <w:t>The right to equitable prevention and care for all people and the right to high quality, culturally safe, and inclusive health services are stated. No explicit reference to international human rights frameworks or instruments.</w:t>
            </w:r>
          </w:p>
        </w:tc>
        <w:tc>
          <w:tcPr>
            <w:tcW w:w="2977" w:type="dxa"/>
            <w:shd w:val="clear" w:color="auto" w:fill="F2F2F2" w:themeFill="background1" w:themeFillShade="F2"/>
          </w:tcPr>
          <w:p w14:paraId="478447F1"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and central. </w:t>
            </w:r>
          </w:p>
          <w:p w14:paraId="38C8B5BA" w14:textId="77777777" w:rsidR="00EB4ED0" w:rsidRPr="00DB02FF" w:rsidRDefault="00EB4ED0" w:rsidP="007406A9">
            <w:pPr>
              <w:spacing w:after="0"/>
              <w:ind w:firstLine="0"/>
              <w:rPr>
                <w:rFonts w:cs="Calibri"/>
                <w:sz w:val="14"/>
              </w:rPr>
            </w:pPr>
            <w:r w:rsidRPr="00DB02FF">
              <w:rPr>
                <w:rFonts w:cs="Calibri"/>
                <w:color w:val="000000"/>
                <w:sz w:val="14"/>
              </w:rPr>
              <w:t xml:space="preserve">Cervical cancer is described as almost entirely a disease of inequity, and achieving elimination is stated as contingent on systematically addressing inequities. Five priority populations are identified. However, equity is operationalised through cultural safety and service access rather than through structural or legal barriers related to migration status or </w:t>
            </w:r>
            <w:r w:rsidRPr="00DB02FF">
              <w:rPr>
                <w:rFonts w:cs="Calibri"/>
                <w:color w:val="000000"/>
                <w:sz w:val="14"/>
              </w:rPr>
              <w:lastRenderedPageBreak/>
              <w:t xml:space="preserve">Medicare </w:t>
            </w:r>
            <w:proofErr w:type="gramStart"/>
            <w:r w:rsidRPr="00DB02FF">
              <w:rPr>
                <w:rFonts w:cs="Calibri"/>
                <w:color w:val="000000"/>
                <w:sz w:val="14"/>
              </w:rPr>
              <w:t>eligibility..</w:t>
            </w:r>
            <w:proofErr w:type="gramEnd"/>
          </w:p>
        </w:tc>
      </w:tr>
      <w:tr w:rsidR="00EB4ED0" w:rsidRPr="00DB02FF" w14:paraId="747DDC1E" w14:textId="77777777" w:rsidTr="00EB4ED0">
        <w:tc>
          <w:tcPr>
            <w:tcW w:w="358" w:type="dxa"/>
            <w:vAlign w:val="center"/>
          </w:tcPr>
          <w:p w14:paraId="531919DE" w14:textId="77777777" w:rsidR="00EB4ED0" w:rsidRPr="00DB02FF" w:rsidRDefault="00EB4ED0" w:rsidP="007406A9">
            <w:pPr>
              <w:spacing w:after="0"/>
              <w:ind w:firstLine="0"/>
              <w:jc w:val="center"/>
              <w:rPr>
                <w:rFonts w:cs="Calibri"/>
                <w:sz w:val="14"/>
              </w:rPr>
            </w:pPr>
            <w:r w:rsidRPr="00DB02FF">
              <w:rPr>
                <w:rFonts w:cs="Calibri"/>
                <w:sz w:val="14"/>
              </w:rPr>
              <w:lastRenderedPageBreak/>
              <w:t>15</w:t>
            </w:r>
          </w:p>
        </w:tc>
        <w:tc>
          <w:tcPr>
            <w:tcW w:w="1344" w:type="dxa"/>
          </w:tcPr>
          <w:p w14:paraId="0502354A" w14:textId="77777777" w:rsidR="00EB4ED0" w:rsidRPr="00DB02FF" w:rsidRDefault="00EB4ED0" w:rsidP="007406A9">
            <w:pPr>
              <w:spacing w:after="0"/>
              <w:ind w:firstLine="0"/>
              <w:rPr>
                <w:rFonts w:cs="Calibri"/>
                <w:sz w:val="14"/>
              </w:rPr>
            </w:pPr>
            <w:r w:rsidRPr="00DB02FF">
              <w:rPr>
                <w:rFonts w:cs="Calibri"/>
                <w:sz w:val="14"/>
              </w:rPr>
              <w:t xml:space="preserve">Sixth National Hepatitis C Strategy 2023–2030 </w:t>
            </w:r>
            <w:r w:rsidRPr="00DB02FF">
              <w:rPr>
                <w:rFonts w:cs="Calibri"/>
                <w:sz w:val="14"/>
              </w:rPr>
              <w:fldChar w:fldCharType="begin"/>
            </w:r>
            <w:r>
              <w:rPr>
                <w:rFonts w:cs="Calibri"/>
                <w:sz w:val="14"/>
              </w:rPr>
              <w:instrText xml:space="preserve"> ADDIN EN.CITE &lt;EndNote&gt;&lt;Cite&gt;&lt;Author&gt;Australian Government Department of Health and Aged Care&lt;/Author&gt;&lt;Year&gt;2023&lt;/Year&gt;&lt;RecNum&gt;242&lt;/RecNum&gt;&lt;DisplayText&gt;(45)&lt;/DisplayText&gt;&lt;record&gt;&lt;rec-number&gt;242&lt;/rec-number&gt;&lt;foreign-keys&gt;&lt;key app="EN" db-id="rpvwsrsz7xw2rmep9ztxavrkttar9reapt9w" timestamp="1773209079"&gt;242&lt;/key&gt;&lt;/foreign-keys&gt;&lt;ref-type name="Web Page"&gt;12&lt;/ref-type&gt;&lt;contributors&gt;&lt;authors&gt;&lt;author&gt;Australian Government Department of Health and Aged Care, &lt;/author&gt;&lt;/authors&gt;&lt;/contributors&gt;&lt;titles&gt;&lt;title&gt;Sixth National Hepatitis C Strategy 2023–2030&lt;/title&gt;&lt;/titles&gt;&lt;volume&gt;2026&lt;/volume&gt;&lt;number&gt;11 March &lt;/number&gt;&lt;dates&gt;&lt;year&gt;2023&lt;/year&gt;&lt;/dates&gt;&lt;urls&gt;&lt;related-urls&gt;&lt;url&gt;https://www.cdc.gov.au/sites/default/files/2025-11/draft-sixth-national-hepatitis-c-strategy-2023-to-2030.pdf&lt;/url&gt;&lt;/related-urls&gt;&lt;/urls&gt;&lt;/record&gt;&lt;/Cite&gt;&lt;/EndNote&gt;</w:instrText>
            </w:r>
            <w:r w:rsidRPr="00DB02FF">
              <w:rPr>
                <w:rFonts w:cs="Calibri"/>
                <w:sz w:val="14"/>
              </w:rPr>
              <w:fldChar w:fldCharType="separate"/>
            </w:r>
            <w:r>
              <w:rPr>
                <w:rFonts w:cs="Calibri"/>
                <w:noProof/>
                <w:sz w:val="14"/>
              </w:rPr>
              <w:t>(45)</w:t>
            </w:r>
            <w:r w:rsidRPr="00DB02FF">
              <w:rPr>
                <w:rFonts w:cs="Calibri"/>
                <w:sz w:val="14"/>
              </w:rPr>
              <w:fldChar w:fldCharType="end"/>
            </w:r>
          </w:p>
        </w:tc>
        <w:tc>
          <w:tcPr>
            <w:tcW w:w="2126" w:type="dxa"/>
          </w:tcPr>
          <w:p w14:paraId="40C310FA" w14:textId="77777777" w:rsidR="00EB4ED0" w:rsidRPr="00DB02FF" w:rsidRDefault="00EB4ED0" w:rsidP="007406A9">
            <w:pPr>
              <w:spacing w:after="0"/>
              <w:ind w:firstLine="0"/>
              <w:rPr>
                <w:rFonts w:cs="Calibri"/>
                <w:sz w:val="14"/>
              </w:rPr>
            </w:pPr>
            <w:r w:rsidRPr="00DB02FF">
              <w:rPr>
                <w:rFonts w:cs="Calibri"/>
                <w:color w:val="000000"/>
                <w:sz w:val="14"/>
              </w:rPr>
              <w:t>Medicare-eligible Australians and people in prison can access PBS-subsidised treatment. People living with hepatitis C who are not eligible for subsidised care are explicitly identified as a sub-population requiring action, directly name Medicare ineligibility as a structural access barrier for migrants.</w:t>
            </w:r>
          </w:p>
        </w:tc>
        <w:tc>
          <w:tcPr>
            <w:tcW w:w="3402" w:type="dxa"/>
          </w:tcPr>
          <w:p w14:paraId="166F3066" w14:textId="77777777" w:rsidR="00EB4ED0" w:rsidRPr="00DB02FF" w:rsidRDefault="00EB4ED0" w:rsidP="007406A9">
            <w:pPr>
              <w:spacing w:after="0"/>
              <w:ind w:firstLine="0"/>
              <w:rPr>
                <w:rFonts w:cs="Calibri"/>
                <w:sz w:val="14"/>
              </w:rPr>
            </w:pPr>
            <w:r w:rsidRPr="00DB02FF">
              <w:rPr>
                <w:rFonts w:cs="Calibri"/>
                <w:color w:val="000000"/>
                <w:sz w:val="14"/>
              </w:rPr>
              <w:t xml:space="preserve">Language barriers are addressed through a target requiring diagnosis and treatment to be explained in first/preferred language using accredited interpreters within six months, and through expanded accredited translation services. Cultural barriers are addressed through multicultural and migrant health services identified as critical infrastructure for CALD communities, bilingual and bicultural providers, and community-led education and prevention. Financial barriers are addressed through a specific action to remove barriers for </w:t>
            </w:r>
            <w:proofErr w:type="gramStart"/>
            <w:r w:rsidRPr="00DB02FF">
              <w:rPr>
                <w:rFonts w:cs="Calibri"/>
                <w:color w:val="000000"/>
                <w:sz w:val="14"/>
              </w:rPr>
              <w:t>those ineligible</w:t>
            </w:r>
            <w:proofErr w:type="gramEnd"/>
            <w:r w:rsidRPr="00DB02FF">
              <w:rPr>
                <w:rFonts w:cs="Calibri"/>
                <w:color w:val="000000"/>
                <w:sz w:val="14"/>
              </w:rPr>
              <w:t xml:space="preserve"> for subsidised care. Legal barriers are addressed through explicit acknowledgement of the right to the highest attainable standard of living regardless of visa and legal status. Geographic barriers are acknowledged through a focus on rural and remote areas with lowest treatment uptake.</w:t>
            </w:r>
          </w:p>
        </w:tc>
        <w:tc>
          <w:tcPr>
            <w:tcW w:w="2977" w:type="dxa"/>
          </w:tcPr>
          <w:p w14:paraId="42A069E8"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substantive. </w:t>
            </w:r>
          </w:p>
          <w:p w14:paraId="1F0BD39B" w14:textId="77777777" w:rsidR="00EB4ED0" w:rsidRPr="00DB02FF" w:rsidRDefault="00EB4ED0" w:rsidP="007406A9">
            <w:pPr>
              <w:spacing w:after="0"/>
              <w:ind w:firstLine="0"/>
              <w:rPr>
                <w:rFonts w:cs="Calibri"/>
                <w:sz w:val="14"/>
              </w:rPr>
            </w:pPr>
            <w:r w:rsidRPr="00DB02FF">
              <w:rPr>
                <w:rFonts w:cs="Calibri"/>
                <w:color w:val="000000"/>
                <w:sz w:val="14"/>
              </w:rPr>
              <w:t>Multicultural and migrant health services are positioned as critical to equitable access. Education and prevention activities are to be community-led and reflective of individual, familial, social, cultural, and linguistic dimensions. Bilingual and bicultural health worker capacity building is a specific action.</w:t>
            </w:r>
          </w:p>
        </w:tc>
        <w:tc>
          <w:tcPr>
            <w:tcW w:w="2835" w:type="dxa"/>
          </w:tcPr>
          <w:p w14:paraId="23C1B17C"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explicit. </w:t>
            </w:r>
          </w:p>
          <w:p w14:paraId="58C2A329" w14:textId="77777777" w:rsidR="00EB4ED0" w:rsidRPr="00DB02FF" w:rsidRDefault="00EB4ED0" w:rsidP="007406A9">
            <w:pPr>
              <w:spacing w:after="0"/>
              <w:ind w:firstLine="0"/>
              <w:rPr>
                <w:rFonts w:cs="Calibri"/>
                <w:sz w:val="14"/>
              </w:rPr>
            </w:pPr>
            <w:r w:rsidRPr="00DB02FF">
              <w:rPr>
                <w:rFonts w:cs="Calibri"/>
                <w:color w:val="000000"/>
                <w:sz w:val="14"/>
              </w:rPr>
              <w:t>People affected by hepatitis C have the right to the highest attainable standard of living without stigma or discrimination regardless of visa and legal status. Harm reduction is grounded in justice and human rights. References include the United Nations Declaration on the Rights of Indigenous Peoples and the Nelson Mandela Rules.</w:t>
            </w:r>
          </w:p>
        </w:tc>
        <w:tc>
          <w:tcPr>
            <w:tcW w:w="2977" w:type="dxa"/>
          </w:tcPr>
          <w:p w14:paraId="3DFA2FD1"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and operationalised. </w:t>
            </w:r>
          </w:p>
          <w:p w14:paraId="42092930" w14:textId="77777777" w:rsidR="00EB4ED0" w:rsidRPr="00DB02FF" w:rsidRDefault="00EB4ED0" w:rsidP="007406A9">
            <w:pPr>
              <w:spacing w:after="0"/>
              <w:ind w:firstLine="0"/>
              <w:rPr>
                <w:rFonts w:cs="Calibri"/>
                <w:sz w:val="14"/>
              </w:rPr>
            </w:pPr>
            <w:r w:rsidRPr="00DB02FF">
              <w:rPr>
                <w:rFonts w:cs="Calibri"/>
                <w:color w:val="000000"/>
                <w:sz w:val="14"/>
              </w:rPr>
              <w:t>Health equity is defined as the absence of remediable disparities resulting from unfair social conditions requiring active removal of discriminatory structural and institutional conditions. An equity threshold requires targets to be achieved across all priority populations. Achieving the strategy's goals is stated as contingent on addressing the inequalities driving the hepatitis C epidemic.</w:t>
            </w:r>
          </w:p>
        </w:tc>
      </w:tr>
      <w:tr w:rsidR="00EB4ED0" w:rsidRPr="00DB02FF" w14:paraId="156181FB" w14:textId="77777777" w:rsidTr="00EB4ED0">
        <w:tc>
          <w:tcPr>
            <w:tcW w:w="358" w:type="dxa"/>
            <w:shd w:val="clear" w:color="auto" w:fill="F2F2F2" w:themeFill="background1" w:themeFillShade="F2"/>
            <w:vAlign w:val="center"/>
          </w:tcPr>
          <w:p w14:paraId="1B726842" w14:textId="77777777" w:rsidR="00EB4ED0" w:rsidRPr="00DB02FF" w:rsidRDefault="00EB4ED0" w:rsidP="007406A9">
            <w:pPr>
              <w:spacing w:after="0"/>
              <w:ind w:firstLine="0"/>
              <w:jc w:val="center"/>
              <w:rPr>
                <w:rFonts w:cs="Calibri"/>
                <w:sz w:val="14"/>
              </w:rPr>
            </w:pPr>
            <w:r w:rsidRPr="00DB02FF">
              <w:rPr>
                <w:rFonts w:cs="Calibri"/>
                <w:sz w:val="14"/>
              </w:rPr>
              <w:t>16</w:t>
            </w:r>
          </w:p>
        </w:tc>
        <w:tc>
          <w:tcPr>
            <w:tcW w:w="1344" w:type="dxa"/>
            <w:shd w:val="clear" w:color="auto" w:fill="F2F2F2" w:themeFill="background1" w:themeFillShade="F2"/>
          </w:tcPr>
          <w:p w14:paraId="0F165B1C" w14:textId="77777777" w:rsidR="00EB4ED0" w:rsidRPr="00DB02FF" w:rsidRDefault="00EB4ED0" w:rsidP="007406A9">
            <w:pPr>
              <w:spacing w:after="0"/>
              <w:ind w:firstLine="0"/>
              <w:rPr>
                <w:rFonts w:cs="Calibri"/>
                <w:sz w:val="14"/>
              </w:rPr>
            </w:pPr>
            <w:r w:rsidRPr="00DB02FF">
              <w:rPr>
                <w:rFonts w:cs="Calibri"/>
                <w:sz w:val="14"/>
              </w:rPr>
              <w:t xml:space="preserve">Fifth National Sexually Transmissible Infections Strategy 2024–2030 </w:t>
            </w:r>
            <w:r w:rsidRPr="00DB02FF">
              <w:rPr>
                <w:rFonts w:cs="Calibri"/>
                <w:sz w:val="14"/>
              </w:rPr>
              <w:fldChar w:fldCharType="begin"/>
            </w:r>
            <w:r>
              <w:rPr>
                <w:rFonts w:cs="Calibri"/>
                <w:sz w:val="14"/>
              </w:rPr>
              <w:instrText xml:space="preserve"> ADDIN EN.CITE &lt;EndNote&gt;&lt;Cite&gt;&lt;Author&gt;Department of Health and Aged Care&lt;/Author&gt;&lt;Year&gt;2024&lt;/Year&gt;&lt;RecNum&gt;245&lt;/RecNum&gt;&lt;DisplayText&gt;(22)&lt;/DisplayText&gt;&lt;record&gt;&lt;rec-number&gt;245&lt;/rec-number&gt;&lt;foreign-keys&gt;&lt;key app="EN" db-id="rpvwsrsz7xw2rmep9ztxavrkttar9reapt9w" timestamp="1773284290"&gt;245&lt;/key&gt;&lt;/foreign-keys&gt;&lt;ref-type name="Web Page"&gt;12&lt;/ref-type&gt;&lt;contributors&gt;&lt;authors&gt;&lt;author&gt;Department of Health and Aged Care,&lt;/author&gt;&lt;/authors&gt;&lt;/contributors&gt;&lt;titles&gt;&lt;title&gt;Fifth National Sexually Transmissible Infections Strategy 2024 to 2030&lt;/title&gt;&lt;/titles&gt;&lt;volume&gt;2026&lt;/volume&gt;&lt;number&gt;12 March &lt;/number&gt;&lt;dates&gt;&lt;year&gt;2024&lt;/year&gt;&lt;/dates&gt;&lt;urls&gt;&lt;related-urls&gt;&lt;url&gt;https://www.cdc.gov.au/resources/publications/fifth-national-sti-strategy-2024-2030?language=en&lt;/url&gt;&lt;/related-urls&gt;&lt;/urls&gt;&lt;/record&gt;&lt;/Cite&gt;&lt;/EndNote&gt;</w:instrText>
            </w:r>
            <w:r w:rsidRPr="00DB02FF">
              <w:rPr>
                <w:rFonts w:cs="Calibri"/>
                <w:sz w:val="14"/>
              </w:rPr>
              <w:fldChar w:fldCharType="separate"/>
            </w:r>
            <w:r>
              <w:rPr>
                <w:rFonts w:cs="Calibri"/>
                <w:noProof/>
                <w:sz w:val="14"/>
              </w:rPr>
              <w:t>(22)</w:t>
            </w:r>
            <w:r w:rsidRPr="00DB02FF">
              <w:rPr>
                <w:rFonts w:cs="Calibri"/>
                <w:sz w:val="14"/>
              </w:rPr>
              <w:fldChar w:fldCharType="end"/>
            </w:r>
          </w:p>
        </w:tc>
        <w:tc>
          <w:tcPr>
            <w:tcW w:w="2126" w:type="dxa"/>
            <w:shd w:val="clear" w:color="auto" w:fill="F2F2F2" w:themeFill="background1" w:themeFillShade="F2"/>
          </w:tcPr>
          <w:p w14:paraId="67B1FE50" w14:textId="77777777" w:rsidR="00EB4ED0" w:rsidRPr="00DB02FF" w:rsidRDefault="00EB4ED0" w:rsidP="007406A9">
            <w:pPr>
              <w:spacing w:after="0"/>
              <w:ind w:firstLine="0"/>
              <w:rPr>
                <w:rFonts w:cs="Calibri"/>
                <w:sz w:val="14"/>
              </w:rPr>
            </w:pPr>
            <w:r w:rsidRPr="00DB02FF">
              <w:rPr>
                <w:rFonts w:cs="Calibri"/>
                <w:color w:val="000000"/>
                <w:sz w:val="14"/>
              </w:rPr>
              <w:t>'Healthcare access for international students often mediated through privately purchased health insurance, rather than Medicare.'</w:t>
            </w:r>
          </w:p>
          <w:p w14:paraId="3276254B" w14:textId="77777777" w:rsidR="00EB4ED0" w:rsidRPr="00DB02FF" w:rsidRDefault="00EB4ED0" w:rsidP="007406A9">
            <w:pPr>
              <w:spacing w:after="0"/>
              <w:ind w:firstLine="0"/>
              <w:rPr>
                <w:rFonts w:cs="Calibri"/>
                <w:sz w:val="14"/>
              </w:rPr>
            </w:pPr>
            <w:r w:rsidRPr="00DB02FF">
              <w:rPr>
                <w:rFonts w:cs="Calibri"/>
                <w:color w:val="000000"/>
                <w:sz w:val="14"/>
              </w:rPr>
              <w:t>'Integrate services into priority settings...including strengthening access to services for people ineligible for subsidised care.'</w:t>
            </w:r>
          </w:p>
          <w:p w14:paraId="79818D1A" w14:textId="77777777" w:rsidR="00EB4ED0" w:rsidRPr="00DB02FF" w:rsidRDefault="00EB4ED0" w:rsidP="007406A9">
            <w:pPr>
              <w:spacing w:after="0"/>
              <w:ind w:firstLine="0"/>
              <w:rPr>
                <w:rFonts w:cs="Calibri"/>
                <w:sz w:val="14"/>
              </w:rPr>
            </w:pPr>
            <w:r w:rsidRPr="00DB02FF">
              <w:rPr>
                <w:rFonts w:cs="Calibri"/>
                <w:color w:val="000000"/>
                <w:sz w:val="14"/>
              </w:rPr>
              <w:t>From case study: '33% are Medicare ineligible, presumably international students, overseas visitors or temporary visa holders.'</w:t>
            </w:r>
          </w:p>
        </w:tc>
        <w:tc>
          <w:tcPr>
            <w:tcW w:w="3402" w:type="dxa"/>
            <w:shd w:val="clear" w:color="auto" w:fill="F2F2F2" w:themeFill="background1" w:themeFillShade="F2"/>
          </w:tcPr>
          <w:p w14:paraId="7A0F1CFF" w14:textId="77777777" w:rsidR="00EB4ED0" w:rsidRPr="00DB02FF" w:rsidRDefault="00EB4ED0" w:rsidP="007406A9">
            <w:pPr>
              <w:spacing w:after="0"/>
              <w:ind w:firstLine="0"/>
              <w:rPr>
                <w:rFonts w:cs="Calibri"/>
                <w:sz w:val="14"/>
              </w:rPr>
            </w:pPr>
            <w:r w:rsidRPr="00DB02FF">
              <w:rPr>
                <w:rFonts w:cs="Calibri"/>
                <w:color w:val="000000"/>
                <w:sz w:val="14"/>
              </w:rPr>
              <w:t>Language: 'Ensuring that health promotion and information resources, materials and training are offered using culturally appropriate terminology and translated into relevant languages other than English.'</w:t>
            </w:r>
          </w:p>
          <w:p w14:paraId="30D85AE6" w14:textId="77777777" w:rsidR="00EB4ED0" w:rsidRPr="00DB02FF" w:rsidRDefault="00EB4ED0" w:rsidP="007406A9">
            <w:pPr>
              <w:spacing w:after="0"/>
              <w:ind w:firstLine="0"/>
              <w:rPr>
                <w:rFonts w:cs="Calibri"/>
                <w:sz w:val="14"/>
              </w:rPr>
            </w:pPr>
            <w:r w:rsidRPr="00DB02FF">
              <w:rPr>
                <w:rFonts w:cs="Calibri"/>
                <w:color w:val="000000"/>
                <w:sz w:val="14"/>
              </w:rPr>
              <w:t>Cultural: 'STI, sex, and sexual health can be a very sensitive topic in many cultures due to associated stigma and shame'; 'Fear and/or experience of racism in healthcare settings.'</w:t>
            </w:r>
          </w:p>
          <w:p w14:paraId="7723F18F" w14:textId="77777777" w:rsidR="00EB4ED0" w:rsidRPr="00DB02FF" w:rsidRDefault="00EB4ED0" w:rsidP="007406A9">
            <w:pPr>
              <w:spacing w:after="0"/>
              <w:ind w:firstLine="0"/>
              <w:rPr>
                <w:rFonts w:cs="Calibri"/>
                <w:sz w:val="14"/>
              </w:rPr>
            </w:pPr>
            <w:r w:rsidRPr="00DB02FF">
              <w:rPr>
                <w:rFonts w:cs="Calibri"/>
                <w:color w:val="000000"/>
                <w:sz w:val="14"/>
              </w:rPr>
              <w:t>Financial: 'Limited access to Medicare and/or private health insurance'; 'Healthcare access for international students often mediated through privately purchased health insurance, rather than Medicare.'</w:t>
            </w:r>
          </w:p>
          <w:p w14:paraId="38F6EA25" w14:textId="77777777" w:rsidR="00EB4ED0" w:rsidRPr="00DB02FF" w:rsidRDefault="00EB4ED0" w:rsidP="007406A9">
            <w:pPr>
              <w:spacing w:after="0"/>
              <w:ind w:firstLine="0"/>
              <w:rPr>
                <w:rFonts w:cs="Calibri"/>
                <w:sz w:val="14"/>
              </w:rPr>
            </w:pPr>
            <w:r w:rsidRPr="00DB02FF">
              <w:rPr>
                <w:rFonts w:cs="Calibri"/>
                <w:color w:val="000000"/>
                <w:sz w:val="14"/>
              </w:rPr>
              <w:t>Legal: 'Cultural considerations, including perceived impacts on migration status' (for sex workers); monitoring of 'legal, regulatory and policy contexts, which result in stigma and discrimination and impact health-seeking behaviour.'</w:t>
            </w:r>
          </w:p>
          <w:p w14:paraId="73815632" w14:textId="77777777" w:rsidR="00EB4ED0" w:rsidRPr="00DB02FF" w:rsidRDefault="00EB4ED0" w:rsidP="007406A9">
            <w:pPr>
              <w:spacing w:after="0"/>
              <w:ind w:firstLine="0"/>
              <w:rPr>
                <w:rFonts w:cs="Calibri"/>
                <w:sz w:val="14"/>
              </w:rPr>
            </w:pPr>
            <w:r w:rsidRPr="00DB02FF">
              <w:rPr>
                <w:rFonts w:cs="Calibri"/>
                <w:color w:val="000000"/>
                <w:sz w:val="14"/>
              </w:rPr>
              <w:t>Geographic: 'In regional, rural, and remote Australia, distance can pose a significant barrier to timely access of sexual and other health services.'</w:t>
            </w:r>
          </w:p>
        </w:tc>
        <w:tc>
          <w:tcPr>
            <w:tcW w:w="2977" w:type="dxa"/>
            <w:shd w:val="clear" w:color="auto" w:fill="F2F2F2" w:themeFill="background1" w:themeFillShade="F2"/>
          </w:tcPr>
          <w:p w14:paraId="43D4A451" w14:textId="77777777" w:rsidR="00EB4ED0" w:rsidRPr="00DB02FF" w:rsidRDefault="00EB4ED0" w:rsidP="007406A9">
            <w:pPr>
              <w:spacing w:after="0"/>
              <w:ind w:firstLine="0"/>
              <w:rPr>
                <w:rFonts w:cs="Calibri"/>
                <w:sz w:val="14"/>
              </w:rPr>
            </w:pPr>
            <w:r w:rsidRPr="00DB02FF">
              <w:rPr>
                <w:rFonts w:cs="Calibri"/>
                <w:color w:val="000000"/>
                <w:sz w:val="14"/>
              </w:rPr>
              <w:t>Yes.</w:t>
            </w:r>
          </w:p>
          <w:p w14:paraId="4FB07D7C" w14:textId="77777777" w:rsidR="00EB4ED0" w:rsidRPr="00DB02FF" w:rsidRDefault="00EB4ED0" w:rsidP="007406A9">
            <w:pPr>
              <w:spacing w:after="0"/>
              <w:ind w:firstLine="0"/>
              <w:rPr>
                <w:rFonts w:cs="Calibri"/>
                <w:sz w:val="14"/>
              </w:rPr>
            </w:pPr>
            <w:r w:rsidRPr="00DB02FF">
              <w:rPr>
                <w:rFonts w:cs="Calibri"/>
                <w:color w:val="000000"/>
                <w:sz w:val="14"/>
              </w:rPr>
              <w:t>'Multicultural and migrant health services are particularly critical in providing STI services to culturally, linguistically, and ethnically diverse communities.'</w:t>
            </w:r>
          </w:p>
          <w:p w14:paraId="40CAD184" w14:textId="77777777" w:rsidR="00EB4ED0" w:rsidRPr="00DB02FF" w:rsidRDefault="00EB4ED0" w:rsidP="007406A9">
            <w:pPr>
              <w:spacing w:after="0"/>
              <w:ind w:firstLine="0"/>
              <w:rPr>
                <w:rFonts w:cs="Calibri"/>
                <w:sz w:val="14"/>
              </w:rPr>
            </w:pPr>
            <w:r w:rsidRPr="00DB02FF">
              <w:rPr>
                <w:rFonts w:cs="Calibri"/>
                <w:color w:val="000000"/>
                <w:sz w:val="14"/>
              </w:rPr>
              <w:t>Case study: 'a[TEST] Chinese Clinic established to provide Mandarin-speaking gay men and men who have sex with men with easier access to sexual health screenings and information.'</w:t>
            </w:r>
          </w:p>
          <w:p w14:paraId="3FD49C21" w14:textId="77777777" w:rsidR="00EB4ED0" w:rsidRPr="00DB02FF" w:rsidRDefault="00EB4ED0" w:rsidP="007406A9">
            <w:pPr>
              <w:spacing w:after="0"/>
              <w:ind w:firstLine="0"/>
              <w:rPr>
                <w:rFonts w:cs="Calibri"/>
                <w:sz w:val="14"/>
              </w:rPr>
            </w:pPr>
            <w:r w:rsidRPr="00DB02FF">
              <w:rPr>
                <w:rFonts w:cs="Calibri"/>
                <w:color w:val="000000"/>
                <w:sz w:val="14"/>
              </w:rPr>
              <w:t>'Commission targeted STI health promotion initiatives, codesigned and tailored to priority populations and regions that use strength-based language.'</w:t>
            </w:r>
          </w:p>
        </w:tc>
        <w:tc>
          <w:tcPr>
            <w:tcW w:w="2835" w:type="dxa"/>
            <w:shd w:val="clear" w:color="auto" w:fill="F2F2F2" w:themeFill="background1" w:themeFillShade="F2"/>
          </w:tcPr>
          <w:p w14:paraId="5A767C66" w14:textId="77777777" w:rsidR="00EB4ED0" w:rsidRPr="00DB02FF" w:rsidRDefault="00EB4ED0" w:rsidP="007406A9">
            <w:pPr>
              <w:spacing w:after="0"/>
              <w:ind w:firstLine="0"/>
              <w:rPr>
                <w:rFonts w:cs="Calibri"/>
                <w:sz w:val="14"/>
              </w:rPr>
            </w:pPr>
            <w:r w:rsidRPr="00DB02FF">
              <w:rPr>
                <w:rFonts w:cs="Calibri"/>
                <w:color w:val="000000"/>
                <w:sz w:val="14"/>
              </w:rPr>
              <w:t>Yes.</w:t>
            </w:r>
          </w:p>
          <w:p w14:paraId="0E8F29CD" w14:textId="77777777" w:rsidR="00EB4ED0" w:rsidRPr="00DB02FF" w:rsidRDefault="00EB4ED0" w:rsidP="007406A9">
            <w:pPr>
              <w:spacing w:after="0"/>
              <w:ind w:firstLine="0"/>
              <w:rPr>
                <w:rFonts w:cs="Calibri"/>
                <w:sz w:val="14"/>
              </w:rPr>
            </w:pPr>
            <w:r w:rsidRPr="00DB02FF">
              <w:rPr>
                <w:rFonts w:cs="Calibri"/>
                <w:color w:val="000000"/>
                <w:sz w:val="14"/>
              </w:rPr>
              <w:t>'Australia recognises that valuing and upholding human rights for all is essential to preventing the transmission of STI.'</w:t>
            </w:r>
          </w:p>
          <w:p w14:paraId="254361A9" w14:textId="77777777" w:rsidR="00EB4ED0" w:rsidRPr="00DB02FF" w:rsidRDefault="00EB4ED0" w:rsidP="007406A9">
            <w:pPr>
              <w:spacing w:after="0"/>
              <w:ind w:firstLine="0"/>
              <w:rPr>
                <w:rFonts w:cs="Calibri"/>
                <w:sz w:val="14"/>
              </w:rPr>
            </w:pPr>
            <w:r w:rsidRPr="00DB02FF">
              <w:rPr>
                <w:rFonts w:cs="Calibri"/>
                <w:color w:val="000000"/>
                <w:sz w:val="14"/>
              </w:rPr>
              <w:t>'People affected by STI have the right to enjoy the highest attainable standard of living, without stigma or discrimination regardless of their culture, ethnicity, language, age, sex, sexual orientation, gender identity, disability status, legal status, religion, sex work or drug use.'</w:t>
            </w:r>
          </w:p>
          <w:p w14:paraId="25064F1D" w14:textId="77777777" w:rsidR="00EB4ED0" w:rsidRPr="00DB02FF" w:rsidRDefault="00EB4ED0" w:rsidP="007406A9">
            <w:pPr>
              <w:spacing w:after="0"/>
              <w:ind w:firstLine="0"/>
              <w:rPr>
                <w:rFonts w:cs="Calibri"/>
                <w:sz w:val="14"/>
              </w:rPr>
            </w:pPr>
            <w:r w:rsidRPr="00DB02FF">
              <w:rPr>
                <w:rFonts w:cs="Calibri"/>
                <w:color w:val="000000"/>
                <w:sz w:val="14"/>
              </w:rPr>
              <w:t>'SRHR are fundamental to health and well-being, gender equality, democracy, peace and security, and sustainable development.'</w:t>
            </w:r>
          </w:p>
        </w:tc>
        <w:tc>
          <w:tcPr>
            <w:tcW w:w="2977" w:type="dxa"/>
            <w:shd w:val="clear" w:color="auto" w:fill="F2F2F2" w:themeFill="background1" w:themeFillShade="F2"/>
          </w:tcPr>
          <w:p w14:paraId="7E15C048" w14:textId="77777777" w:rsidR="00EB4ED0" w:rsidRPr="00DB02FF" w:rsidRDefault="00EB4ED0" w:rsidP="007406A9">
            <w:pPr>
              <w:spacing w:after="0"/>
              <w:ind w:firstLine="0"/>
              <w:rPr>
                <w:rFonts w:cs="Calibri"/>
                <w:sz w:val="14"/>
              </w:rPr>
            </w:pPr>
            <w:r w:rsidRPr="00DB02FF">
              <w:rPr>
                <w:rFonts w:cs="Calibri"/>
                <w:color w:val="000000"/>
                <w:sz w:val="14"/>
              </w:rPr>
              <w:t>'The goals of the Strategy will not be achieved without addressing the inequities that drive STI and prevent people from accessing health services.'</w:t>
            </w:r>
          </w:p>
          <w:p w14:paraId="237E8591" w14:textId="77777777" w:rsidR="00EB4ED0" w:rsidRPr="00DB02FF" w:rsidRDefault="00EB4ED0" w:rsidP="007406A9">
            <w:pPr>
              <w:spacing w:after="0"/>
              <w:ind w:firstLine="0"/>
              <w:rPr>
                <w:rFonts w:cs="Calibri"/>
                <w:sz w:val="14"/>
              </w:rPr>
            </w:pPr>
            <w:r w:rsidRPr="00DB02FF">
              <w:rPr>
                <w:rFonts w:cs="Calibri"/>
                <w:color w:val="000000"/>
                <w:sz w:val="14"/>
              </w:rPr>
              <w:t>'Additional efforts are needed to improve equity for people from culturally, ethnically, and linguistically diverse communities and Aboriginal and Torres Strait Islander people who face multiple layers of stigma and discrimination.'</w:t>
            </w:r>
          </w:p>
          <w:p w14:paraId="47D6C572" w14:textId="77777777" w:rsidR="00EB4ED0" w:rsidRPr="00DB02FF" w:rsidRDefault="00EB4ED0" w:rsidP="007406A9">
            <w:pPr>
              <w:spacing w:after="0"/>
              <w:ind w:firstLine="0"/>
              <w:rPr>
                <w:rFonts w:cs="Calibri"/>
                <w:sz w:val="14"/>
              </w:rPr>
            </w:pPr>
            <w:r w:rsidRPr="00DB02FF">
              <w:rPr>
                <w:rFonts w:cs="Calibri"/>
                <w:color w:val="000000"/>
                <w:sz w:val="14"/>
              </w:rPr>
              <w:t>Target: 'Reduce differences in STI rates between geographic locations and between priority populations and all Australians.'</w:t>
            </w:r>
          </w:p>
        </w:tc>
      </w:tr>
      <w:tr w:rsidR="00EB4ED0" w:rsidRPr="00DB02FF" w14:paraId="56201DA3" w14:textId="77777777" w:rsidTr="00EB4ED0">
        <w:tc>
          <w:tcPr>
            <w:tcW w:w="358" w:type="dxa"/>
            <w:vAlign w:val="center"/>
          </w:tcPr>
          <w:p w14:paraId="58C42C4F" w14:textId="77777777" w:rsidR="00EB4ED0" w:rsidRPr="00DB02FF" w:rsidRDefault="00EB4ED0" w:rsidP="007406A9">
            <w:pPr>
              <w:spacing w:after="0"/>
              <w:ind w:firstLine="0"/>
              <w:jc w:val="center"/>
              <w:rPr>
                <w:rFonts w:cs="Calibri"/>
                <w:sz w:val="14"/>
              </w:rPr>
            </w:pPr>
            <w:r w:rsidRPr="00DB02FF">
              <w:rPr>
                <w:rFonts w:cs="Calibri"/>
                <w:sz w:val="14"/>
              </w:rPr>
              <w:t>17</w:t>
            </w:r>
          </w:p>
        </w:tc>
        <w:tc>
          <w:tcPr>
            <w:tcW w:w="1344" w:type="dxa"/>
          </w:tcPr>
          <w:p w14:paraId="78E4C064" w14:textId="77777777" w:rsidR="00EB4ED0" w:rsidRPr="00DB02FF" w:rsidRDefault="00EB4ED0" w:rsidP="007406A9">
            <w:pPr>
              <w:spacing w:after="0"/>
              <w:ind w:firstLine="0"/>
              <w:rPr>
                <w:rFonts w:cs="Calibri"/>
                <w:sz w:val="14"/>
              </w:rPr>
            </w:pPr>
            <w:r w:rsidRPr="00DB02FF">
              <w:rPr>
                <w:rFonts w:cs="Calibri"/>
                <w:sz w:val="14"/>
              </w:rPr>
              <w:t xml:space="preserve">Ninth National HIV Strategy 2024–2030 </w:t>
            </w:r>
            <w:r w:rsidRPr="00DB02FF">
              <w:rPr>
                <w:rFonts w:cs="Calibri"/>
                <w:sz w:val="14"/>
              </w:rPr>
              <w:fldChar w:fldCharType="begin"/>
            </w:r>
            <w:r>
              <w:rPr>
                <w:rFonts w:cs="Calibri"/>
                <w:sz w:val="14"/>
              </w:rPr>
              <w:instrText xml:space="preserve"> ADDIN EN.CITE &lt;EndNote&gt;&lt;Cite&gt;&lt;Author&gt;Department of Health and Aged Care&lt;/Author&gt;&lt;Year&gt;2024&lt;/Year&gt;&lt;RecNum&gt;246&lt;/RecNum&gt;&lt;DisplayText&gt;(37)&lt;/DisplayText&gt;&lt;record&gt;&lt;rec-number&gt;246&lt;/rec-number&gt;&lt;foreign-keys&gt;&lt;key app="EN" db-id="rpvwsrsz7xw2rmep9ztxavrkttar9reapt9w" timestamp="1773284609"&gt;246&lt;/key&gt;&lt;/foreign-keys&gt;&lt;ref-type name="Web Page"&gt;12&lt;/ref-type&gt;&lt;contributors&gt;&lt;authors&gt;&lt;author&gt;Department of Health and Aged Care,&lt;/author&gt;&lt;/authors&gt;&lt;/contributors&gt;&lt;titles&gt;&lt;title&gt;Ninth National HIV Strategy 2024-2030&lt;/title&gt;&lt;/titles&gt;&lt;volume&gt;2026&lt;/volume&gt;&lt;number&gt;12 March &lt;/number&gt;&lt;dates&gt;&lt;year&gt;2024&lt;/year&gt;&lt;/dates&gt;&lt;urls&gt;&lt;related-urls&gt;&lt;url&gt;https://www.cdc.gov.au/resources/publications/ninth-national-hiv-strategy-2024-2030&lt;/url&gt;&lt;/related-urls&gt;&lt;/urls&gt;&lt;/record&gt;&lt;/Cite&gt;&lt;/EndNote&gt;</w:instrText>
            </w:r>
            <w:r w:rsidRPr="00DB02FF">
              <w:rPr>
                <w:rFonts w:cs="Calibri"/>
                <w:sz w:val="14"/>
              </w:rPr>
              <w:fldChar w:fldCharType="separate"/>
            </w:r>
            <w:r>
              <w:rPr>
                <w:rFonts w:cs="Calibri"/>
                <w:noProof/>
                <w:sz w:val="14"/>
              </w:rPr>
              <w:t>(37)</w:t>
            </w:r>
            <w:r w:rsidRPr="00DB02FF">
              <w:rPr>
                <w:rFonts w:cs="Calibri"/>
                <w:sz w:val="14"/>
              </w:rPr>
              <w:fldChar w:fldCharType="end"/>
            </w:r>
          </w:p>
        </w:tc>
        <w:tc>
          <w:tcPr>
            <w:tcW w:w="2126" w:type="dxa"/>
          </w:tcPr>
          <w:p w14:paraId="7AB5B988" w14:textId="77777777" w:rsidR="00EB4ED0" w:rsidRPr="00DB02FF" w:rsidRDefault="00EB4ED0" w:rsidP="007406A9">
            <w:pPr>
              <w:spacing w:after="0"/>
              <w:ind w:firstLine="0"/>
              <w:rPr>
                <w:rFonts w:cs="Calibri"/>
                <w:sz w:val="14"/>
              </w:rPr>
            </w:pPr>
            <w:r w:rsidRPr="00DB02FF">
              <w:rPr>
                <w:rFonts w:cs="Calibri"/>
                <w:color w:val="000000"/>
                <w:sz w:val="14"/>
              </w:rPr>
              <w:t xml:space="preserve">Medicare ineligibility is explicitly acknowledged as a structural access barrier. Healthcare access for international students is noted as mediated through private health insurance rather than Medicare. A case study identifies 33% of attendees as Medicare-ineligible, presumably international students, overseas visitors, or temporary visa holders. A specific action commits to strengthening access to services for people ineligible </w:t>
            </w:r>
            <w:r w:rsidRPr="00DB02FF">
              <w:rPr>
                <w:rFonts w:cs="Calibri"/>
                <w:color w:val="000000"/>
                <w:sz w:val="14"/>
              </w:rPr>
              <w:lastRenderedPageBreak/>
              <w:t>for subsidised care.</w:t>
            </w:r>
          </w:p>
        </w:tc>
        <w:tc>
          <w:tcPr>
            <w:tcW w:w="3402" w:type="dxa"/>
          </w:tcPr>
          <w:p w14:paraId="289B8454"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Language barriers are addressed through culturally appropriate terminology and translated resources across more than 200 language groups. Cultural barriers are addressed through recognition of stigma, shame, racism in healthcare settings, and trauma experienced by refugees. Financial barriers are addressed through acknowledgement of limited Medicare and private health insurance access, with specific action to strengthen services for Medicare-ineligible people. Legal barriers are addressed through monitoring of migration status concerns affecting health-seeking behaviour and legal and policy contexts driving stigma. Geographic barriers are addressed through recognition of distance as a significant barrier </w:t>
            </w:r>
            <w:r w:rsidRPr="00DB02FF">
              <w:rPr>
                <w:rFonts w:cs="Calibri"/>
                <w:color w:val="000000"/>
                <w:sz w:val="14"/>
              </w:rPr>
              <w:lastRenderedPageBreak/>
              <w:t>in rural, remote, and regional areas.</w:t>
            </w:r>
          </w:p>
        </w:tc>
        <w:tc>
          <w:tcPr>
            <w:tcW w:w="2977" w:type="dxa"/>
          </w:tcPr>
          <w:p w14:paraId="71304FF9"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Present and substantive. </w:t>
            </w:r>
          </w:p>
          <w:p w14:paraId="6578EBE8" w14:textId="77777777" w:rsidR="00EB4ED0" w:rsidRPr="00DB02FF" w:rsidRDefault="00EB4ED0" w:rsidP="007406A9">
            <w:pPr>
              <w:spacing w:after="0"/>
              <w:ind w:firstLine="0"/>
              <w:rPr>
                <w:rFonts w:cs="Calibri"/>
                <w:sz w:val="14"/>
              </w:rPr>
            </w:pPr>
            <w:r w:rsidRPr="00DB02FF">
              <w:rPr>
                <w:rFonts w:cs="Calibri"/>
                <w:color w:val="000000"/>
                <w:sz w:val="14"/>
              </w:rPr>
              <w:t>Multicultural and migrant health services are identified as critical infrastructure for CALD communities. Targeted, co-designed health promotion initiatives using strength-based and affirming language are committed to. Specific examples include the International Student Health Hub co-designed with international students and a Mandarin-speaking clinic for gay men and men who have sex with men.</w:t>
            </w:r>
          </w:p>
        </w:tc>
        <w:tc>
          <w:tcPr>
            <w:tcW w:w="2835" w:type="dxa"/>
          </w:tcPr>
          <w:p w14:paraId="6AFF0536"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comprehensive. </w:t>
            </w:r>
          </w:p>
          <w:p w14:paraId="5477D1F7" w14:textId="77777777" w:rsidR="00EB4ED0" w:rsidRPr="00DB02FF" w:rsidRDefault="00EB4ED0" w:rsidP="007406A9">
            <w:pPr>
              <w:spacing w:after="0"/>
              <w:ind w:firstLine="0"/>
              <w:rPr>
                <w:rFonts w:cs="Calibri"/>
                <w:sz w:val="14"/>
              </w:rPr>
            </w:pPr>
            <w:r w:rsidRPr="00DB02FF">
              <w:rPr>
                <w:rFonts w:cs="Calibri"/>
                <w:color w:val="000000"/>
                <w:sz w:val="14"/>
              </w:rPr>
              <w:t xml:space="preserve">Valuing and upholding human rights </w:t>
            </w:r>
            <w:proofErr w:type="gramStart"/>
            <w:r w:rsidRPr="00DB02FF">
              <w:rPr>
                <w:rFonts w:cs="Calibri"/>
                <w:color w:val="000000"/>
                <w:sz w:val="14"/>
              </w:rPr>
              <w:t>is</w:t>
            </w:r>
            <w:proofErr w:type="gramEnd"/>
            <w:r w:rsidRPr="00DB02FF">
              <w:rPr>
                <w:rFonts w:cs="Calibri"/>
                <w:color w:val="000000"/>
                <w:sz w:val="14"/>
              </w:rPr>
              <w:t xml:space="preserve"> stated as essential to the STI response. People affected by STI have the right to the highest attainable standard of living without discrimination regardless of legal status. SRHR are framed as fundamental to health, well-being, gender equality, and sustainable development.</w:t>
            </w:r>
          </w:p>
        </w:tc>
        <w:tc>
          <w:tcPr>
            <w:tcW w:w="2977" w:type="dxa"/>
          </w:tcPr>
          <w:p w14:paraId="13BED98F"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and operationalised. </w:t>
            </w:r>
          </w:p>
          <w:p w14:paraId="1BACFAD9" w14:textId="77777777" w:rsidR="00EB4ED0" w:rsidRPr="00DB02FF" w:rsidRDefault="00EB4ED0" w:rsidP="007406A9">
            <w:pPr>
              <w:spacing w:after="0"/>
              <w:ind w:firstLine="0"/>
              <w:rPr>
                <w:rFonts w:cs="Calibri"/>
                <w:sz w:val="14"/>
              </w:rPr>
            </w:pPr>
            <w:r w:rsidRPr="00DB02FF">
              <w:rPr>
                <w:rFonts w:cs="Calibri"/>
                <w:color w:val="000000"/>
                <w:sz w:val="14"/>
              </w:rPr>
              <w:t>Equity is defined as the absence of unfair, avoidable, or remediable differences among groups. Achieving the strategy's goals is stated as contingent on addressing inequities driving STI. CALD communities facing multiple layers of stigma and discrimination are specifically named as requiring additional equity efforts. Progress is measured against targets for all priority populations to ensure no one is left behind.</w:t>
            </w:r>
          </w:p>
        </w:tc>
      </w:tr>
      <w:tr w:rsidR="00EB4ED0" w:rsidRPr="00DB02FF" w14:paraId="2961B622" w14:textId="77777777" w:rsidTr="00EB4ED0">
        <w:tc>
          <w:tcPr>
            <w:tcW w:w="358" w:type="dxa"/>
            <w:shd w:val="clear" w:color="auto" w:fill="F2F2F2" w:themeFill="background1" w:themeFillShade="F2"/>
            <w:vAlign w:val="center"/>
          </w:tcPr>
          <w:p w14:paraId="291DE902" w14:textId="77777777" w:rsidR="00EB4ED0" w:rsidRPr="00DB02FF" w:rsidRDefault="00EB4ED0" w:rsidP="007406A9">
            <w:pPr>
              <w:spacing w:after="0"/>
              <w:ind w:firstLine="0"/>
              <w:jc w:val="center"/>
              <w:rPr>
                <w:rFonts w:cs="Calibri"/>
                <w:sz w:val="14"/>
              </w:rPr>
            </w:pPr>
            <w:r w:rsidRPr="00DB02FF">
              <w:rPr>
                <w:rFonts w:cs="Calibri"/>
                <w:sz w:val="14"/>
              </w:rPr>
              <w:t>18</w:t>
            </w:r>
          </w:p>
        </w:tc>
        <w:tc>
          <w:tcPr>
            <w:tcW w:w="1344" w:type="dxa"/>
            <w:shd w:val="clear" w:color="auto" w:fill="F2F2F2" w:themeFill="background1" w:themeFillShade="F2"/>
          </w:tcPr>
          <w:p w14:paraId="7B80AFB0" w14:textId="77777777" w:rsidR="00EB4ED0" w:rsidRPr="00DB02FF" w:rsidRDefault="00EB4ED0" w:rsidP="007406A9">
            <w:pPr>
              <w:spacing w:after="0"/>
              <w:ind w:firstLine="0"/>
              <w:rPr>
                <w:rFonts w:cs="Calibri"/>
                <w:sz w:val="14"/>
              </w:rPr>
            </w:pPr>
            <w:r w:rsidRPr="00DB02FF">
              <w:rPr>
                <w:rFonts w:cs="Calibri"/>
                <w:sz w:val="14"/>
              </w:rPr>
              <w:t xml:space="preserve">Government response to inquiry – Ending the postcode lottery – Addressing barriers to sexual, maternity and reproductive healthcare in Australia </w:t>
            </w:r>
            <w:r w:rsidRPr="00DB02FF">
              <w:rPr>
                <w:rFonts w:cs="Calibri"/>
                <w:sz w:val="14"/>
              </w:rPr>
              <w:fldChar w:fldCharType="begin"/>
            </w:r>
            <w:r>
              <w:rPr>
                <w:rFonts w:cs="Calibri"/>
                <w:sz w:val="14"/>
              </w:rPr>
              <w:instrText xml:space="preserve"> ADDIN EN.CITE &lt;EndNote&gt;&lt;Cite&gt;&lt;Author&gt;Australian Government&lt;/Author&gt;&lt;Year&gt;2025&lt;/Year&gt;&lt;RecNum&gt;249&lt;/RecNum&gt;&lt;DisplayText&gt;(26)&lt;/DisplayText&gt;&lt;record&gt;&lt;rec-number&gt;249&lt;/rec-number&gt;&lt;foreign-keys&gt;&lt;key app="EN" db-id="rpvwsrsz7xw2rmep9ztxavrkttar9reapt9w" timestamp="1773286144"&gt;249&lt;/key&gt;&lt;/foreign-keys&gt;&lt;ref-type name="Web Page"&gt;12&lt;/ref-type&gt;&lt;contributors&gt;&lt;authors&gt;&lt;author&gt;Australian Government,&lt;/author&gt;&lt;/authors&gt;&lt;/contributors&gt;&lt;titles&gt;&lt;title&gt;Government response to inquiry – Ending the postcode lottery – Addressing barriers to sexual, maternity and reproductive healthcare in Australia&lt;/title&gt;&lt;/titles&gt;&lt;volume&gt;2026&lt;/volume&gt;&lt;number&gt;12 March&lt;/number&gt;&lt;dates&gt;&lt;year&gt;2025&lt;/year&gt;&lt;/dates&gt;&lt;urls&gt;&lt;related-urls&gt;&lt;url&gt;https://www.health.gov.au/sites/default/files/2025-05/government-response-to-inquiry-ending-the-postcode-lottery.pdf&lt;/url&gt;&lt;/related-urls&gt;&lt;/urls&gt;&lt;/record&gt;&lt;/Cite&gt;&lt;/EndNote&gt;</w:instrText>
            </w:r>
            <w:r w:rsidRPr="00DB02FF">
              <w:rPr>
                <w:rFonts w:cs="Calibri"/>
                <w:sz w:val="14"/>
              </w:rPr>
              <w:fldChar w:fldCharType="separate"/>
            </w:r>
            <w:r>
              <w:rPr>
                <w:rFonts w:cs="Calibri"/>
                <w:noProof/>
                <w:sz w:val="14"/>
              </w:rPr>
              <w:t>(26)</w:t>
            </w:r>
            <w:r w:rsidRPr="00DB02FF">
              <w:rPr>
                <w:rFonts w:cs="Calibri"/>
                <w:sz w:val="14"/>
              </w:rPr>
              <w:fldChar w:fldCharType="end"/>
            </w:r>
          </w:p>
        </w:tc>
        <w:tc>
          <w:tcPr>
            <w:tcW w:w="2126" w:type="dxa"/>
            <w:shd w:val="clear" w:color="auto" w:fill="F2F2F2" w:themeFill="background1" w:themeFillShade="F2"/>
          </w:tcPr>
          <w:p w14:paraId="12E0FB76" w14:textId="77777777" w:rsidR="00EB4ED0" w:rsidRPr="00DB02FF" w:rsidRDefault="00EB4ED0" w:rsidP="007406A9">
            <w:pPr>
              <w:spacing w:after="0"/>
              <w:ind w:firstLine="0"/>
              <w:rPr>
                <w:rFonts w:cs="Calibri"/>
                <w:sz w:val="14"/>
              </w:rPr>
            </w:pPr>
            <w:r w:rsidRPr="00DB02FF">
              <w:rPr>
                <w:rFonts w:cs="Calibri"/>
                <w:color w:val="000000"/>
                <w:sz w:val="14"/>
              </w:rPr>
              <w:t>Medicare eligibility is explicitly defined and restricted to Australian citizens, permanent visa holders, New Zealand citizens, and in certain circumstances applicants for permanent visas. Those not eligible are directed to private health insurance and, in its absence, will be required to pay all costs at the time of treatment as private patients. It states Medicare eligibility criteria explicitly, while simultaneously offering no provisions to address the resulting exclusions</w:t>
            </w:r>
          </w:p>
        </w:tc>
        <w:tc>
          <w:tcPr>
            <w:tcW w:w="3402" w:type="dxa"/>
            <w:shd w:val="clear" w:color="auto" w:fill="F2F2F2" w:themeFill="background1" w:themeFillShade="F2"/>
          </w:tcPr>
          <w:p w14:paraId="5C1B8F8B"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accredited health interpreters, multicultural health workers, the Health in My Language program, and translated resources. Cultural barriers are addressed through culturally safe and trauma-informed services, the Culturally Responsive Clinical Practice framework, and Birthing on Country models. Financial barriers are partially addressed through bulk billing incentives and funding for LARCs, but Medicare-ineligible people who must pay all costs at the time of treatment are not addressed. Legal barriers are acknowledged through in-</w:t>
            </w:r>
            <w:proofErr w:type="gramStart"/>
            <w:r w:rsidRPr="00DB02FF">
              <w:rPr>
                <w:rFonts w:cs="Calibri"/>
                <w:color w:val="000000"/>
                <w:sz w:val="14"/>
              </w:rPr>
              <w:t>principle</w:t>
            </w:r>
            <w:proofErr w:type="gramEnd"/>
            <w:r w:rsidRPr="00DB02FF">
              <w:rPr>
                <w:rFonts w:cs="Calibri"/>
                <w:color w:val="000000"/>
                <w:sz w:val="14"/>
              </w:rPr>
              <w:t xml:space="preserve"> support for access irrespective of visa status, but no implementation plan is provided. Geographic barriers are addressed through telehealth and rural workforce initiatives.</w:t>
            </w:r>
          </w:p>
        </w:tc>
        <w:tc>
          <w:tcPr>
            <w:tcW w:w="2977" w:type="dxa"/>
            <w:shd w:val="clear" w:color="auto" w:fill="F2F2F2" w:themeFill="background1" w:themeFillShade="F2"/>
          </w:tcPr>
          <w:p w14:paraId="285EB1BF"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substantive. </w:t>
            </w:r>
          </w:p>
          <w:p w14:paraId="53D5B597" w14:textId="77777777" w:rsidR="00EB4ED0" w:rsidRPr="00DB02FF" w:rsidRDefault="00EB4ED0" w:rsidP="007406A9">
            <w:pPr>
              <w:spacing w:after="0"/>
              <w:ind w:firstLine="0"/>
              <w:rPr>
                <w:rFonts w:cs="Calibri"/>
                <w:sz w:val="14"/>
              </w:rPr>
            </w:pPr>
            <w:r w:rsidRPr="00DB02FF">
              <w:rPr>
                <w:rFonts w:cs="Calibri"/>
                <w:color w:val="000000"/>
                <w:sz w:val="14"/>
              </w:rPr>
              <w:t>The Health in My Language program is specifically pivoted to target CALD women on sexual and reproductive health issues. The Migrant and Refugee Health Partnership Competency Standards Framework is referenced. Birthing on Country models are extended to CALD women and communities alongside First Nations families.</w:t>
            </w:r>
          </w:p>
        </w:tc>
        <w:tc>
          <w:tcPr>
            <w:tcW w:w="2835" w:type="dxa"/>
            <w:shd w:val="clear" w:color="auto" w:fill="F2F2F2" w:themeFill="background1" w:themeFillShade="F2"/>
          </w:tcPr>
          <w:p w14:paraId="48A44D74" w14:textId="77777777" w:rsidR="00EB4ED0" w:rsidRPr="00DB02FF" w:rsidRDefault="00EB4ED0" w:rsidP="007406A9">
            <w:pPr>
              <w:spacing w:after="0"/>
              <w:ind w:firstLine="0"/>
              <w:rPr>
                <w:rFonts w:cs="Calibri"/>
                <w:sz w:val="14"/>
              </w:rPr>
            </w:pPr>
            <w:r w:rsidRPr="00DB02FF">
              <w:rPr>
                <w:rFonts w:cs="Calibri"/>
                <w:color w:val="000000"/>
                <w:sz w:val="14"/>
              </w:rPr>
              <w:t>Implicit.</w:t>
            </w:r>
          </w:p>
          <w:p w14:paraId="623C2EAF" w14:textId="77777777" w:rsidR="00EB4ED0" w:rsidRPr="00DB02FF" w:rsidRDefault="00EB4ED0" w:rsidP="007406A9">
            <w:pPr>
              <w:spacing w:after="0"/>
              <w:ind w:firstLine="0"/>
              <w:rPr>
                <w:rFonts w:cs="Calibri"/>
                <w:sz w:val="14"/>
              </w:rPr>
            </w:pPr>
            <w:r w:rsidRPr="00DB02FF">
              <w:rPr>
                <w:rFonts w:cs="Calibri"/>
                <w:color w:val="000000"/>
                <w:sz w:val="14"/>
              </w:rPr>
              <w:t>No reference to human rights obligations for healthcare access regardless of visa status. The document emphasises Medicare entitlements and state responsibilities rather than rights-based frameworks.</w:t>
            </w:r>
          </w:p>
        </w:tc>
        <w:tc>
          <w:tcPr>
            <w:tcW w:w="2977" w:type="dxa"/>
            <w:shd w:val="clear" w:color="auto" w:fill="F2F2F2" w:themeFill="background1" w:themeFillShade="F2"/>
          </w:tcPr>
          <w:p w14:paraId="39D7DDB8" w14:textId="77777777" w:rsidR="00EB4ED0" w:rsidRPr="00DB02FF" w:rsidRDefault="00EB4ED0" w:rsidP="007406A9">
            <w:pPr>
              <w:spacing w:after="0"/>
              <w:ind w:firstLine="0"/>
              <w:rPr>
                <w:rFonts w:cs="Calibri"/>
                <w:sz w:val="14"/>
              </w:rPr>
            </w:pPr>
            <w:r w:rsidRPr="00DB02FF">
              <w:rPr>
                <w:rFonts w:cs="Calibri"/>
                <w:color w:val="000000"/>
                <w:sz w:val="14"/>
              </w:rPr>
              <w:t xml:space="preserve">The government commits to health </w:t>
            </w:r>
            <w:proofErr w:type="gramStart"/>
            <w:r w:rsidRPr="00DB02FF">
              <w:rPr>
                <w:rFonts w:cs="Calibri"/>
                <w:color w:val="000000"/>
                <w:sz w:val="14"/>
              </w:rPr>
              <w:t>equity</w:t>
            </w:r>
            <w:proofErr w:type="gramEnd"/>
            <w:r w:rsidRPr="00DB02FF">
              <w:rPr>
                <w:rFonts w:cs="Calibri"/>
                <w:color w:val="000000"/>
                <w:sz w:val="14"/>
              </w:rPr>
              <w:t xml:space="preserve"> and geographic equity is operationalised through the National Health Reform Agreement. However, equity is not extended to visa status. Medicare eligibility is named as the governing access mechanism while its exclusionary consequences for temporary visa holders remain unaddressed, creating a direct internal inconsistency between the equity commitment and the service design.</w:t>
            </w:r>
          </w:p>
        </w:tc>
      </w:tr>
      <w:tr w:rsidR="00EB4ED0" w:rsidRPr="00DB02FF" w14:paraId="2D3CC6D3" w14:textId="77777777" w:rsidTr="00EB4ED0">
        <w:tc>
          <w:tcPr>
            <w:tcW w:w="358" w:type="dxa"/>
            <w:vAlign w:val="center"/>
          </w:tcPr>
          <w:p w14:paraId="24950B79" w14:textId="77777777" w:rsidR="00EB4ED0" w:rsidRPr="00DB02FF" w:rsidRDefault="00EB4ED0" w:rsidP="007406A9">
            <w:pPr>
              <w:spacing w:after="0"/>
              <w:ind w:firstLine="0"/>
              <w:jc w:val="center"/>
              <w:rPr>
                <w:rFonts w:cs="Calibri"/>
                <w:sz w:val="14"/>
              </w:rPr>
            </w:pPr>
            <w:r w:rsidRPr="00DB02FF">
              <w:rPr>
                <w:rFonts w:cs="Calibri"/>
                <w:sz w:val="14"/>
              </w:rPr>
              <w:t>19</w:t>
            </w:r>
          </w:p>
        </w:tc>
        <w:tc>
          <w:tcPr>
            <w:tcW w:w="1344" w:type="dxa"/>
          </w:tcPr>
          <w:p w14:paraId="04E5E1A0" w14:textId="77777777" w:rsidR="00EB4ED0" w:rsidRPr="00DB02FF" w:rsidRDefault="00EB4ED0" w:rsidP="007406A9">
            <w:pPr>
              <w:spacing w:after="0"/>
              <w:ind w:firstLine="0"/>
              <w:rPr>
                <w:rFonts w:cs="Calibri"/>
                <w:sz w:val="14"/>
              </w:rPr>
            </w:pPr>
            <w:r w:rsidRPr="00DB02FF">
              <w:rPr>
                <w:rFonts w:cs="Calibri"/>
                <w:sz w:val="14"/>
              </w:rPr>
              <w:t xml:space="preserve">National Syphilis Surveillance and Monitoring Plan (version 1.0) </w:t>
            </w:r>
            <w:r w:rsidRPr="00DB02FF">
              <w:rPr>
                <w:rFonts w:cs="Calibri"/>
                <w:sz w:val="14"/>
              </w:rPr>
              <w:fldChar w:fldCharType="begin"/>
            </w:r>
            <w:r>
              <w:rPr>
                <w:rFonts w:cs="Calibri"/>
                <w:sz w:val="14"/>
              </w:rPr>
              <w:instrText xml:space="preserve"> ADDIN EN.CITE &lt;EndNote&gt;&lt;Cite&gt;&lt;Author&gt;Interim Australian Centre for Disease Control / Australian Government Department of Health Disability and Ageing&lt;/Author&gt;&lt;Year&gt;2025&lt;/Year&gt;&lt;RecNum&gt;250&lt;/RecNum&gt;&lt;DisplayText&gt;(35)&lt;/DisplayText&gt;&lt;record&gt;&lt;rec-number&gt;250&lt;/rec-number&gt;&lt;foreign-keys&gt;&lt;key app="EN" db-id="rpvwsrsz7xw2rmep9ztxavrkttar9reapt9w" timestamp="1773287037"&gt;250&lt;/key&gt;&lt;/foreign-keys&gt;&lt;ref-type name="Web Page"&gt;12&lt;/ref-type&gt;&lt;contributors&gt;&lt;authors&gt;&lt;author&gt;Interim Australian Centre for Disease Control / Australian Government Department of Health Disability and Ageing, &lt;/author&gt;&lt;/authors&gt;&lt;/contributors&gt;&lt;titles&gt;&lt;title&gt;National Syphilis Surveillance and Monitoring Plan (version 1.0)&lt;/title&gt;&lt;/titles&gt;&lt;volume&gt;2026&lt;/volume&gt;&lt;number&gt;12 March &lt;/number&gt;&lt;dates&gt;&lt;year&gt;2025&lt;/year&gt;&lt;/dates&gt;&lt;urls&gt;&lt;related-urls&gt;&lt;url&gt;https://www.cdc.gov.au/sites/default/files/2025-10/national-syphilis-surveillance-and-monitoring-plan-2025.pdf&lt;/url&gt;&lt;/related-urls&gt;&lt;/urls&gt;&lt;/record&gt;&lt;/Cite&gt;&lt;/EndNote&gt;</w:instrText>
            </w:r>
            <w:r w:rsidRPr="00DB02FF">
              <w:rPr>
                <w:rFonts w:cs="Calibri"/>
                <w:sz w:val="14"/>
              </w:rPr>
              <w:fldChar w:fldCharType="separate"/>
            </w:r>
            <w:r>
              <w:rPr>
                <w:rFonts w:cs="Calibri"/>
                <w:noProof/>
                <w:sz w:val="14"/>
              </w:rPr>
              <w:t>(35)</w:t>
            </w:r>
            <w:r w:rsidRPr="00DB02FF">
              <w:rPr>
                <w:rFonts w:cs="Calibri"/>
                <w:sz w:val="14"/>
              </w:rPr>
              <w:fldChar w:fldCharType="end"/>
            </w:r>
          </w:p>
        </w:tc>
        <w:tc>
          <w:tcPr>
            <w:tcW w:w="2126" w:type="dxa"/>
          </w:tcPr>
          <w:p w14:paraId="020D613D" w14:textId="77777777" w:rsidR="00EB4ED0" w:rsidRPr="00DB02FF" w:rsidRDefault="00EB4ED0" w:rsidP="007406A9">
            <w:pPr>
              <w:spacing w:after="0"/>
              <w:ind w:firstLine="0"/>
              <w:rPr>
                <w:rFonts w:cs="Calibri"/>
                <w:sz w:val="14"/>
              </w:rPr>
            </w:pPr>
            <w:r w:rsidRPr="00DB02FF">
              <w:rPr>
                <w:rFonts w:cs="Calibri"/>
                <w:color w:val="000000"/>
                <w:sz w:val="14"/>
              </w:rPr>
              <w:t>Not stated. The document does not specify who is entitled to services based on visa status or residency.</w:t>
            </w:r>
          </w:p>
        </w:tc>
        <w:tc>
          <w:tcPr>
            <w:tcW w:w="3402" w:type="dxa"/>
          </w:tcPr>
          <w:p w14:paraId="565817C8" w14:textId="77777777" w:rsidR="00EB4ED0" w:rsidRPr="00DB02FF" w:rsidRDefault="00EB4ED0" w:rsidP="007406A9">
            <w:pPr>
              <w:spacing w:after="0"/>
              <w:ind w:firstLine="0"/>
              <w:rPr>
                <w:rFonts w:cs="Calibri"/>
                <w:sz w:val="14"/>
              </w:rPr>
            </w:pPr>
            <w:r w:rsidRPr="00DB02FF">
              <w:rPr>
                <w:rFonts w:cs="Calibri"/>
                <w:color w:val="000000"/>
                <w:sz w:val="14"/>
              </w:rPr>
              <w:t>No barriers specific to migrant or CALD populations are explicitly addressed. Cultural barriers are implicitly acknowledged through inclusion of CALD populations as a priority group but with no detail on how they are addressed. Language barriers are absent despite CALD being defined as linguistically diverse. Geographic barriers are addressed through remoteness area analysis but not in relation to migration. Financial and legal barriers are not addressed.</w:t>
            </w:r>
          </w:p>
        </w:tc>
        <w:tc>
          <w:tcPr>
            <w:tcW w:w="2977" w:type="dxa"/>
          </w:tcPr>
          <w:p w14:paraId="0C953D76"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Implicit for migrants. </w:t>
            </w:r>
          </w:p>
          <w:p w14:paraId="54638E44" w14:textId="77777777" w:rsidR="00EB4ED0" w:rsidRPr="00DB02FF" w:rsidRDefault="00EB4ED0" w:rsidP="007406A9">
            <w:pPr>
              <w:spacing w:after="0"/>
              <w:ind w:firstLine="0"/>
              <w:rPr>
                <w:rFonts w:cs="Calibri"/>
                <w:sz w:val="14"/>
              </w:rPr>
            </w:pPr>
            <w:r w:rsidRPr="00DB02FF">
              <w:rPr>
                <w:rFonts w:cs="Calibri"/>
                <w:color w:val="000000"/>
                <w:sz w:val="14"/>
              </w:rPr>
              <w:t xml:space="preserve">CALD populations are identified as a priority </w:t>
            </w:r>
            <w:proofErr w:type="gramStart"/>
            <w:r w:rsidRPr="00DB02FF">
              <w:rPr>
                <w:rFonts w:cs="Calibri"/>
                <w:color w:val="000000"/>
                <w:sz w:val="14"/>
              </w:rPr>
              <w:t>group</w:t>
            </w:r>
            <w:proofErr w:type="gramEnd"/>
            <w:r w:rsidRPr="00DB02FF">
              <w:rPr>
                <w:rFonts w:cs="Calibri"/>
                <w:color w:val="000000"/>
                <w:sz w:val="14"/>
              </w:rPr>
              <w:t xml:space="preserve"> but no culturally sensitive approaches are described. A strong cultural governance framework exists for Aboriginal and Torres Strait Islander data, requiring cultural review by Aboriginal and Torres Strait Islander peoples within a culturally appropriate governance model. No equivalent framework is described for migrant populations.</w:t>
            </w:r>
          </w:p>
        </w:tc>
        <w:tc>
          <w:tcPr>
            <w:tcW w:w="2835" w:type="dxa"/>
          </w:tcPr>
          <w:p w14:paraId="0A559B9A"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Absent. </w:t>
            </w:r>
          </w:p>
          <w:p w14:paraId="113F0EB5" w14:textId="77777777" w:rsidR="00EB4ED0" w:rsidRPr="00DB02FF" w:rsidRDefault="00EB4ED0" w:rsidP="007406A9">
            <w:pPr>
              <w:spacing w:after="0"/>
              <w:ind w:firstLine="0"/>
              <w:rPr>
                <w:rFonts w:cs="Calibri"/>
                <w:sz w:val="14"/>
              </w:rPr>
            </w:pPr>
            <w:r w:rsidRPr="00DB02FF">
              <w:rPr>
                <w:rFonts w:cs="Calibri"/>
                <w:color w:val="000000"/>
                <w:sz w:val="14"/>
              </w:rPr>
              <w:t>No reference to human rights frameworks in relation to access to services or migrant populations.</w:t>
            </w:r>
          </w:p>
        </w:tc>
        <w:tc>
          <w:tcPr>
            <w:tcW w:w="2977" w:type="dxa"/>
          </w:tcPr>
          <w:p w14:paraId="3B23EC3A"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Limited. </w:t>
            </w:r>
          </w:p>
          <w:p w14:paraId="6C2A48EE" w14:textId="77777777" w:rsidR="00EB4ED0" w:rsidRPr="00DB02FF" w:rsidRDefault="00EB4ED0" w:rsidP="007406A9">
            <w:pPr>
              <w:spacing w:after="0"/>
              <w:ind w:firstLine="0"/>
              <w:rPr>
                <w:rFonts w:cs="Calibri"/>
                <w:sz w:val="14"/>
              </w:rPr>
            </w:pPr>
            <w:r w:rsidRPr="00DB02FF">
              <w:rPr>
                <w:rFonts w:cs="Calibri"/>
                <w:color w:val="000000"/>
                <w:sz w:val="14"/>
              </w:rPr>
              <w:t xml:space="preserve">Equity principles are not explicitly defined or operationalised for migrants, and no equity targets or actions specific to CALD populations are described. But the document aims to enhance understanding of syphilis impact on CALD populations with a view to improving representativeness in surveillance data over the long term. </w:t>
            </w:r>
          </w:p>
        </w:tc>
      </w:tr>
      <w:tr w:rsidR="00EB4ED0" w:rsidRPr="00DB02FF" w14:paraId="56DD3A28" w14:textId="77777777" w:rsidTr="00EB4ED0">
        <w:tc>
          <w:tcPr>
            <w:tcW w:w="358" w:type="dxa"/>
            <w:shd w:val="clear" w:color="auto" w:fill="F2F2F2" w:themeFill="background1" w:themeFillShade="F2"/>
            <w:vAlign w:val="center"/>
          </w:tcPr>
          <w:p w14:paraId="0FA469F1" w14:textId="77777777" w:rsidR="00EB4ED0" w:rsidRPr="00DB02FF" w:rsidRDefault="00EB4ED0" w:rsidP="007406A9">
            <w:pPr>
              <w:spacing w:after="0"/>
              <w:ind w:firstLine="0"/>
              <w:jc w:val="center"/>
              <w:rPr>
                <w:rFonts w:cs="Calibri"/>
                <w:sz w:val="14"/>
              </w:rPr>
            </w:pPr>
            <w:r w:rsidRPr="00DB02FF">
              <w:rPr>
                <w:rFonts w:cs="Calibri"/>
                <w:sz w:val="14"/>
              </w:rPr>
              <w:t>20</w:t>
            </w:r>
          </w:p>
        </w:tc>
        <w:tc>
          <w:tcPr>
            <w:tcW w:w="1344" w:type="dxa"/>
            <w:shd w:val="clear" w:color="auto" w:fill="F2F2F2" w:themeFill="background1" w:themeFillShade="F2"/>
          </w:tcPr>
          <w:p w14:paraId="3180FB7F" w14:textId="77777777" w:rsidR="00EB4ED0" w:rsidRPr="00DB02FF" w:rsidRDefault="00EB4ED0" w:rsidP="007406A9">
            <w:pPr>
              <w:spacing w:after="0"/>
              <w:ind w:firstLine="0"/>
              <w:rPr>
                <w:rFonts w:cs="Calibri"/>
                <w:sz w:val="14"/>
              </w:rPr>
            </w:pPr>
            <w:r w:rsidRPr="00DB02FF">
              <w:rPr>
                <w:rFonts w:cs="Calibri"/>
                <w:sz w:val="14"/>
              </w:rPr>
              <w:t xml:space="preserve">Australian Pregnancy Care Guidelines </w:t>
            </w:r>
            <w:r w:rsidRPr="00DB02FF">
              <w:rPr>
                <w:rFonts w:cs="Calibri"/>
                <w:sz w:val="14"/>
              </w:rPr>
              <w:fldChar w:fldCharType="begin"/>
            </w:r>
            <w:r>
              <w:rPr>
                <w:rFonts w:cs="Calibri"/>
                <w:sz w:val="14"/>
              </w:rPr>
              <w:instrText xml:space="preserve"> ADDIN EN.CITE &lt;EndNote&gt;&lt;Cite&gt;&lt;Author&gt;Australian Living Evidence Collaboration&lt;/Author&gt;&lt;Year&gt;2025&lt;/Year&gt;&lt;RecNum&gt;251&lt;/RecNum&gt;&lt;DisplayText&gt;(20)&lt;/DisplayText&gt;&lt;record&gt;&lt;rec-number&gt;251&lt;/rec-number&gt;&lt;foreign-keys&gt;&lt;key app="EN" db-id="rpvwsrsz7xw2rmep9ztxavrkttar9reapt9w" timestamp="1773287248"&gt;251&lt;/key&gt;&lt;/foreign-keys&gt;&lt;ref-type name="Web Page"&gt;12&lt;/ref-type&gt;&lt;contributors&gt;&lt;authors&gt;&lt;author&gt;Australian Living Evidence Collaboration, &lt;/author&gt;&lt;/authors&gt;&lt;/contributors&gt;&lt;titles&gt;&lt;title&gt;Australian Pregnancy Care Guidelines&lt;/title&gt;&lt;/titles&gt;&lt;volume&gt;2026&lt;/volume&gt;&lt;number&gt;12 March &lt;/number&gt;&lt;dates&gt;&lt;year&gt;2025&lt;/year&gt;&lt;/dates&gt;&lt;urls&gt;&lt;related-urls&gt;&lt;url&gt;https://app.magicapp.org/?language=en#/guideline/jm83RE&lt;/url&gt;&lt;/related-urls&gt;&lt;/urls&gt;&lt;/record&gt;&lt;/Cite&gt;&lt;/EndNote&gt;</w:instrText>
            </w:r>
            <w:r w:rsidRPr="00DB02FF">
              <w:rPr>
                <w:rFonts w:cs="Calibri"/>
                <w:sz w:val="14"/>
              </w:rPr>
              <w:fldChar w:fldCharType="separate"/>
            </w:r>
            <w:r>
              <w:rPr>
                <w:rFonts w:cs="Calibri"/>
                <w:noProof/>
                <w:sz w:val="14"/>
              </w:rPr>
              <w:t>(20)</w:t>
            </w:r>
            <w:r w:rsidRPr="00DB02FF">
              <w:rPr>
                <w:rFonts w:cs="Calibri"/>
                <w:sz w:val="14"/>
              </w:rPr>
              <w:fldChar w:fldCharType="end"/>
            </w:r>
          </w:p>
        </w:tc>
        <w:tc>
          <w:tcPr>
            <w:tcW w:w="2126" w:type="dxa"/>
            <w:shd w:val="clear" w:color="auto" w:fill="F2F2F2" w:themeFill="background1" w:themeFillShade="F2"/>
          </w:tcPr>
          <w:p w14:paraId="3C3D12C6" w14:textId="77777777" w:rsidR="00EB4ED0" w:rsidRPr="00DB02FF" w:rsidRDefault="00EB4ED0" w:rsidP="007406A9">
            <w:pPr>
              <w:spacing w:after="0"/>
              <w:ind w:firstLine="0"/>
              <w:rPr>
                <w:rFonts w:cs="Calibri"/>
                <w:sz w:val="14"/>
              </w:rPr>
            </w:pPr>
            <w:r w:rsidRPr="00DB02FF">
              <w:rPr>
                <w:rFonts w:cs="Calibri"/>
                <w:color w:val="000000"/>
                <w:sz w:val="14"/>
              </w:rPr>
              <w:t>Eligibility barriers are explicitly stated for specific migrant groups: asylum seekers may be ineligible for Medicare or Centrelink Health Care Cards; skilled migrants and international students may have restricted healthcare access due to limited Medicare entitlements; and pregnancy-related services may not be covered under Overseas Student Health Cover in the first 12 months of membership. No solutions to these ineligibility issues are provided.</w:t>
            </w:r>
          </w:p>
        </w:tc>
        <w:tc>
          <w:tcPr>
            <w:tcW w:w="3402" w:type="dxa"/>
            <w:shd w:val="clear" w:color="auto" w:fill="F2F2F2" w:themeFill="background1" w:themeFillShade="F2"/>
          </w:tcPr>
          <w:p w14:paraId="0E061564"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accredited interpreters, telephone interpreting, and NAATI-accredited interpreters. Cultural barriers are addressed through cultural safety frameworks, multicultural health workers, culturally appropriate resources, and flexible service delivery. Financial barriers including Medicare costs and bulk billing access are acknowledged but not resolved for ineligible women. Legal and systemic barriers including fear of government agencies and Medicare ineligibility are acknowledged but no solutions provided. Geographic, social, organisational, and interpersonal barriers are each identified and addressed through specific strategies.</w:t>
            </w:r>
          </w:p>
        </w:tc>
        <w:tc>
          <w:tcPr>
            <w:tcW w:w="2977" w:type="dxa"/>
            <w:shd w:val="clear" w:color="auto" w:fill="F2F2F2" w:themeFill="background1" w:themeFillShade="F2"/>
          </w:tcPr>
          <w:p w14:paraId="1A6F608B" w14:textId="77777777" w:rsidR="00EB4ED0" w:rsidRPr="00DB02FF" w:rsidRDefault="00EB4ED0" w:rsidP="007406A9">
            <w:pPr>
              <w:spacing w:after="0"/>
              <w:ind w:firstLine="0"/>
              <w:rPr>
                <w:rFonts w:cs="Calibri"/>
                <w:color w:val="000000"/>
                <w:sz w:val="14"/>
              </w:rPr>
            </w:pPr>
            <w:r w:rsidRPr="00DB02FF">
              <w:rPr>
                <w:rFonts w:cs="Calibri"/>
                <w:color w:val="000000"/>
                <w:sz w:val="14"/>
              </w:rPr>
              <w:t>Present and substantive.</w:t>
            </w:r>
          </w:p>
          <w:p w14:paraId="3DD7655A" w14:textId="77777777" w:rsidR="00EB4ED0" w:rsidRPr="00DB02FF" w:rsidRDefault="00EB4ED0" w:rsidP="007406A9">
            <w:pPr>
              <w:spacing w:after="0"/>
              <w:ind w:firstLine="0"/>
              <w:rPr>
                <w:rFonts w:cs="Calibri"/>
                <w:sz w:val="14"/>
              </w:rPr>
            </w:pPr>
            <w:r w:rsidRPr="00DB02FF">
              <w:rPr>
                <w:rFonts w:cs="Calibri"/>
                <w:color w:val="000000"/>
                <w:sz w:val="14"/>
              </w:rPr>
              <w:t xml:space="preserve"> Cultural safety is explicitly grounded in human rights of respect, dignity, empowerment, safety, and autonomy, and focuses on social position rather than cultural values or traditions. Specific strategies include multicultural health workers, ethnic-specific cultural liaison officers, culturally appropriate and multilingual resources, FGM/C-aware care pathways, flexible appointments, and cross-cultural communication training. An individualised approach is </w:t>
            </w:r>
            <w:proofErr w:type="gramStart"/>
            <w:r w:rsidRPr="00DB02FF">
              <w:rPr>
                <w:rFonts w:cs="Calibri"/>
                <w:color w:val="000000"/>
                <w:sz w:val="14"/>
              </w:rPr>
              <w:t>required at all times</w:t>
            </w:r>
            <w:proofErr w:type="gramEnd"/>
            <w:r w:rsidRPr="00DB02FF">
              <w:rPr>
                <w:rFonts w:cs="Calibri"/>
                <w:color w:val="000000"/>
                <w:sz w:val="14"/>
              </w:rPr>
              <w:t>.</w:t>
            </w:r>
          </w:p>
        </w:tc>
        <w:tc>
          <w:tcPr>
            <w:tcW w:w="2835" w:type="dxa"/>
            <w:shd w:val="clear" w:color="auto" w:fill="F2F2F2" w:themeFill="background1" w:themeFillShade="F2"/>
          </w:tcPr>
          <w:p w14:paraId="0B57F1A9"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w:t>
            </w:r>
          </w:p>
          <w:p w14:paraId="47DE8A34" w14:textId="77777777" w:rsidR="00EB4ED0" w:rsidRPr="00DB02FF" w:rsidRDefault="00EB4ED0" w:rsidP="007406A9">
            <w:pPr>
              <w:spacing w:after="0"/>
              <w:ind w:firstLine="0"/>
              <w:rPr>
                <w:rFonts w:cs="Calibri"/>
                <w:sz w:val="14"/>
              </w:rPr>
            </w:pPr>
            <w:r w:rsidRPr="00DB02FF">
              <w:rPr>
                <w:rFonts w:cs="Calibri"/>
                <w:color w:val="000000"/>
                <w:sz w:val="14"/>
              </w:rPr>
              <w:t>Cultural safety is explicitly based on the basic human rights of respect, dignity, empowerment, safety, and autonomy.</w:t>
            </w:r>
          </w:p>
        </w:tc>
        <w:tc>
          <w:tcPr>
            <w:tcW w:w="2977" w:type="dxa"/>
            <w:shd w:val="clear" w:color="auto" w:fill="F2F2F2" w:themeFill="background1" w:themeFillShade="F2"/>
          </w:tcPr>
          <w:p w14:paraId="3F68D45E"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Partially operationalised. </w:t>
            </w:r>
          </w:p>
          <w:p w14:paraId="33A7EE12" w14:textId="77777777" w:rsidR="00EB4ED0" w:rsidRPr="00DB02FF" w:rsidRDefault="00EB4ED0" w:rsidP="007406A9">
            <w:pPr>
              <w:spacing w:after="0"/>
              <w:ind w:firstLine="0"/>
              <w:rPr>
                <w:rFonts w:cs="Calibri"/>
                <w:color w:val="000000"/>
                <w:sz w:val="14"/>
              </w:rPr>
            </w:pPr>
            <w:r w:rsidRPr="00DB02FF">
              <w:rPr>
                <w:rFonts w:cs="Calibri"/>
                <w:color w:val="000000"/>
                <w:sz w:val="14"/>
              </w:rPr>
              <w:t>Differential outcomes by country of birth and resettlement experience are acknowledged. A dedicated section on pregnancy care for migrant and refugee women recognises the need for tailored approaches. However, equity principles are not applied to Medicare eligibility, leaving some women explicitly excluded from care. The approach largely adds culturally responsive elements to a standard model rather than fundamentally redesigning care for those with the greatest structural disadvantage.</w:t>
            </w:r>
          </w:p>
          <w:p w14:paraId="4C64ECCC" w14:textId="77777777" w:rsidR="00EB4ED0" w:rsidRPr="00DB02FF" w:rsidRDefault="00EB4ED0" w:rsidP="007406A9">
            <w:pPr>
              <w:spacing w:after="0"/>
              <w:ind w:firstLine="0"/>
              <w:rPr>
                <w:rFonts w:cs="Calibri"/>
                <w:sz w:val="14"/>
              </w:rPr>
            </w:pPr>
          </w:p>
        </w:tc>
      </w:tr>
      <w:tr w:rsidR="00EB4ED0" w:rsidRPr="00DB02FF" w14:paraId="1559CD82" w14:textId="77777777" w:rsidTr="00EB4ED0">
        <w:tc>
          <w:tcPr>
            <w:tcW w:w="358" w:type="dxa"/>
            <w:vAlign w:val="center"/>
          </w:tcPr>
          <w:p w14:paraId="000CE787" w14:textId="77777777" w:rsidR="00EB4ED0" w:rsidRPr="00DB02FF" w:rsidRDefault="00EB4ED0" w:rsidP="007406A9">
            <w:pPr>
              <w:spacing w:after="0"/>
              <w:ind w:firstLine="0"/>
              <w:jc w:val="center"/>
              <w:rPr>
                <w:rFonts w:cs="Calibri"/>
                <w:sz w:val="14"/>
              </w:rPr>
            </w:pPr>
            <w:r w:rsidRPr="00DB02FF">
              <w:rPr>
                <w:rFonts w:cs="Calibri"/>
                <w:sz w:val="14"/>
              </w:rPr>
              <w:t>21</w:t>
            </w:r>
          </w:p>
        </w:tc>
        <w:tc>
          <w:tcPr>
            <w:tcW w:w="1344" w:type="dxa"/>
          </w:tcPr>
          <w:p w14:paraId="0A1AD51A" w14:textId="77777777" w:rsidR="00EB4ED0" w:rsidRPr="00DB02FF" w:rsidRDefault="00EB4ED0" w:rsidP="007406A9">
            <w:pPr>
              <w:spacing w:after="0"/>
              <w:ind w:firstLine="0"/>
              <w:rPr>
                <w:rFonts w:cs="Calibri"/>
                <w:sz w:val="14"/>
              </w:rPr>
            </w:pPr>
            <w:r w:rsidRPr="00DB02FF">
              <w:rPr>
                <w:rFonts w:cs="Calibri"/>
                <w:sz w:val="14"/>
              </w:rPr>
              <w:t xml:space="preserve">Advancing Gender Equality – Third Action Plan 2023–26 </w:t>
            </w:r>
            <w:r w:rsidRPr="00DB02FF">
              <w:rPr>
                <w:rFonts w:cs="Calibri"/>
                <w:sz w:val="14"/>
              </w:rPr>
              <w:fldChar w:fldCharType="begin"/>
            </w:r>
            <w:r>
              <w:rPr>
                <w:rFonts w:cs="Calibri"/>
                <w:sz w:val="14"/>
              </w:rPr>
              <w:instrText xml:space="preserve"> ADDIN EN.CITE &lt;EndNote&gt;&lt;Cite&gt;&lt;Author&gt;Australian Capital Territory (ACT) Government&lt;/Author&gt;&lt;Year&gt;2023&lt;/Year&gt;&lt;RecNum&gt;258&lt;/RecNum&gt;&lt;DisplayText&gt;(19)&lt;/DisplayText&gt;&lt;record&gt;&lt;rec-number&gt;258&lt;/rec-number&gt;&lt;foreign-keys&gt;&lt;key app="EN" db-id="rpvwsrsz7xw2rmep9ztxavrkttar9reapt9w" timestamp="1773289345"&gt;258&lt;/key&gt;&lt;/foreign-keys&gt;&lt;ref-type name="Web Page"&gt;12&lt;/ref-type&gt;&lt;contributors&gt;&lt;authors&gt;&lt;author&gt;Australian Capital Territory (ACT) Government, &lt;/author&gt;&lt;/authors&gt;&lt;/contributors&gt;&lt;titles&gt;&lt;title&gt;Advancing Gender Equality – Third Action Plan 2023–26 &lt;/title&gt;&lt;/titles&gt;&lt;volume&gt;2026&lt;/volume&gt;&lt;number&gt;12 March &lt;/number&gt;&lt;dates&gt;&lt;year&gt;2023&lt;/year&gt;&lt;/dates&gt;&lt;urls&gt;&lt;related-urls&gt;&lt;url&gt;https://www.act.gov.au/__data/assets/pdf_file/0007/2388103/ACT-Womens-Plan-2016-2026-Third-Action-Plan.pdf&lt;/url&gt;&lt;/related-urls&gt;&lt;/urls&gt;&lt;/record&gt;&lt;/Cite&gt;&lt;/EndNote&gt;</w:instrText>
            </w:r>
            <w:r w:rsidRPr="00DB02FF">
              <w:rPr>
                <w:rFonts w:cs="Calibri"/>
                <w:sz w:val="14"/>
              </w:rPr>
              <w:fldChar w:fldCharType="separate"/>
            </w:r>
            <w:r>
              <w:rPr>
                <w:rFonts w:cs="Calibri"/>
                <w:noProof/>
                <w:sz w:val="14"/>
              </w:rPr>
              <w:t>(19)</w:t>
            </w:r>
            <w:r w:rsidRPr="00DB02FF">
              <w:rPr>
                <w:rFonts w:cs="Calibri"/>
                <w:sz w:val="14"/>
              </w:rPr>
              <w:fldChar w:fldCharType="end"/>
            </w:r>
            <w:r w:rsidRPr="00DB02FF">
              <w:rPr>
                <w:rFonts w:cs="Calibri"/>
                <w:sz w:val="14"/>
              </w:rPr>
              <w:t xml:space="preserve"> </w:t>
            </w:r>
          </w:p>
        </w:tc>
        <w:tc>
          <w:tcPr>
            <w:tcW w:w="2126" w:type="dxa"/>
          </w:tcPr>
          <w:p w14:paraId="426DFC9F" w14:textId="77777777" w:rsidR="00EB4ED0" w:rsidRPr="00DB02FF" w:rsidRDefault="00EB4ED0" w:rsidP="007406A9">
            <w:pPr>
              <w:spacing w:after="0"/>
              <w:ind w:firstLine="0"/>
              <w:rPr>
                <w:rFonts w:cs="Calibri"/>
                <w:sz w:val="14"/>
              </w:rPr>
            </w:pPr>
            <w:r w:rsidRPr="00DB02FF">
              <w:rPr>
                <w:rFonts w:cs="Calibri"/>
                <w:color w:val="000000"/>
                <w:sz w:val="14"/>
              </w:rPr>
              <w:t>All women and girls in the ACT are implicitly assumed to be eligible for the services and supports described. No explicit statement addresses entitlement based on visa status, residency, or Medicare eligibility.</w:t>
            </w:r>
          </w:p>
        </w:tc>
        <w:tc>
          <w:tcPr>
            <w:tcW w:w="3402" w:type="dxa"/>
          </w:tcPr>
          <w:p w14:paraId="10812D69" w14:textId="77777777" w:rsidR="00EB4ED0" w:rsidRPr="00DB02FF" w:rsidRDefault="00EB4ED0" w:rsidP="007406A9">
            <w:pPr>
              <w:spacing w:after="0"/>
              <w:ind w:firstLine="0"/>
              <w:rPr>
                <w:rFonts w:cs="Calibri"/>
                <w:sz w:val="14"/>
              </w:rPr>
            </w:pPr>
            <w:r w:rsidRPr="00DB02FF">
              <w:rPr>
                <w:rFonts w:cs="Calibri"/>
                <w:color w:val="000000"/>
                <w:sz w:val="14"/>
              </w:rPr>
              <w:t>Language barriers are acknowledged through data showing 26% of young women aged 18 to 24 cannot easily find health information in their language. Cultural safety is listed as a barrier to healthcare access. Financial barriers including affordable reproductive healthcare and housing affordability are raised through community consultation. Logistical, caring, and geographic barriers are identified. Visa status, immigration status, Medicare eligibility, legal status, and work rights restrictions are not addressed as barriers.</w:t>
            </w:r>
          </w:p>
        </w:tc>
        <w:tc>
          <w:tcPr>
            <w:tcW w:w="2977" w:type="dxa"/>
          </w:tcPr>
          <w:p w14:paraId="46B7C7A5" w14:textId="77777777" w:rsidR="00EB4ED0" w:rsidRPr="00DB02FF" w:rsidRDefault="00EB4ED0" w:rsidP="007406A9">
            <w:pPr>
              <w:spacing w:after="0"/>
              <w:ind w:firstLine="0"/>
              <w:rPr>
                <w:rFonts w:cs="Calibri"/>
                <w:color w:val="000000"/>
                <w:sz w:val="14"/>
              </w:rPr>
            </w:pPr>
            <w:r w:rsidRPr="00DB02FF">
              <w:rPr>
                <w:rFonts w:cs="Calibri"/>
                <w:color w:val="000000"/>
                <w:sz w:val="14"/>
              </w:rPr>
              <w:t>Implicit.</w:t>
            </w:r>
          </w:p>
          <w:p w14:paraId="1372EF1E" w14:textId="77777777" w:rsidR="00EB4ED0" w:rsidRPr="00DB02FF" w:rsidRDefault="00EB4ED0" w:rsidP="007406A9">
            <w:pPr>
              <w:spacing w:after="0"/>
              <w:ind w:firstLine="0"/>
              <w:rPr>
                <w:rFonts w:cs="Calibri"/>
                <w:sz w:val="14"/>
              </w:rPr>
            </w:pPr>
            <w:r w:rsidRPr="00DB02FF">
              <w:rPr>
                <w:rFonts w:cs="Calibri"/>
                <w:color w:val="000000"/>
                <w:sz w:val="14"/>
              </w:rPr>
              <w:t xml:space="preserve">CALD populations are named as facing additional </w:t>
            </w:r>
            <w:proofErr w:type="gramStart"/>
            <w:r w:rsidRPr="00DB02FF">
              <w:rPr>
                <w:rFonts w:cs="Calibri"/>
                <w:color w:val="000000"/>
                <w:sz w:val="14"/>
              </w:rPr>
              <w:t>barriers</w:t>
            </w:r>
            <w:proofErr w:type="gramEnd"/>
            <w:r w:rsidRPr="00DB02FF">
              <w:rPr>
                <w:rFonts w:cs="Calibri"/>
                <w:color w:val="000000"/>
                <w:sz w:val="14"/>
              </w:rPr>
              <w:t xml:space="preserve"> but no specific actions target cultural responsiveness for CALD women. No interpreter services, translated materials, bicultural workers, or culturally specific service models are described. Cultural services actions are directed at Aboriginal and Torres Strait Islander women in corrective services, not CALD communities.</w:t>
            </w:r>
          </w:p>
        </w:tc>
        <w:tc>
          <w:tcPr>
            <w:tcW w:w="2835" w:type="dxa"/>
          </w:tcPr>
          <w:p w14:paraId="3B4C1423"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Implicit. </w:t>
            </w:r>
          </w:p>
          <w:p w14:paraId="70AD4C11" w14:textId="77777777" w:rsidR="00EB4ED0" w:rsidRPr="00DB02FF" w:rsidRDefault="00EB4ED0" w:rsidP="007406A9">
            <w:pPr>
              <w:spacing w:after="0"/>
              <w:ind w:firstLine="0"/>
              <w:rPr>
                <w:rFonts w:cs="Calibri"/>
                <w:sz w:val="14"/>
              </w:rPr>
            </w:pPr>
            <w:r w:rsidRPr="00DB02FF">
              <w:rPr>
                <w:rFonts w:cs="Calibri"/>
                <w:color w:val="000000"/>
                <w:sz w:val="14"/>
              </w:rPr>
              <w:t xml:space="preserve">The plan promotes and protects the rights and potential of all women and </w:t>
            </w:r>
            <w:proofErr w:type="gramStart"/>
            <w:r w:rsidRPr="00DB02FF">
              <w:rPr>
                <w:rFonts w:cs="Calibri"/>
                <w:color w:val="000000"/>
                <w:sz w:val="14"/>
              </w:rPr>
              <w:t>girls, and</w:t>
            </w:r>
            <w:proofErr w:type="gramEnd"/>
            <w:r w:rsidRPr="00DB02FF">
              <w:rPr>
                <w:rFonts w:cs="Calibri"/>
                <w:color w:val="000000"/>
                <w:sz w:val="14"/>
              </w:rPr>
              <w:t xml:space="preserve"> includes a reform to prevent discrimination and sexual harassment. An Australian Human Rights Commission report is referenced. No explicit reference to international human rights frameworks or to the rights of migrant or refugee women.</w:t>
            </w:r>
          </w:p>
        </w:tc>
        <w:tc>
          <w:tcPr>
            <w:tcW w:w="2977" w:type="dxa"/>
          </w:tcPr>
          <w:p w14:paraId="434C21B6"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in general terms but absent regarding migration status. </w:t>
            </w:r>
          </w:p>
          <w:p w14:paraId="5AB60E92" w14:textId="77777777" w:rsidR="00EB4ED0" w:rsidRPr="00DB02FF" w:rsidRDefault="00EB4ED0" w:rsidP="007406A9">
            <w:pPr>
              <w:spacing w:after="0"/>
              <w:ind w:firstLine="0"/>
              <w:rPr>
                <w:rFonts w:cs="Calibri"/>
                <w:sz w:val="14"/>
              </w:rPr>
            </w:pPr>
            <w:r w:rsidRPr="00DB02FF">
              <w:rPr>
                <w:rFonts w:cs="Calibri"/>
                <w:color w:val="000000"/>
                <w:sz w:val="14"/>
              </w:rPr>
              <w:t>Intersectionality is a stated guiding principle, and CALD women are named among the groups recognised as experiencing disadvantage differently. However, migration status is absent from the equity framework, and no equity measures specific to migrants, refugees, or temporary visa holders are described.</w:t>
            </w:r>
          </w:p>
        </w:tc>
      </w:tr>
      <w:tr w:rsidR="00EB4ED0" w:rsidRPr="00DB02FF" w14:paraId="32681B98" w14:textId="77777777" w:rsidTr="00EB4ED0">
        <w:tc>
          <w:tcPr>
            <w:tcW w:w="358" w:type="dxa"/>
            <w:shd w:val="clear" w:color="auto" w:fill="F2F2F2" w:themeFill="background1" w:themeFillShade="F2"/>
            <w:vAlign w:val="center"/>
          </w:tcPr>
          <w:p w14:paraId="312DBF3B" w14:textId="77777777" w:rsidR="00EB4ED0" w:rsidRPr="00DB02FF" w:rsidRDefault="00EB4ED0" w:rsidP="007406A9">
            <w:pPr>
              <w:spacing w:after="0"/>
              <w:ind w:firstLine="0"/>
              <w:jc w:val="center"/>
              <w:rPr>
                <w:rFonts w:cs="Calibri"/>
                <w:sz w:val="14"/>
              </w:rPr>
            </w:pPr>
            <w:r w:rsidRPr="00DB02FF">
              <w:rPr>
                <w:rFonts w:cs="Calibri"/>
                <w:sz w:val="14"/>
              </w:rPr>
              <w:t>22</w:t>
            </w:r>
          </w:p>
        </w:tc>
        <w:tc>
          <w:tcPr>
            <w:tcW w:w="1344" w:type="dxa"/>
            <w:shd w:val="clear" w:color="auto" w:fill="F2F2F2" w:themeFill="background1" w:themeFillShade="F2"/>
          </w:tcPr>
          <w:p w14:paraId="430E0D74" w14:textId="77777777" w:rsidR="00EB4ED0" w:rsidRPr="00DB02FF" w:rsidRDefault="00EB4ED0" w:rsidP="007406A9">
            <w:pPr>
              <w:spacing w:after="0"/>
              <w:ind w:firstLine="0"/>
              <w:rPr>
                <w:rFonts w:cs="Calibri"/>
                <w:sz w:val="14"/>
              </w:rPr>
            </w:pPr>
            <w:r w:rsidRPr="00DB02FF">
              <w:rPr>
                <w:rFonts w:cs="Calibri"/>
                <w:sz w:val="14"/>
              </w:rPr>
              <w:t xml:space="preserve">Sexual and Reproductive Health and Rights </w:t>
            </w:r>
            <w:r w:rsidRPr="00DB02FF">
              <w:rPr>
                <w:rFonts w:cs="Calibri"/>
                <w:sz w:val="14"/>
              </w:rPr>
              <w:lastRenderedPageBreak/>
              <w:t xml:space="preserve">and the Sustainable Development Goals: Priorities for Australia and the Pacific 2020 </w:t>
            </w:r>
            <w:r w:rsidRPr="00DB02FF">
              <w:rPr>
                <w:rFonts w:cs="Calibri"/>
                <w:sz w:val="14"/>
              </w:rPr>
              <w:fldChar w:fldCharType="begin"/>
            </w:r>
            <w:r>
              <w:rPr>
                <w:rFonts w:cs="Calibri"/>
                <w:sz w:val="14"/>
              </w:rPr>
              <w:instrText xml:space="preserve"> ADDIN EN.CITE &lt;EndNote&gt;&lt;Cite&gt;&lt;Author&gt;Family Planning Australia&lt;/Author&gt;&lt;Year&gt;2020&lt;/Year&gt;&lt;RecNum&gt;234&lt;/RecNum&gt;&lt;DisplayText&gt;(43)&lt;/DisplayText&gt;&lt;record&gt;&lt;rec-number&gt;234&lt;/rec-number&gt;&lt;foreign-keys&gt;&lt;key app="EN" db-id="rpvwsrsz7xw2rmep9ztxavrkttar9reapt9w" timestamp="1773193203"&gt;234&lt;/key&gt;&lt;/foreign-keys&gt;&lt;ref-type name="Web Page"&gt;12&lt;/ref-type&gt;&lt;contributors&gt;&lt;authors&gt;&lt;author&gt;Family Planning Australia, &lt;/author&gt;&lt;/authors&gt;&lt;/contributors&gt;&lt;titles&gt;&lt;title&gt;Sexual and Reproductive Health and Rights and the Sustainable Development Goals: Priorities for Australia and the Pacific 2020&lt;/title&gt;&lt;/titles&gt;&lt;volume&gt;2026&lt;/volume&gt;&lt;number&gt;11 March &lt;/number&gt;&lt;dates&gt;&lt;year&gt;2020&lt;/year&gt;&lt;/dates&gt;&lt;urls&gt;&lt;related-urls&gt;&lt;url&gt;https://www.fpnsw.org.au/sites/default/files/assets/SDGreport_2020_v2.pdf&lt;/url&gt;&lt;/related-urls&gt;&lt;/urls&gt;&lt;/record&gt;&lt;/Cite&gt;&lt;/EndNote&gt;</w:instrText>
            </w:r>
            <w:r w:rsidRPr="00DB02FF">
              <w:rPr>
                <w:rFonts w:cs="Calibri"/>
                <w:sz w:val="14"/>
              </w:rPr>
              <w:fldChar w:fldCharType="separate"/>
            </w:r>
            <w:r>
              <w:rPr>
                <w:rFonts w:cs="Calibri"/>
                <w:noProof/>
                <w:sz w:val="14"/>
              </w:rPr>
              <w:t>(43)</w:t>
            </w:r>
            <w:r w:rsidRPr="00DB02FF">
              <w:rPr>
                <w:rFonts w:cs="Calibri"/>
                <w:sz w:val="14"/>
              </w:rPr>
              <w:fldChar w:fldCharType="end"/>
            </w:r>
          </w:p>
        </w:tc>
        <w:tc>
          <w:tcPr>
            <w:tcW w:w="2126" w:type="dxa"/>
            <w:shd w:val="clear" w:color="auto" w:fill="F2F2F2" w:themeFill="background1" w:themeFillShade="F2"/>
          </w:tcPr>
          <w:p w14:paraId="0D26FEE0"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Universal access is assumed throughout, with the document asserting that all people have a </w:t>
            </w:r>
            <w:r w:rsidRPr="00DB02FF">
              <w:rPr>
                <w:rFonts w:cs="Calibri"/>
                <w:color w:val="000000"/>
                <w:sz w:val="14"/>
              </w:rPr>
              <w:lastRenderedPageBreak/>
              <w:t>right to access SRH services without addressing the legal restrictions that govern access in practice.</w:t>
            </w:r>
            <w:r w:rsidRPr="00DB02FF">
              <w:t xml:space="preserve"> </w:t>
            </w:r>
            <w:r w:rsidRPr="00DB02FF">
              <w:rPr>
                <w:rFonts w:cs="Calibri"/>
                <w:color w:val="000000"/>
                <w:sz w:val="14"/>
              </w:rPr>
              <w:t>No eligibility criteria based on visa status, residency, or Medicare coverage are stated.</w:t>
            </w:r>
          </w:p>
        </w:tc>
        <w:tc>
          <w:tcPr>
            <w:tcW w:w="3402" w:type="dxa"/>
            <w:shd w:val="clear" w:color="auto" w:fill="F2F2F2" w:themeFill="background1" w:themeFillShade="F2"/>
          </w:tcPr>
          <w:p w14:paraId="2C0C81C9" w14:textId="77777777" w:rsidR="00EB4ED0" w:rsidRPr="00DB02FF" w:rsidRDefault="00EB4ED0" w:rsidP="007406A9">
            <w:pPr>
              <w:spacing w:after="0"/>
              <w:ind w:firstLine="0"/>
              <w:rPr>
                <w:rFonts w:cs="Calibri"/>
                <w:sz w:val="14"/>
              </w:rPr>
            </w:pPr>
            <w:r w:rsidRPr="00DB02FF">
              <w:rPr>
                <w:rFonts w:cs="Calibri"/>
                <w:color w:val="000000"/>
                <w:sz w:val="14"/>
              </w:rPr>
              <w:lastRenderedPageBreak/>
              <w:t xml:space="preserve">Financial barriers receive the most substantive attention, including out-of-pocket gap fees, costs of travel, accommodation, GP referrals, medical tests, </w:t>
            </w:r>
            <w:r w:rsidRPr="00DB02FF">
              <w:rPr>
                <w:rFonts w:cs="Calibri"/>
                <w:color w:val="000000"/>
                <w:sz w:val="14"/>
              </w:rPr>
              <w:lastRenderedPageBreak/>
              <w:t>childcare, and lost wages. Geographic barriers are addressed through documented evidence of rural women travelling up to nine hours one way to access abortion services. Physical environment, opening hours, confidentiality concerns, and complex booking procedures are identified for young people. Visa status, Medicare eligibility, immigration status, and legal barriers specific to migrants are entirely absent.</w:t>
            </w:r>
          </w:p>
        </w:tc>
        <w:tc>
          <w:tcPr>
            <w:tcW w:w="2977" w:type="dxa"/>
            <w:shd w:val="clear" w:color="auto" w:fill="F2F2F2" w:themeFill="background1" w:themeFillShade="F2"/>
          </w:tcPr>
          <w:p w14:paraId="76DBCE83"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Present. </w:t>
            </w:r>
          </w:p>
          <w:p w14:paraId="698E7744" w14:textId="77777777" w:rsidR="00EB4ED0" w:rsidRPr="00DB02FF" w:rsidRDefault="00EB4ED0" w:rsidP="007406A9">
            <w:pPr>
              <w:spacing w:after="0"/>
              <w:ind w:firstLine="0"/>
              <w:rPr>
                <w:rFonts w:cs="Calibri"/>
                <w:sz w:val="14"/>
              </w:rPr>
            </w:pPr>
            <w:r w:rsidRPr="00DB02FF">
              <w:rPr>
                <w:rFonts w:cs="Calibri"/>
                <w:color w:val="000000"/>
                <w:sz w:val="14"/>
              </w:rPr>
              <w:t xml:space="preserve">A combination of culturally responsive mainstream services and specially designated </w:t>
            </w:r>
            <w:r w:rsidRPr="00DB02FF">
              <w:rPr>
                <w:rFonts w:cs="Calibri"/>
                <w:color w:val="000000"/>
                <w:sz w:val="14"/>
              </w:rPr>
              <w:lastRenderedPageBreak/>
              <w:t>services for specific groups is recommended. Services are to be welcoming, inclusive, and respectful of cultural, sexual, and gender diversity. Culturally sensitive approaches are referenced but not operationalised through specific strategies for migrant or CALD populations.</w:t>
            </w:r>
          </w:p>
        </w:tc>
        <w:tc>
          <w:tcPr>
            <w:tcW w:w="2835" w:type="dxa"/>
            <w:shd w:val="clear" w:color="auto" w:fill="F2F2F2" w:themeFill="background1" w:themeFillShade="F2"/>
          </w:tcPr>
          <w:p w14:paraId="19825953"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Present and strong. </w:t>
            </w:r>
          </w:p>
          <w:p w14:paraId="38A99507" w14:textId="77777777" w:rsidR="00EB4ED0" w:rsidRPr="00DB02FF" w:rsidRDefault="00EB4ED0" w:rsidP="007406A9">
            <w:pPr>
              <w:spacing w:after="0"/>
              <w:ind w:firstLine="0"/>
              <w:rPr>
                <w:rFonts w:cs="Calibri"/>
                <w:sz w:val="14"/>
              </w:rPr>
            </w:pPr>
            <w:r w:rsidRPr="00DB02FF">
              <w:rPr>
                <w:rFonts w:cs="Calibri"/>
                <w:color w:val="000000"/>
                <w:sz w:val="14"/>
              </w:rPr>
              <w:t xml:space="preserve">SRHR are defined as fundamental human rights grounded in the International </w:t>
            </w:r>
            <w:r w:rsidRPr="00DB02FF">
              <w:rPr>
                <w:rFonts w:cs="Calibri"/>
                <w:color w:val="000000"/>
                <w:sz w:val="14"/>
              </w:rPr>
              <w:lastRenderedPageBreak/>
              <w:t>Conference on Population and Development. References include CEDAW and the Convention on the Rights of Persons with Disabilities. The right of all people to make informed decisions about their bodies, sexuality, and reproduction free from coercion, discrimination, and violence is stated.</w:t>
            </w:r>
          </w:p>
        </w:tc>
        <w:tc>
          <w:tcPr>
            <w:tcW w:w="2977" w:type="dxa"/>
            <w:shd w:val="clear" w:color="auto" w:fill="F2F2F2" w:themeFill="background1" w:themeFillShade="F2"/>
          </w:tcPr>
          <w:p w14:paraId="5CC6F925"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Present but limited in scope. </w:t>
            </w:r>
          </w:p>
          <w:p w14:paraId="5850E4D8" w14:textId="77777777" w:rsidR="00EB4ED0" w:rsidRPr="00DB02FF" w:rsidRDefault="00EB4ED0" w:rsidP="007406A9">
            <w:pPr>
              <w:spacing w:after="0"/>
              <w:ind w:firstLine="0"/>
              <w:rPr>
                <w:rFonts w:cs="Calibri"/>
                <w:sz w:val="14"/>
              </w:rPr>
            </w:pPr>
            <w:r w:rsidRPr="00DB02FF">
              <w:rPr>
                <w:rFonts w:cs="Calibri"/>
                <w:color w:val="000000"/>
                <w:sz w:val="14"/>
              </w:rPr>
              <w:t xml:space="preserve">Achieving health equity requires universal healthcare access for the most disadvantaged, </w:t>
            </w:r>
            <w:r w:rsidRPr="00DB02FF">
              <w:rPr>
                <w:rFonts w:cs="Calibri"/>
                <w:color w:val="000000"/>
                <w:sz w:val="14"/>
              </w:rPr>
              <w:lastRenderedPageBreak/>
              <w:t>and equity is framed as no one being left behind. However, the equity framework addresses Indigeneity, disability, age, sexuality, gender, and geography while excluding legal status and visa category as axes of inequality. Migration is reframed entirely as cultural and linguistic diversity, leaving visa-based structural exclusions unaddressed.</w:t>
            </w:r>
          </w:p>
        </w:tc>
      </w:tr>
      <w:tr w:rsidR="00EB4ED0" w:rsidRPr="00DB02FF" w14:paraId="2E5B48DE" w14:textId="77777777" w:rsidTr="00EB4ED0">
        <w:tc>
          <w:tcPr>
            <w:tcW w:w="358" w:type="dxa"/>
            <w:vAlign w:val="center"/>
          </w:tcPr>
          <w:p w14:paraId="5EF769FD" w14:textId="77777777" w:rsidR="00EB4ED0" w:rsidRPr="00DB02FF" w:rsidRDefault="00EB4ED0" w:rsidP="007406A9">
            <w:pPr>
              <w:spacing w:after="0"/>
              <w:ind w:firstLine="0"/>
              <w:jc w:val="center"/>
              <w:rPr>
                <w:rFonts w:cs="Calibri"/>
                <w:sz w:val="14"/>
              </w:rPr>
            </w:pPr>
            <w:r w:rsidRPr="00DB02FF">
              <w:rPr>
                <w:rFonts w:cs="Calibri"/>
                <w:sz w:val="14"/>
              </w:rPr>
              <w:lastRenderedPageBreak/>
              <w:t>23</w:t>
            </w:r>
          </w:p>
        </w:tc>
        <w:tc>
          <w:tcPr>
            <w:tcW w:w="1344" w:type="dxa"/>
          </w:tcPr>
          <w:p w14:paraId="54A9EB98" w14:textId="77777777" w:rsidR="00EB4ED0" w:rsidRPr="00DB02FF" w:rsidRDefault="00EB4ED0" w:rsidP="007406A9">
            <w:pPr>
              <w:spacing w:after="0"/>
              <w:ind w:firstLine="0"/>
              <w:rPr>
                <w:rFonts w:cs="Calibri"/>
                <w:sz w:val="14"/>
              </w:rPr>
            </w:pPr>
            <w:r w:rsidRPr="00DB02FF">
              <w:rPr>
                <w:rFonts w:cs="Calibri"/>
                <w:sz w:val="14"/>
              </w:rPr>
              <w:t xml:space="preserve">NSW Sexually Transmissible Infections Strategy 2022-2026 </w:t>
            </w:r>
            <w:r w:rsidRPr="00DB02FF">
              <w:rPr>
                <w:rFonts w:cs="Calibri"/>
                <w:sz w:val="14"/>
              </w:rPr>
              <w:fldChar w:fldCharType="begin"/>
            </w:r>
            <w:r>
              <w:rPr>
                <w:rFonts w:cs="Calibri"/>
                <w:sz w:val="14"/>
              </w:rPr>
              <w:instrText xml:space="preserve"> ADDIN EN.CITE &lt;EndNote&gt;&lt;Cite&gt;&lt;Author&gt;NSW Government&lt;/Author&gt;&lt;Year&gt;2022&lt;/Year&gt;&lt;RecNum&gt;260&lt;/RecNum&gt;&lt;DisplayText&gt;(38)&lt;/DisplayText&gt;&lt;record&gt;&lt;rec-number&gt;260&lt;/rec-number&gt;&lt;foreign-keys&gt;&lt;key app="EN" db-id="rpvwsrsz7xw2rmep9ztxavrkttar9reapt9w" timestamp="1773290585"&gt;260&lt;/key&gt;&lt;/foreign-keys&gt;&lt;ref-type name="Web Page"&gt;12&lt;/ref-type&gt;&lt;contributors&gt;&lt;authors&gt;&lt;author&gt;NSW Government, &lt;/author&gt;&lt;/authors&gt;&lt;/contributors&gt;&lt;titles&gt;&lt;title&gt;NSW Sexually Transmissible Infections Strategy 2022-2026&lt;/title&gt;&lt;/titles&gt;&lt;volume&gt;2026&lt;/volume&gt;&lt;number&gt;12 March &lt;/number&gt;&lt;dates&gt;&lt;year&gt;2022&lt;/year&gt;&lt;/dates&gt;&lt;urls&gt;&lt;related-urls&gt;&lt;url&gt;https://www.health.nsw.gov.au/sexualhealth/Publications/nsw-sti-strategy.pdf&lt;/url&gt;&lt;/related-urls&gt;&lt;/urls&gt;&lt;/record&gt;&lt;/Cite&gt;&lt;/EndNote&gt;</w:instrText>
            </w:r>
            <w:r w:rsidRPr="00DB02FF">
              <w:rPr>
                <w:rFonts w:cs="Calibri"/>
                <w:sz w:val="14"/>
              </w:rPr>
              <w:fldChar w:fldCharType="separate"/>
            </w:r>
            <w:r>
              <w:rPr>
                <w:rFonts w:cs="Calibri"/>
                <w:noProof/>
                <w:sz w:val="14"/>
              </w:rPr>
              <w:t>(38)</w:t>
            </w:r>
            <w:r w:rsidRPr="00DB02FF">
              <w:rPr>
                <w:rFonts w:cs="Calibri"/>
                <w:sz w:val="14"/>
              </w:rPr>
              <w:fldChar w:fldCharType="end"/>
            </w:r>
          </w:p>
        </w:tc>
        <w:tc>
          <w:tcPr>
            <w:tcW w:w="2126" w:type="dxa"/>
          </w:tcPr>
          <w:p w14:paraId="15C01A83" w14:textId="77777777" w:rsidR="00EB4ED0" w:rsidRPr="00DB02FF" w:rsidRDefault="00EB4ED0" w:rsidP="007406A9">
            <w:pPr>
              <w:spacing w:after="0"/>
              <w:ind w:firstLine="0"/>
              <w:rPr>
                <w:rFonts w:cs="Calibri"/>
                <w:color w:val="000000"/>
                <w:sz w:val="14"/>
              </w:rPr>
            </w:pPr>
            <w:r w:rsidRPr="00DB02FF">
              <w:rPr>
                <w:rFonts w:cs="Calibri"/>
                <w:color w:val="000000"/>
                <w:sz w:val="14"/>
              </w:rPr>
              <w:t>"Ensure those who require services are able to access them"; priority populations identified by notification rates and known barriers</w:t>
            </w:r>
          </w:p>
        </w:tc>
        <w:tc>
          <w:tcPr>
            <w:tcW w:w="3402" w:type="dxa"/>
          </w:tcPr>
          <w:p w14:paraId="05C5C379" w14:textId="77777777" w:rsidR="00EB4ED0" w:rsidRPr="00DB02FF" w:rsidRDefault="00EB4ED0" w:rsidP="007406A9">
            <w:pPr>
              <w:spacing w:after="0"/>
              <w:ind w:firstLine="0"/>
              <w:rPr>
                <w:rFonts w:cs="Calibri"/>
                <w:color w:val="000000"/>
                <w:sz w:val="14"/>
              </w:rPr>
            </w:pPr>
            <w:r w:rsidRPr="00DB02FF">
              <w:rPr>
                <w:rFonts w:cs="Calibri"/>
                <w:color w:val="000000"/>
                <w:sz w:val="14"/>
              </w:rPr>
              <w:t>Stigma, discrimination, fear, anxiety, cultural factors, inequitable access, cost, structural barriers; language and literacy</w:t>
            </w:r>
          </w:p>
        </w:tc>
        <w:tc>
          <w:tcPr>
            <w:tcW w:w="2977" w:type="dxa"/>
          </w:tcPr>
          <w:p w14:paraId="0EE8AF0F" w14:textId="77777777" w:rsidR="00EB4ED0" w:rsidRPr="00DB02FF" w:rsidRDefault="00EB4ED0" w:rsidP="007406A9">
            <w:pPr>
              <w:spacing w:after="0"/>
              <w:ind w:firstLine="0"/>
              <w:rPr>
                <w:rFonts w:cs="Calibri"/>
                <w:color w:val="000000"/>
                <w:sz w:val="14"/>
              </w:rPr>
            </w:pPr>
            <w:r w:rsidRPr="00DB02FF">
              <w:rPr>
                <w:rFonts w:cs="Calibri"/>
                <w:color w:val="000000"/>
                <w:sz w:val="14"/>
              </w:rPr>
              <w:t>"Understanding cultural and community sensitivities and practices, and respecting them in clinical settings"; peer outreach with peers who have language, cultural and migration experience (1.4.1)</w:t>
            </w:r>
          </w:p>
        </w:tc>
        <w:tc>
          <w:tcPr>
            <w:tcW w:w="2835" w:type="dxa"/>
          </w:tcPr>
          <w:p w14:paraId="0F908B79" w14:textId="77777777" w:rsidR="00EB4ED0" w:rsidRPr="00DB02FF" w:rsidRDefault="00EB4ED0" w:rsidP="007406A9">
            <w:pPr>
              <w:spacing w:after="0"/>
              <w:ind w:firstLine="0"/>
              <w:rPr>
                <w:rFonts w:cs="Calibri"/>
                <w:color w:val="000000"/>
                <w:sz w:val="14"/>
              </w:rPr>
            </w:pPr>
            <w:r w:rsidRPr="00DB02FF">
              <w:rPr>
                <w:rFonts w:cs="Calibri"/>
                <w:color w:val="000000"/>
                <w:sz w:val="14"/>
              </w:rPr>
              <w:t>No explicit human rights framework named. One reference to Comprehensive Sexuality Education being "inclusive of sexuality and relationships rights"</w:t>
            </w:r>
          </w:p>
        </w:tc>
        <w:tc>
          <w:tcPr>
            <w:tcW w:w="2977" w:type="dxa"/>
          </w:tcPr>
          <w:p w14:paraId="37435D33" w14:textId="77777777" w:rsidR="00EB4ED0" w:rsidRPr="00DB02FF" w:rsidRDefault="00EB4ED0" w:rsidP="007406A9">
            <w:pPr>
              <w:spacing w:after="0"/>
              <w:ind w:firstLine="0"/>
              <w:rPr>
                <w:rFonts w:cs="Calibri"/>
                <w:color w:val="000000"/>
                <w:sz w:val="14"/>
              </w:rPr>
            </w:pPr>
            <w:r w:rsidRPr="00DB02FF">
              <w:rPr>
                <w:rFonts w:cs="Calibri"/>
                <w:color w:val="000000"/>
                <w:sz w:val="14"/>
              </w:rPr>
              <w:t>"Ensuring equity and access for all is a new focus of this Strategy"; values include "Accessibility, affordability, acceptability, and equity"</w:t>
            </w:r>
          </w:p>
        </w:tc>
      </w:tr>
      <w:tr w:rsidR="00EB4ED0" w:rsidRPr="00DB02FF" w14:paraId="5FFDB546" w14:textId="77777777" w:rsidTr="00EB4ED0">
        <w:tc>
          <w:tcPr>
            <w:tcW w:w="358" w:type="dxa"/>
            <w:shd w:val="clear" w:color="auto" w:fill="F2F2F2" w:themeFill="background1" w:themeFillShade="F2"/>
            <w:vAlign w:val="center"/>
          </w:tcPr>
          <w:p w14:paraId="7F07303B" w14:textId="77777777" w:rsidR="00EB4ED0" w:rsidRPr="00DB02FF" w:rsidRDefault="00EB4ED0" w:rsidP="007406A9">
            <w:pPr>
              <w:spacing w:after="0"/>
              <w:ind w:firstLine="0"/>
              <w:jc w:val="center"/>
              <w:rPr>
                <w:rFonts w:cs="Calibri"/>
                <w:sz w:val="14"/>
              </w:rPr>
            </w:pPr>
            <w:r w:rsidRPr="00DB02FF">
              <w:rPr>
                <w:rFonts w:cs="Calibri"/>
                <w:sz w:val="14"/>
              </w:rPr>
              <w:t>24</w:t>
            </w:r>
          </w:p>
        </w:tc>
        <w:tc>
          <w:tcPr>
            <w:tcW w:w="1344" w:type="dxa"/>
            <w:shd w:val="clear" w:color="auto" w:fill="F2F2F2" w:themeFill="background1" w:themeFillShade="F2"/>
          </w:tcPr>
          <w:p w14:paraId="51D2417E" w14:textId="77777777" w:rsidR="00EB4ED0" w:rsidRPr="00DB02FF" w:rsidRDefault="00EB4ED0" w:rsidP="007406A9">
            <w:pPr>
              <w:spacing w:after="0"/>
              <w:ind w:firstLine="0"/>
              <w:rPr>
                <w:rFonts w:cs="Calibri"/>
                <w:sz w:val="14"/>
              </w:rPr>
            </w:pPr>
            <w:r w:rsidRPr="00DB02FF">
              <w:rPr>
                <w:rFonts w:cs="Calibri"/>
                <w:sz w:val="14"/>
              </w:rPr>
              <w:t xml:space="preserve">Queensland Hepatitis B Plan 2030 </w:t>
            </w:r>
            <w:r w:rsidRPr="00DB02FF">
              <w:rPr>
                <w:rFonts w:cs="Calibri"/>
                <w:sz w:val="14"/>
              </w:rPr>
              <w:fldChar w:fldCharType="begin"/>
            </w:r>
            <w:r>
              <w:rPr>
                <w:rFonts w:cs="Calibri"/>
                <w:sz w:val="14"/>
              </w:rPr>
              <w:instrText xml:space="preserve"> ADDIN EN.CITE &lt;EndNote&gt;&lt;Cite&gt;&lt;Author&gt;Queensland Health Communicable Diseases Branch&lt;/Author&gt;&lt;Year&gt;2025&lt;/Year&gt;&lt;RecNum&gt;254&lt;/RecNum&gt;&lt;DisplayText&gt;(39)&lt;/DisplayText&gt;&lt;record&gt;&lt;rec-number&gt;254&lt;/rec-number&gt;&lt;foreign-keys&gt;&lt;key app="EN" db-id="rpvwsrsz7xw2rmep9ztxavrkttar9reapt9w" timestamp="1773288399"&gt;254&lt;/key&gt;&lt;/foreign-keys&gt;&lt;ref-type name="Web Page"&gt;12&lt;/ref-type&gt;&lt;contributors&gt;&lt;authors&gt;&lt;author&gt;Queensland Health Communicable Diseases Branch, &lt;/author&gt;&lt;/authors&gt;&lt;/contributors&gt;&lt;titles&gt;&lt;title&gt;Queensland Hepatitis B Plan 2030&lt;/title&gt;&lt;/titles&gt;&lt;volume&gt;2026&lt;/volume&gt;&lt;number&gt;12 March &lt;/number&gt;&lt;dates&gt;&lt;year&gt;2025&lt;/year&gt;&lt;/dates&gt;&lt;urls&gt;&lt;related-urls&gt;&lt;url&gt;https://www.health.qld.gov.au/__data/assets/pdf_file/0030/1438860/hepatitis-b-plan-2030.PDF&lt;/url&gt;&lt;/related-urls&gt;&lt;/urls&gt;&lt;/record&gt;&lt;/Cite&gt;&lt;/EndNote&gt;</w:instrText>
            </w:r>
            <w:r w:rsidRPr="00DB02FF">
              <w:rPr>
                <w:rFonts w:cs="Calibri"/>
                <w:sz w:val="14"/>
              </w:rPr>
              <w:fldChar w:fldCharType="separate"/>
            </w:r>
            <w:r>
              <w:rPr>
                <w:rFonts w:cs="Calibri"/>
                <w:noProof/>
                <w:sz w:val="14"/>
              </w:rPr>
              <w:t>(39)</w:t>
            </w:r>
            <w:r w:rsidRPr="00DB02FF">
              <w:rPr>
                <w:rFonts w:cs="Calibri"/>
                <w:sz w:val="14"/>
              </w:rPr>
              <w:fldChar w:fldCharType="end"/>
            </w:r>
          </w:p>
        </w:tc>
        <w:tc>
          <w:tcPr>
            <w:tcW w:w="2126" w:type="dxa"/>
            <w:shd w:val="clear" w:color="auto" w:fill="F2F2F2" w:themeFill="background1" w:themeFillShade="F2"/>
          </w:tcPr>
          <w:p w14:paraId="0A275492" w14:textId="77777777" w:rsidR="00EB4ED0" w:rsidRPr="00DB02FF" w:rsidRDefault="00EB4ED0" w:rsidP="007406A9">
            <w:pPr>
              <w:spacing w:after="0"/>
              <w:ind w:firstLine="0"/>
              <w:rPr>
                <w:rFonts w:cs="Calibri"/>
                <w:sz w:val="14"/>
              </w:rPr>
            </w:pPr>
            <w:r w:rsidRPr="00DB02FF">
              <w:rPr>
                <w:rFonts w:cs="Calibri"/>
                <w:color w:val="000000"/>
                <w:sz w:val="14"/>
              </w:rPr>
              <w:t>Medicare eligibility is implicitly assumed throughout most service descriptions. The vision explicitly includes people "regardless of visa status," and people not eligible for Medicare, including seasonal workers and people seeking asylum, are identified as a priority sub-group requiring specific attention.</w:t>
            </w:r>
          </w:p>
        </w:tc>
        <w:tc>
          <w:tcPr>
            <w:tcW w:w="3402" w:type="dxa"/>
            <w:shd w:val="clear" w:color="auto" w:fill="F2F2F2" w:themeFill="background1" w:themeFillShade="F2"/>
          </w:tcPr>
          <w:p w14:paraId="21E417B1" w14:textId="77777777" w:rsidR="00EB4ED0" w:rsidRPr="00DB02FF" w:rsidRDefault="00EB4ED0" w:rsidP="007406A9">
            <w:pPr>
              <w:spacing w:after="0"/>
              <w:ind w:firstLine="0"/>
              <w:rPr>
                <w:rFonts w:cs="Calibri"/>
                <w:sz w:val="14"/>
              </w:rPr>
            </w:pPr>
            <w:r w:rsidRPr="00DB02FF">
              <w:rPr>
                <w:rFonts w:cs="Calibri"/>
                <w:color w:val="000000"/>
                <w:sz w:val="14"/>
              </w:rPr>
              <w:t xml:space="preserve">Language, cultural, financial, geographic, and stigma-related barriers are acknowledged. Legal barriers are not addressed. Specific provisions for </w:t>
            </w:r>
            <w:proofErr w:type="gramStart"/>
            <w:r w:rsidRPr="00DB02FF">
              <w:rPr>
                <w:rFonts w:cs="Calibri"/>
                <w:color w:val="000000"/>
                <w:sz w:val="14"/>
              </w:rPr>
              <w:t>those ineligible</w:t>
            </w:r>
            <w:proofErr w:type="gramEnd"/>
            <w:r w:rsidRPr="00DB02FF">
              <w:rPr>
                <w:rFonts w:cs="Calibri"/>
                <w:color w:val="000000"/>
                <w:sz w:val="14"/>
              </w:rPr>
              <w:t xml:space="preserve"> for Medicare are noted in the context of humanitarian entrants with health undertakings related to hepatitis B diagnoses.</w:t>
            </w:r>
          </w:p>
        </w:tc>
        <w:tc>
          <w:tcPr>
            <w:tcW w:w="2977" w:type="dxa"/>
            <w:shd w:val="clear" w:color="auto" w:fill="F2F2F2" w:themeFill="background1" w:themeFillShade="F2"/>
          </w:tcPr>
          <w:p w14:paraId="466DB30C"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substantive. </w:t>
            </w:r>
          </w:p>
          <w:p w14:paraId="797AB3B7" w14:textId="77777777" w:rsidR="00EB4ED0" w:rsidRPr="00DB02FF" w:rsidRDefault="00EB4ED0" w:rsidP="007406A9">
            <w:pPr>
              <w:spacing w:after="0"/>
              <w:ind w:firstLine="0"/>
              <w:rPr>
                <w:rFonts w:cs="Calibri"/>
                <w:sz w:val="14"/>
              </w:rPr>
            </w:pPr>
            <w:r w:rsidRPr="00DB02FF">
              <w:rPr>
                <w:rFonts w:cs="Calibri"/>
                <w:color w:val="000000"/>
                <w:sz w:val="14"/>
              </w:rPr>
              <w:t>Co-designed and community-led culturally appropriate care and programs are a central commitment. Peer workers, cultural support workers, and community-based groups are included in designing, planning, and delivering services. Specific programs include the Community Management and Treatment program implemented by the Ethnic Communities Council of Queensland and the B Stronger Toolkit. Development of a community workforce including CALD peers and cultural support workers is a specific action.</w:t>
            </w:r>
          </w:p>
        </w:tc>
        <w:tc>
          <w:tcPr>
            <w:tcW w:w="2835" w:type="dxa"/>
            <w:shd w:val="clear" w:color="auto" w:fill="F2F2F2" w:themeFill="background1" w:themeFillShade="F2"/>
          </w:tcPr>
          <w:p w14:paraId="734D63F2" w14:textId="77777777" w:rsidR="00EB4ED0" w:rsidRPr="00DB02FF" w:rsidRDefault="00EB4ED0" w:rsidP="007406A9">
            <w:pPr>
              <w:spacing w:after="0"/>
              <w:ind w:firstLine="0"/>
              <w:rPr>
                <w:rFonts w:cs="Calibri"/>
                <w:sz w:val="14"/>
              </w:rPr>
            </w:pPr>
            <w:r w:rsidRPr="00DB02FF">
              <w:rPr>
                <w:rFonts w:cs="Calibri"/>
                <w:color w:val="000000"/>
                <w:sz w:val="14"/>
              </w:rPr>
              <w:t>Present through a dedicated alignment with human rights section. Goals include reducing the negative impact of health inequities, stigma, discrimination, and legal and human rights issues on the health of people affected by hepatitis B. No explicit reference to international human rights frameworks or conventions.</w:t>
            </w:r>
          </w:p>
        </w:tc>
        <w:tc>
          <w:tcPr>
            <w:tcW w:w="2977" w:type="dxa"/>
            <w:shd w:val="clear" w:color="auto" w:fill="F2F2F2" w:themeFill="background1" w:themeFillShade="F2"/>
          </w:tcPr>
          <w:p w14:paraId="7B002D7A"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w:t>
            </w:r>
          </w:p>
          <w:p w14:paraId="50DD972F" w14:textId="77777777" w:rsidR="00EB4ED0" w:rsidRPr="00DB02FF" w:rsidRDefault="00EB4ED0" w:rsidP="007406A9">
            <w:pPr>
              <w:spacing w:after="0"/>
              <w:ind w:firstLine="0"/>
              <w:rPr>
                <w:rFonts w:cs="Calibri"/>
                <w:sz w:val="14"/>
              </w:rPr>
            </w:pPr>
            <w:r w:rsidRPr="00DB02FF">
              <w:rPr>
                <w:rFonts w:cs="Calibri"/>
                <w:color w:val="000000"/>
                <w:sz w:val="14"/>
              </w:rPr>
              <w:t xml:space="preserve">The vision includes all people regardless of visa status, race, ethnicity, language, and socioeconomic circumstance. Health equity is a guiding principle. Disparate outcomes associated with barriers to healthcare access are </w:t>
            </w:r>
            <w:proofErr w:type="gramStart"/>
            <w:r w:rsidRPr="00DB02FF">
              <w:rPr>
                <w:rFonts w:cs="Calibri"/>
                <w:color w:val="000000"/>
                <w:sz w:val="14"/>
              </w:rPr>
              <w:t>acknowledged, and</w:t>
            </w:r>
            <w:proofErr w:type="gramEnd"/>
            <w:r w:rsidRPr="00DB02FF">
              <w:rPr>
                <w:rFonts w:cs="Calibri"/>
                <w:color w:val="000000"/>
                <w:sz w:val="14"/>
              </w:rPr>
              <w:t xml:space="preserve"> co-designed culturally appropriate care is identified as necessary to address the root causes of health inequities.</w:t>
            </w:r>
          </w:p>
        </w:tc>
      </w:tr>
      <w:tr w:rsidR="00EB4ED0" w:rsidRPr="00DB02FF" w14:paraId="1356C0F2" w14:textId="77777777" w:rsidTr="00EB4ED0">
        <w:tc>
          <w:tcPr>
            <w:tcW w:w="358" w:type="dxa"/>
            <w:vAlign w:val="center"/>
          </w:tcPr>
          <w:p w14:paraId="2320180C" w14:textId="77777777" w:rsidR="00EB4ED0" w:rsidRPr="00DB02FF" w:rsidRDefault="00EB4ED0" w:rsidP="007406A9">
            <w:pPr>
              <w:spacing w:after="0"/>
              <w:ind w:firstLine="0"/>
              <w:jc w:val="center"/>
              <w:rPr>
                <w:rFonts w:cs="Calibri"/>
                <w:sz w:val="14"/>
              </w:rPr>
            </w:pPr>
            <w:r w:rsidRPr="00DB02FF">
              <w:rPr>
                <w:rFonts w:cs="Calibri"/>
                <w:sz w:val="14"/>
              </w:rPr>
              <w:t>25</w:t>
            </w:r>
          </w:p>
        </w:tc>
        <w:tc>
          <w:tcPr>
            <w:tcW w:w="1344" w:type="dxa"/>
          </w:tcPr>
          <w:p w14:paraId="21474121" w14:textId="77777777" w:rsidR="00EB4ED0" w:rsidRPr="00DB02FF" w:rsidRDefault="00EB4ED0" w:rsidP="007406A9">
            <w:pPr>
              <w:spacing w:after="0"/>
              <w:ind w:firstLine="0"/>
              <w:rPr>
                <w:rFonts w:cs="Calibri"/>
                <w:sz w:val="14"/>
                <w:rtl/>
                <w:lang w:bidi="fa-IR"/>
              </w:rPr>
            </w:pPr>
            <w:r w:rsidRPr="00DB02FF">
              <w:rPr>
                <w:rFonts w:cs="Calibri"/>
                <w:sz w:val="14"/>
              </w:rPr>
              <w:t xml:space="preserve">Queensland Hepatitis C Plan 2030 </w:t>
            </w:r>
            <w:r w:rsidRPr="00DB02FF">
              <w:rPr>
                <w:rFonts w:cs="Calibri"/>
                <w:sz w:val="14"/>
              </w:rPr>
              <w:fldChar w:fldCharType="begin"/>
            </w:r>
            <w:r>
              <w:rPr>
                <w:rFonts w:cs="Calibri"/>
                <w:sz w:val="14"/>
              </w:rPr>
              <w:instrText xml:space="preserve"> ADDIN EN.CITE &lt;EndNote&gt;&lt;Cite&gt;&lt;Author&gt;Queensland Health Communicable Diseases Branch&lt;/Author&gt;&lt;Year&gt;2025&lt;/Year&gt;&lt;RecNum&gt;255&lt;/RecNum&gt;&lt;DisplayText&gt;(40)&lt;/DisplayText&gt;&lt;record&gt;&lt;rec-number&gt;255&lt;/rec-number&gt;&lt;foreign-keys&gt;&lt;key app="EN" db-id="rpvwsrsz7xw2rmep9ztxavrkttar9reapt9w" timestamp="1773288610"&gt;255&lt;/key&gt;&lt;/foreign-keys&gt;&lt;ref-type name="Web Page"&gt;12&lt;/ref-type&gt;&lt;contributors&gt;&lt;authors&gt;&lt;author&gt;Queensland Health Communicable Diseases Branch, &lt;/author&gt;&lt;/authors&gt;&lt;/contributors&gt;&lt;titles&gt;&lt;title&gt;Queensland Hepatitis C Plan 2030&lt;/title&gt;&lt;/titles&gt;&lt;volume&gt;2026&lt;/volume&gt;&lt;number&gt;12 March &lt;/number&gt;&lt;dates&gt;&lt;year&gt;2025&lt;/year&gt;&lt;/dates&gt;&lt;urls&gt;&lt;related-urls&gt;&lt;url&gt;https://www.health.qld.gov.au/__data/assets/pdf_file/0032/1438862/hepatitis-c-plan-2030.PDF&lt;/url&gt;&lt;/related-urls&gt;&lt;/urls&gt;&lt;/record&gt;&lt;/Cite&gt;&lt;/EndNote&gt;</w:instrText>
            </w:r>
            <w:r w:rsidRPr="00DB02FF">
              <w:rPr>
                <w:rFonts w:cs="Calibri"/>
                <w:sz w:val="14"/>
              </w:rPr>
              <w:fldChar w:fldCharType="separate"/>
            </w:r>
            <w:r>
              <w:rPr>
                <w:rFonts w:cs="Calibri"/>
                <w:noProof/>
                <w:sz w:val="14"/>
              </w:rPr>
              <w:t>(40)</w:t>
            </w:r>
            <w:r w:rsidRPr="00DB02FF">
              <w:rPr>
                <w:rFonts w:cs="Calibri"/>
                <w:sz w:val="14"/>
              </w:rPr>
              <w:fldChar w:fldCharType="end"/>
            </w:r>
          </w:p>
        </w:tc>
        <w:tc>
          <w:tcPr>
            <w:tcW w:w="2126" w:type="dxa"/>
          </w:tcPr>
          <w:p w14:paraId="459A4E61" w14:textId="77777777" w:rsidR="00EB4ED0" w:rsidRPr="00DB02FF" w:rsidRDefault="00EB4ED0" w:rsidP="007406A9">
            <w:pPr>
              <w:spacing w:after="0"/>
              <w:ind w:firstLine="0"/>
              <w:rPr>
                <w:rFonts w:cs="Calibri"/>
                <w:sz w:val="14"/>
              </w:rPr>
            </w:pPr>
            <w:r w:rsidRPr="00DB02FF">
              <w:rPr>
                <w:rFonts w:cs="Calibri"/>
                <w:color w:val="000000"/>
                <w:sz w:val="14"/>
              </w:rPr>
              <w:t>PBS eligibility for treatment is implicitly assumed. Medicare ineligibility is explicitly identified as a testing barrier requiring advocacy. Co-payment support is referenced where cost is a barrier, but full treatment costs for those without PBS eligibility are not addressed.</w:t>
            </w:r>
          </w:p>
        </w:tc>
        <w:tc>
          <w:tcPr>
            <w:tcW w:w="3402" w:type="dxa"/>
          </w:tcPr>
          <w:p w14:paraId="4BBDAC57" w14:textId="77777777" w:rsidR="00EB4ED0" w:rsidRPr="00DB02FF" w:rsidRDefault="00EB4ED0" w:rsidP="007406A9">
            <w:pPr>
              <w:spacing w:after="0"/>
              <w:ind w:firstLine="0"/>
              <w:rPr>
                <w:rFonts w:cs="Calibri"/>
                <w:sz w:val="14"/>
              </w:rPr>
            </w:pPr>
            <w:r w:rsidRPr="00DB02FF">
              <w:rPr>
                <w:rFonts w:cs="Calibri"/>
                <w:color w:val="000000"/>
                <w:sz w:val="14"/>
              </w:rPr>
              <w:t>Structural barriers including Medicare ineligibility and co-payment costs are acknowledged. Stigma and discrimination are addressed as a standalone pillar, with almost three quarters of people living with hepatitis C in Australia reported as experiencing stigma and discrimination. Geographic barriers are addressed through telehealth and remote prescribing. Cultural and linguistic barriers are addressed through targeted point-of-care testing for CALD communities that recognises overseas medical procedures as a risk factor, and a culturally responsive workforce. Social determinants including homelessness, mental health, and substance use are acknowledged. Legal barriers are not addressed.</w:t>
            </w:r>
          </w:p>
        </w:tc>
        <w:tc>
          <w:tcPr>
            <w:tcW w:w="2977" w:type="dxa"/>
          </w:tcPr>
          <w:p w14:paraId="46895BEC"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and substantive. </w:t>
            </w:r>
          </w:p>
          <w:p w14:paraId="1E98502B" w14:textId="77777777" w:rsidR="00EB4ED0" w:rsidRPr="00DB02FF" w:rsidRDefault="00EB4ED0" w:rsidP="007406A9">
            <w:pPr>
              <w:spacing w:after="0"/>
              <w:ind w:firstLine="0"/>
              <w:rPr>
                <w:rFonts w:cs="Calibri"/>
                <w:sz w:val="14"/>
              </w:rPr>
            </w:pPr>
            <w:r w:rsidRPr="00DB02FF">
              <w:rPr>
                <w:rFonts w:cs="Calibri"/>
                <w:color w:val="000000"/>
                <w:sz w:val="14"/>
              </w:rPr>
              <w:t>For CALD communities, the Ethnic Communities Council of Queensland is a funded partner, health promotion is co-designed, point-of-care testing is targeted with recognition of migration-specific risk, and data collection includes language spoken and country of birth. For First Nations communities, self-determination, ATSICCHO-delivered programs, and Indigenous data sovereignty are embedded.</w:t>
            </w:r>
          </w:p>
        </w:tc>
        <w:tc>
          <w:tcPr>
            <w:tcW w:w="2835" w:type="dxa"/>
          </w:tcPr>
          <w:p w14:paraId="54483685" w14:textId="77777777" w:rsidR="00EB4ED0" w:rsidRPr="00DB02FF" w:rsidRDefault="00EB4ED0" w:rsidP="007406A9">
            <w:pPr>
              <w:spacing w:after="0"/>
              <w:ind w:firstLine="0"/>
              <w:rPr>
                <w:rFonts w:cs="Calibri"/>
                <w:sz w:val="14"/>
              </w:rPr>
            </w:pPr>
            <w:r w:rsidRPr="00DB02FF">
              <w:rPr>
                <w:rFonts w:cs="Calibri"/>
                <w:color w:val="000000"/>
                <w:sz w:val="14"/>
              </w:rPr>
              <w:t>Present through a dedicated alignment with human rights section. Human rights are described as fundamental to the BBVSTI response in Queensland, grounded in the recognition that all people have the right to health, dignity, and an adequate standard of living.</w:t>
            </w:r>
          </w:p>
        </w:tc>
        <w:tc>
          <w:tcPr>
            <w:tcW w:w="2977" w:type="dxa"/>
          </w:tcPr>
          <w:p w14:paraId="71606F4B"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w:t>
            </w:r>
          </w:p>
          <w:p w14:paraId="1B9A8E6E" w14:textId="77777777" w:rsidR="00EB4ED0" w:rsidRPr="00DB02FF" w:rsidRDefault="00EB4ED0" w:rsidP="007406A9">
            <w:pPr>
              <w:spacing w:after="0"/>
              <w:ind w:firstLine="0"/>
              <w:rPr>
                <w:rFonts w:cs="Calibri"/>
                <w:sz w:val="14"/>
              </w:rPr>
            </w:pPr>
            <w:r w:rsidRPr="00DB02FF">
              <w:rPr>
                <w:rFonts w:cs="Calibri"/>
                <w:color w:val="000000"/>
                <w:sz w:val="14"/>
              </w:rPr>
              <w:t>Health equity is a guiding principle. The vision includes all people regardless of visa status, race, ethnicity, geographic location, and socioeconomic circumstance. Advocacy for Medicare-ineligible testing access is a specific committed action.</w:t>
            </w:r>
          </w:p>
        </w:tc>
      </w:tr>
      <w:tr w:rsidR="00EB4ED0" w:rsidRPr="00DB02FF" w14:paraId="0FA58C1F" w14:textId="77777777" w:rsidTr="00EB4ED0">
        <w:tc>
          <w:tcPr>
            <w:tcW w:w="358" w:type="dxa"/>
            <w:shd w:val="clear" w:color="auto" w:fill="F2F2F2" w:themeFill="background1" w:themeFillShade="F2"/>
            <w:vAlign w:val="center"/>
          </w:tcPr>
          <w:p w14:paraId="0234B31F" w14:textId="77777777" w:rsidR="00EB4ED0" w:rsidRPr="00DB02FF" w:rsidRDefault="00EB4ED0" w:rsidP="007406A9">
            <w:pPr>
              <w:spacing w:after="0"/>
              <w:ind w:firstLine="0"/>
              <w:jc w:val="center"/>
              <w:rPr>
                <w:rFonts w:cs="Calibri"/>
                <w:sz w:val="14"/>
              </w:rPr>
            </w:pPr>
            <w:r w:rsidRPr="00DB02FF">
              <w:rPr>
                <w:rFonts w:cs="Calibri"/>
                <w:sz w:val="14"/>
              </w:rPr>
              <w:t>26</w:t>
            </w:r>
          </w:p>
        </w:tc>
        <w:tc>
          <w:tcPr>
            <w:tcW w:w="1344" w:type="dxa"/>
            <w:shd w:val="clear" w:color="auto" w:fill="F2F2F2" w:themeFill="background1" w:themeFillShade="F2"/>
          </w:tcPr>
          <w:p w14:paraId="3AC8705F" w14:textId="77777777" w:rsidR="00EB4ED0" w:rsidRPr="00DB02FF" w:rsidRDefault="00EB4ED0" w:rsidP="007406A9">
            <w:pPr>
              <w:spacing w:after="0"/>
              <w:ind w:firstLine="0"/>
              <w:rPr>
                <w:rFonts w:cs="Calibri"/>
                <w:sz w:val="14"/>
              </w:rPr>
            </w:pPr>
            <w:r w:rsidRPr="00DB02FF">
              <w:rPr>
                <w:rFonts w:cs="Calibri"/>
                <w:sz w:val="14"/>
              </w:rPr>
              <w:t xml:space="preserve">Queensland HIV Plan 2030 </w:t>
            </w:r>
            <w:r w:rsidRPr="00DB02FF">
              <w:rPr>
                <w:rFonts w:cs="Calibri"/>
                <w:sz w:val="14"/>
              </w:rPr>
              <w:fldChar w:fldCharType="begin"/>
            </w:r>
            <w:r>
              <w:rPr>
                <w:rFonts w:cs="Calibri"/>
                <w:sz w:val="14"/>
              </w:rPr>
              <w:instrText xml:space="preserve"> ADDIN EN.CITE &lt;EndNote&gt;&lt;Cite&gt;&lt;Author&gt;Queensland Health Communicable Diseases Branch&lt;/Author&gt;&lt;Year&gt;2026&lt;/Year&gt;&lt;RecNum&gt;256&lt;/RecNum&gt;&lt;DisplayText&gt;(41)&lt;/DisplayText&gt;&lt;record&gt;&lt;rec-number&gt;256&lt;/rec-number&gt;&lt;foreign-keys&gt;&lt;key app="EN" db-id="rpvwsrsz7xw2rmep9ztxavrkttar9reapt9w" timestamp="1773288744"&gt;256&lt;/key&gt;&lt;/foreign-keys&gt;&lt;ref-type name="Web Page"&gt;12&lt;/ref-type&gt;&lt;contributors&gt;&lt;authors&gt;&lt;author&gt;Queensland Health Communicable Diseases Branch,&lt;/author&gt;&lt;/authors&gt;&lt;/contributors&gt;&lt;titles&gt;&lt;title&gt;Queensland HIV Plan 2030&lt;/title&gt;&lt;/titles&gt;&lt;volume&gt;2026&lt;/volume&gt;&lt;number&gt;12 March &lt;/number&gt;&lt;dates&gt;&lt;year&gt;2026&lt;/year&gt;&lt;/dates&gt;&lt;urls&gt;&lt;related-urls&gt;&lt;url&gt;https://www.health.qld.gov.au/__data/assets/pdf_file/0039/1382997/HIV_in_QLD_2030_Plan.pdf&lt;/url&gt;&lt;/related-urls&gt;&lt;/urls&gt;&lt;/record&gt;&lt;/Cite&gt;&lt;/EndNote&gt;</w:instrText>
            </w:r>
            <w:r w:rsidRPr="00DB02FF">
              <w:rPr>
                <w:rFonts w:cs="Calibri"/>
                <w:sz w:val="14"/>
              </w:rPr>
              <w:fldChar w:fldCharType="separate"/>
            </w:r>
            <w:r>
              <w:rPr>
                <w:rFonts w:cs="Calibri"/>
                <w:noProof/>
                <w:sz w:val="14"/>
              </w:rPr>
              <w:t>(41)</w:t>
            </w:r>
            <w:r w:rsidRPr="00DB02FF">
              <w:rPr>
                <w:rFonts w:cs="Calibri"/>
                <w:sz w:val="14"/>
              </w:rPr>
              <w:fldChar w:fldCharType="end"/>
            </w:r>
          </w:p>
        </w:tc>
        <w:tc>
          <w:tcPr>
            <w:tcW w:w="2126" w:type="dxa"/>
            <w:shd w:val="clear" w:color="auto" w:fill="F2F2F2" w:themeFill="background1" w:themeFillShade="F2"/>
          </w:tcPr>
          <w:p w14:paraId="368BCAA0" w14:textId="77777777" w:rsidR="00EB4ED0" w:rsidRPr="00DB02FF" w:rsidRDefault="00EB4ED0" w:rsidP="007406A9">
            <w:pPr>
              <w:spacing w:after="0"/>
              <w:ind w:firstLine="0"/>
              <w:rPr>
                <w:rFonts w:cs="Calibri"/>
                <w:sz w:val="14"/>
              </w:rPr>
            </w:pPr>
            <w:r w:rsidRPr="00DB02FF">
              <w:rPr>
                <w:rFonts w:cs="Calibri"/>
                <w:color w:val="000000"/>
                <w:sz w:val="14"/>
              </w:rPr>
              <w:t>Free HIV antiretroviral treatment is provided to all people living with HIV residing in Queensland. Free HIV-related treatment and care for Medicare-ineligible people has been in place since July 2023. Subsidised PrEP for Medicare-ineligible people is funded through a two-year federal programme announced in the 2024-25 budget. Specific eligibility criteria for the Medicare-ineligible programme, including residency requirements and documentation, are not detailed.</w:t>
            </w:r>
          </w:p>
        </w:tc>
        <w:tc>
          <w:tcPr>
            <w:tcW w:w="3402" w:type="dxa"/>
            <w:shd w:val="clear" w:color="auto" w:fill="F2F2F2" w:themeFill="background1" w:themeFillShade="F2"/>
          </w:tcPr>
          <w:p w14:paraId="2BE92C00" w14:textId="77777777" w:rsidR="00EB4ED0" w:rsidRPr="00DB02FF" w:rsidRDefault="00EB4ED0" w:rsidP="007406A9">
            <w:pPr>
              <w:spacing w:after="0"/>
              <w:ind w:firstLine="0"/>
              <w:rPr>
                <w:rFonts w:cs="Calibri"/>
                <w:sz w:val="14"/>
              </w:rPr>
            </w:pPr>
            <w:r w:rsidRPr="00DB02FF">
              <w:rPr>
                <w:rFonts w:cs="Calibri"/>
                <w:color w:val="000000"/>
                <w:sz w:val="14"/>
              </w:rPr>
              <w:t>Medicare ineligibility is directly addressed through free treatment programmes and emergency funding mechanisms. Financial barriers are further addressed through the HIV Emergency Treatment Fund and the Complex Client Care Fund. Stigma and discrimination are addressed as a standalone pillar with funded education modules for healthcare workers, police, and corrective services. Geographic barriers are addressed through free self-testing in regional, rural, and remote areas and expanded PrEP access. Cultural and linguistic barriers are addressed through co-designed culturally and linguistically appropriate campaigns and competent models of care. Legal barriers are addressed through advocacy for changes to legislation that may criminalise HIV status and transmission.</w:t>
            </w:r>
          </w:p>
        </w:tc>
        <w:tc>
          <w:tcPr>
            <w:tcW w:w="2977" w:type="dxa"/>
            <w:shd w:val="clear" w:color="auto" w:fill="F2F2F2" w:themeFill="background1" w:themeFillShade="F2"/>
          </w:tcPr>
          <w:p w14:paraId="2B49C79B" w14:textId="77777777" w:rsidR="00EB4ED0" w:rsidRPr="00DB02FF" w:rsidRDefault="00EB4ED0" w:rsidP="007406A9">
            <w:pPr>
              <w:spacing w:after="0"/>
              <w:ind w:firstLine="0"/>
              <w:rPr>
                <w:rFonts w:cs="Calibri"/>
                <w:color w:val="000000"/>
                <w:sz w:val="14"/>
              </w:rPr>
            </w:pPr>
            <w:r w:rsidRPr="00DB02FF">
              <w:rPr>
                <w:rFonts w:cs="Calibri"/>
                <w:color w:val="000000"/>
                <w:sz w:val="14"/>
              </w:rPr>
              <w:t>Present and substantive.</w:t>
            </w:r>
          </w:p>
          <w:p w14:paraId="487B4359" w14:textId="77777777" w:rsidR="00EB4ED0" w:rsidRPr="00DB02FF" w:rsidRDefault="00EB4ED0" w:rsidP="007406A9">
            <w:pPr>
              <w:spacing w:after="0"/>
              <w:ind w:firstLine="0"/>
              <w:rPr>
                <w:rFonts w:cs="Calibri"/>
                <w:sz w:val="14"/>
              </w:rPr>
            </w:pPr>
            <w:r w:rsidRPr="00DB02FF">
              <w:rPr>
                <w:rFonts w:cs="Calibri"/>
                <w:color w:val="000000"/>
                <w:sz w:val="14"/>
              </w:rPr>
              <w:t>Culturally competent and linguistically appropriate models for HIV prevention are a specific commitment. Campaigns are co-designed with communities. Refugee health services are identified as a priority setting. Tailored approaches for Sistergirls, Brotherboys, and trans mob are specifically named.</w:t>
            </w:r>
          </w:p>
        </w:tc>
        <w:tc>
          <w:tcPr>
            <w:tcW w:w="2835" w:type="dxa"/>
            <w:shd w:val="clear" w:color="auto" w:fill="F2F2F2" w:themeFill="background1" w:themeFillShade="F2"/>
          </w:tcPr>
          <w:p w14:paraId="3BD39675" w14:textId="77777777" w:rsidR="00EB4ED0" w:rsidRPr="00DB02FF" w:rsidRDefault="00EB4ED0" w:rsidP="007406A9">
            <w:pPr>
              <w:spacing w:after="0"/>
              <w:ind w:firstLine="0"/>
              <w:rPr>
                <w:rFonts w:cs="Calibri"/>
                <w:sz w:val="14"/>
              </w:rPr>
            </w:pPr>
            <w:r w:rsidRPr="00DB02FF">
              <w:rPr>
                <w:rFonts w:cs="Calibri"/>
                <w:color w:val="000000"/>
                <w:sz w:val="14"/>
              </w:rPr>
              <w:t>Present through a dedicated alignment with human rights section. The goal to reduce HIV-related disparities, health inequities, stigma, and discrimination is stated. Human rights are fundamental to the Queensland HIV response.</w:t>
            </w:r>
          </w:p>
        </w:tc>
        <w:tc>
          <w:tcPr>
            <w:tcW w:w="2977" w:type="dxa"/>
            <w:shd w:val="clear" w:color="auto" w:fill="F2F2F2" w:themeFill="background1" w:themeFillShade="F2"/>
          </w:tcPr>
          <w:p w14:paraId="3F3FDA46" w14:textId="77777777" w:rsidR="00EB4ED0" w:rsidRPr="00DB02FF" w:rsidRDefault="00EB4ED0" w:rsidP="007406A9">
            <w:pPr>
              <w:spacing w:after="0"/>
              <w:ind w:firstLine="0"/>
              <w:rPr>
                <w:rFonts w:cs="Calibri"/>
                <w:sz w:val="14"/>
              </w:rPr>
            </w:pPr>
            <w:r w:rsidRPr="00DB02FF">
              <w:rPr>
                <w:rFonts w:cs="Calibri"/>
                <w:color w:val="000000"/>
                <w:sz w:val="14"/>
              </w:rPr>
              <w:t xml:space="preserve">Explicit and operationalised. The vision commits to every person with HIV accessing best practice treatment and </w:t>
            </w:r>
            <w:proofErr w:type="gramStart"/>
            <w:r w:rsidRPr="00DB02FF">
              <w:rPr>
                <w:rFonts w:cs="Calibri"/>
                <w:color w:val="000000"/>
                <w:sz w:val="14"/>
              </w:rPr>
              <w:t>care free</w:t>
            </w:r>
            <w:proofErr w:type="gramEnd"/>
            <w:r w:rsidRPr="00DB02FF">
              <w:rPr>
                <w:rFonts w:cs="Calibri"/>
                <w:color w:val="000000"/>
                <w:sz w:val="14"/>
              </w:rPr>
              <w:t xml:space="preserve"> from stigma and discrimination. Medicare-ineligible people are identified as a distinct priority population with concrete programme responses rather than aspirational commitments.</w:t>
            </w:r>
          </w:p>
        </w:tc>
      </w:tr>
      <w:tr w:rsidR="00EB4ED0" w:rsidRPr="00DB02FF" w14:paraId="2C9E76BA" w14:textId="77777777" w:rsidTr="00EB4ED0">
        <w:tc>
          <w:tcPr>
            <w:tcW w:w="358" w:type="dxa"/>
            <w:vAlign w:val="center"/>
          </w:tcPr>
          <w:p w14:paraId="5CFD28D3" w14:textId="77777777" w:rsidR="00EB4ED0" w:rsidRPr="00DB02FF" w:rsidRDefault="00EB4ED0" w:rsidP="007406A9">
            <w:pPr>
              <w:spacing w:after="0"/>
              <w:ind w:firstLine="0"/>
              <w:jc w:val="center"/>
              <w:rPr>
                <w:rFonts w:cs="Calibri"/>
                <w:sz w:val="14"/>
              </w:rPr>
            </w:pPr>
            <w:r w:rsidRPr="00DB02FF">
              <w:rPr>
                <w:rFonts w:cs="Calibri"/>
                <w:sz w:val="14"/>
              </w:rPr>
              <w:lastRenderedPageBreak/>
              <w:t>27</w:t>
            </w:r>
          </w:p>
        </w:tc>
        <w:tc>
          <w:tcPr>
            <w:tcW w:w="1344" w:type="dxa"/>
          </w:tcPr>
          <w:p w14:paraId="7713FCE4" w14:textId="77777777" w:rsidR="00EB4ED0" w:rsidRPr="00DB02FF" w:rsidRDefault="00EB4ED0" w:rsidP="007406A9">
            <w:pPr>
              <w:spacing w:after="0"/>
              <w:ind w:firstLine="0"/>
              <w:rPr>
                <w:rFonts w:cs="Calibri"/>
                <w:sz w:val="14"/>
              </w:rPr>
            </w:pPr>
            <w:r w:rsidRPr="00DB02FF">
              <w:rPr>
                <w:rFonts w:cs="Calibri"/>
                <w:sz w:val="14"/>
              </w:rPr>
              <w:t xml:space="preserve">Queensland STI Plan 2030 </w:t>
            </w:r>
            <w:r w:rsidRPr="00DB02FF">
              <w:rPr>
                <w:rFonts w:cs="Calibri"/>
                <w:sz w:val="14"/>
              </w:rPr>
              <w:fldChar w:fldCharType="begin"/>
            </w:r>
            <w:r>
              <w:rPr>
                <w:rFonts w:cs="Calibri"/>
                <w:sz w:val="14"/>
              </w:rPr>
              <w:instrText xml:space="preserve"> ADDIN EN.CITE &lt;EndNote&gt;&lt;Cite&gt;&lt;Author&gt;Queensland Health Communicable Diseases Branch&lt;/Author&gt;&lt;Year&gt;2026&lt;/Year&gt;&lt;RecNum&gt;257&lt;/RecNum&gt;&lt;DisplayText&gt;(42)&lt;/DisplayText&gt;&lt;record&gt;&lt;rec-number&gt;257&lt;/rec-number&gt;&lt;foreign-keys&gt;&lt;key app="EN" db-id="rpvwsrsz7xw2rmep9ztxavrkttar9reapt9w" timestamp="1773288850"&gt;257&lt;/key&gt;&lt;/foreign-keys&gt;&lt;ref-type name="Web Page"&gt;12&lt;/ref-type&gt;&lt;contributors&gt;&lt;authors&gt;&lt;author&gt;Queensland Health Communicable Diseases Branch, &lt;/author&gt;&lt;/authors&gt;&lt;/contributors&gt;&lt;titles&gt;&lt;title&gt;Queensland STI Plan 2030&lt;/title&gt;&lt;/titles&gt;&lt;volume&gt;2026&lt;/volume&gt;&lt;number&gt;12 March &lt;/number&gt;&lt;dates&gt;&lt;year&gt;2026&lt;/year&gt;&lt;/dates&gt;&lt;urls&gt;&lt;related-urls&gt;&lt;url&gt;https://www.health.qld.gov.au/__data/assets/pdf_file/0030/1453971/queensland-sti-plan-2030.PDF&lt;/url&gt;&lt;/related-urls&gt;&lt;/urls&gt;&lt;/record&gt;&lt;/Cite&gt;&lt;/EndNote&gt;</w:instrText>
            </w:r>
            <w:r w:rsidRPr="00DB02FF">
              <w:rPr>
                <w:rFonts w:cs="Calibri"/>
                <w:sz w:val="14"/>
              </w:rPr>
              <w:fldChar w:fldCharType="separate"/>
            </w:r>
            <w:r>
              <w:rPr>
                <w:rFonts w:cs="Calibri"/>
                <w:noProof/>
                <w:sz w:val="14"/>
              </w:rPr>
              <w:t>(42)</w:t>
            </w:r>
            <w:r w:rsidRPr="00DB02FF">
              <w:rPr>
                <w:rFonts w:cs="Calibri"/>
                <w:sz w:val="14"/>
              </w:rPr>
              <w:fldChar w:fldCharType="end"/>
            </w:r>
          </w:p>
        </w:tc>
        <w:tc>
          <w:tcPr>
            <w:tcW w:w="2126" w:type="dxa"/>
          </w:tcPr>
          <w:p w14:paraId="54D9B9A7"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Partially addressed. </w:t>
            </w:r>
          </w:p>
          <w:p w14:paraId="3FB41B34" w14:textId="77777777" w:rsidR="00EB4ED0" w:rsidRPr="00DB02FF" w:rsidRDefault="00EB4ED0" w:rsidP="007406A9">
            <w:pPr>
              <w:spacing w:after="0"/>
              <w:ind w:firstLine="0"/>
              <w:rPr>
                <w:rFonts w:cs="Calibri"/>
                <w:sz w:val="14"/>
              </w:rPr>
            </w:pPr>
            <w:r w:rsidRPr="00DB02FF">
              <w:rPr>
                <w:rFonts w:cs="Calibri"/>
                <w:color w:val="000000"/>
                <w:sz w:val="14"/>
              </w:rPr>
              <w:t xml:space="preserve">Free STI testing at public sexual health services is provided for </w:t>
            </w:r>
            <w:proofErr w:type="gramStart"/>
            <w:r w:rsidRPr="00DB02FF">
              <w:rPr>
                <w:rFonts w:cs="Calibri"/>
                <w:color w:val="000000"/>
                <w:sz w:val="14"/>
              </w:rPr>
              <w:t>those ineligible</w:t>
            </w:r>
            <w:proofErr w:type="gramEnd"/>
            <w:r w:rsidRPr="00DB02FF">
              <w:rPr>
                <w:rFonts w:cs="Calibri"/>
                <w:color w:val="000000"/>
                <w:sz w:val="14"/>
              </w:rPr>
              <w:t xml:space="preserve"> for Medicare. Medicare-ineligible people are listed as a priority population. Treatment costs for Medicare-ineligible people are not addressed beyond the First Nations STI drug replacement programme.</w:t>
            </w:r>
          </w:p>
        </w:tc>
        <w:tc>
          <w:tcPr>
            <w:tcW w:w="3402" w:type="dxa"/>
          </w:tcPr>
          <w:p w14:paraId="7B846411" w14:textId="77777777" w:rsidR="00EB4ED0" w:rsidRPr="00DB02FF" w:rsidRDefault="00EB4ED0" w:rsidP="007406A9">
            <w:pPr>
              <w:spacing w:after="0"/>
              <w:ind w:firstLine="0"/>
              <w:rPr>
                <w:rFonts w:cs="Calibri"/>
                <w:sz w:val="14"/>
              </w:rPr>
            </w:pPr>
            <w:r w:rsidRPr="00DB02FF">
              <w:rPr>
                <w:rFonts w:cs="Calibri"/>
                <w:color w:val="000000"/>
                <w:sz w:val="14"/>
              </w:rPr>
              <w:t>Medicare ineligibility for testing is directly addressed through free public sexual health services. Privacy is addressed through use of preferred or alternative names. Stigma and discrimination, including negative treatment from health workers, are addressed as a standalone pillar. Geographic barriers are addressed through nurse-led and telehealth models for rural, regional, and remote settings. Cultural and linguistic barriers are addressed through culturally appropriate campaigns, qualified interpreters in health service settings, and culturally safe workforce training. Legal and regulatory barriers are addressed through advocacy for removal of policy barriers to nurse-led models, and decriminalisation of sex work was achieved in August 2024.</w:t>
            </w:r>
          </w:p>
        </w:tc>
        <w:tc>
          <w:tcPr>
            <w:tcW w:w="2977" w:type="dxa"/>
          </w:tcPr>
          <w:p w14:paraId="20FFD9A3" w14:textId="77777777" w:rsidR="00EB4ED0" w:rsidRPr="00DB02FF" w:rsidRDefault="00EB4ED0" w:rsidP="007406A9">
            <w:pPr>
              <w:spacing w:after="0"/>
              <w:ind w:firstLine="0"/>
              <w:rPr>
                <w:rFonts w:cs="Calibri"/>
                <w:color w:val="000000"/>
                <w:sz w:val="14"/>
              </w:rPr>
            </w:pPr>
            <w:r w:rsidRPr="00DB02FF">
              <w:rPr>
                <w:rFonts w:cs="Calibri"/>
                <w:color w:val="000000"/>
                <w:sz w:val="14"/>
              </w:rPr>
              <w:t>Present and substantive.</w:t>
            </w:r>
          </w:p>
          <w:p w14:paraId="124D06A1" w14:textId="77777777" w:rsidR="00EB4ED0" w:rsidRPr="00DB02FF" w:rsidRDefault="00EB4ED0" w:rsidP="007406A9">
            <w:pPr>
              <w:spacing w:after="0"/>
              <w:ind w:firstLine="0"/>
              <w:rPr>
                <w:rFonts w:cs="Calibri"/>
                <w:sz w:val="14"/>
              </w:rPr>
            </w:pPr>
            <w:r w:rsidRPr="00DB02FF">
              <w:rPr>
                <w:rFonts w:cs="Calibri"/>
                <w:color w:val="000000"/>
                <w:sz w:val="14"/>
              </w:rPr>
              <w:t>First Nations communities are engaged through culturally appropriate messaging, ATSICCHO partnerships, First Nations health representatives in decision-making, and Women's Business and Men's Business messaging. CALD communities are served through culturally and linguistically appropriate campaigns, interpreter access, refugee health services as a priority setting, and culturally safe workforce training. Sistergirls, Brotherboys, and trans mob are specifically named with data collection commitments.</w:t>
            </w:r>
          </w:p>
        </w:tc>
        <w:tc>
          <w:tcPr>
            <w:tcW w:w="2835" w:type="dxa"/>
          </w:tcPr>
          <w:p w14:paraId="3003FBBF" w14:textId="77777777" w:rsidR="00EB4ED0" w:rsidRPr="00DB02FF" w:rsidRDefault="00EB4ED0" w:rsidP="007406A9">
            <w:pPr>
              <w:spacing w:after="0"/>
              <w:ind w:firstLine="0"/>
              <w:rPr>
                <w:rFonts w:cs="Calibri"/>
                <w:sz w:val="14"/>
              </w:rPr>
            </w:pPr>
            <w:r w:rsidRPr="00DB02FF">
              <w:rPr>
                <w:rFonts w:cs="Calibri"/>
                <w:color w:val="000000"/>
                <w:sz w:val="14"/>
              </w:rPr>
              <w:t>Present through a dedicated alignment with human rights section consistent with other Queensland BBVSTI plans. Human rights is a stated guiding principle.</w:t>
            </w:r>
          </w:p>
        </w:tc>
        <w:tc>
          <w:tcPr>
            <w:tcW w:w="2977" w:type="dxa"/>
          </w:tcPr>
          <w:p w14:paraId="23DD9D23"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w:t>
            </w:r>
          </w:p>
          <w:p w14:paraId="07E21DE3" w14:textId="77777777" w:rsidR="00EB4ED0" w:rsidRPr="00DB02FF" w:rsidRDefault="00EB4ED0" w:rsidP="007406A9">
            <w:pPr>
              <w:spacing w:after="0"/>
              <w:ind w:firstLine="0"/>
              <w:rPr>
                <w:rFonts w:cs="Calibri"/>
                <w:color w:val="000000"/>
                <w:sz w:val="14"/>
              </w:rPr>
            </w:pPr>
            <w:r w:rsidRPr="00DB02FF">
              <w:rPr>
                <w:rFonts w:cs="Calibri"/>
                <w:color w:val="000000"/>
                <w:sz w:val="14"/>
              </w:rPr>
              <w:t>Health equity is a guiding principle. The goal to reduce STI and sexual health-related disparities, health inequities, stigma, and discrimination is stated. Free testing for Medicare-ineligible people operationalises equity beyond aspirational language.</w:t>
            </w:r>
          </w:p>
          <w:p w14:paraId="08A13C99" w14:textId="77777777" w:rsidR="00EB4ED0" w:rsidRPr="00DB02FF" w:rsidRDefault="00EB4ED0" w:rsidP="007406A9">
            <w:pPr>
              <w:spacing w:after="0"/>
              <w:ind w:firstLine="0"/>
              <w:rPr>
                <w:rFonts w:cs="Calibri"/>
                <w:sz w:val="14"/>
              </w:rPr>
            </w:pPr>
          </w:p>
        </w:tc>
      </w:tr>
      <w:tr w:rsidR="00EB4ED0" w:rsidRPr="00DB02FF" w14:paraId="4C83BD30" w14:textId="77777777" w:rsidTr="00EB4ED0">
        <w:tc>
          <w:tcPr>
            <w:tcW w:w="358" w:type="dxa"/>
            <w:shd w:val="clear" w:color="auto" w:fill="F2F2F2" w:themeFill="background1" w:themeFillShade="F2"/>
            <w:vAlign w:val="center"/>
          </w:tcPr>
          <w:p w14:paraId="563D7970" w14:textId="77777777" w:rsidR="00EB4ED0" w:rsidRPr="00DB02FF" w:rsidRDefault="00EB4ED0" w:rsidP="007406A9">
            <w:pPr>
              <w:spacing w:after="0"/>
              <w:ind w:firstLine="0"/>
              <w:jc w:val="center"/>
              <w:rPr>
                <w:rFonts w:cs="Calibri"/>
                <w:sz w:val="14"/>
              </w:rPr>
            </w:pPr>
            <w:r w:rsidRPr="00DB02FF">
              <w:rPr>
                <w:rFonts w:cs="Calibri"/>
                <w:sz w:val="14"/>
              </w:rPr>
              <w:t>28</w:t>
            </w:r>
          </w:p>
        </w:tc>
        <w:tc>
          <w:tcPr>
            <w:tcW w:w="1344" w:type="dxa"/>
            <w:shd w:val="clear" w:color="auto" w:fill="F2F2F2" w:themeFill="background1" w:themeFillShade="F2"/>
          </w:tcPr>
          <w:p w14:paraId="0F689C8D" w14:textId="77777777" w:rsidR="00EB4ED0" w:rsidRPr="00DB02FF" w:rsidRDefault="00EB4ED0" w:rsidP="007406A9">
            <w:pPr>
              <w:spacing w:after="0"/>
              <w:ind w:firstLine="0"/>
              <w:rPr>
                <w:rFonts w:cs="Calibri"/>
                <w:sz w:val="14"/>
              </w:rPr>
            </w:pPr>
            <w:r w:rsidRPr="00DB02FF">
              <w:rPr>
                <w:rFonts w:cs="Calibri"/>
                <w:sz w:val="14"/>
              </w:rPr>
              <w:t xml:space="preserve">South Australian Sexual Health Services Review: Department for Health and Wellbeing Response </w:t>
            </w:r>
            <w:r w:rsidRPr="00DB02FF">
              <w:rPr>
                <w:rFonts w:cs="Calibri"/>
                <w:sz w:val="14"/>
              </w:rPr>
              <w:fldChar w:fldCharType="begin"/>
            </w:r>
            <w:r>
              <w:rPr>
                <w:rFonts w:cs="Calibri"/>
                <w:sz w:val="14"/>
              </w:rPr>
              <w:instrText xml:space="preserve"> ADDIN EN.CITE &lt;EndNote&gt;&lt;Cite&gt;&lt;Author&gt;Communicable Disease Control Branch SA Health&lt;/Author&gt;&lt;Year&gt;2024&lt;/Year&gt;&lt;RecNum&gt;247&lt;/RecNum&gt;&lt;DisplayText&gt;(47)&lt;/DisplayText&gt;&lt;record&gt;&lt;rec-number&gt;247&lt;/rec-number&gt;&lt;foreign-keys&gt;&lt;key app="EN" db-id="rpvwsrsz7xw2rmep9ztxavrkttar9reapt9w" timestamp="1773285190"&gt;247&lt;/key&gt;&lt;/foreign-keys&gt;&lt;ref-type name="Web Page"&gt;12&lt;/ref-type&gt;&lt;contributors&gt;&lt;authors&gt;&lt;author&gt;Communicable Disease Control Branch SA Health, &lt;/author&gt;&lt;/authors&gt;&lt;/contributors&gt;&lt;titles&gt;&lt;title&gt;South Australian Sexual Health Services Review: Department for Health and Wellbeing Response &lt;/title&gt;&lt;/titles&gt;&lt;volume&gt;2026&lt;/volume&gt;&lt;number&gt;12 March&lt;/number&gt;&lt;dates&gt;&lt;year&gt;2024&lt;/year&gt;&lt;/dates&gt;&lt;urls&gt;&lt;related-urls&gt;&lt;url&gt;https://www.sahealth.sa.gov.au/wps/wcm/connect/41429a57-db23-453b-b849-9c4409484fe6/Department+for+Health+and+Wellbeing+Response+to+the+SA+Sexual+Health+Services+Review+1.1.pdf?MOD=AJPERES&amp;amp;CACHEID=ROOTWORKSPACE-41429a57-db23-453b-b849-9c4409484fe6-pA7W21v&lt;/url&gt;&lt;/related-urls&gt;&lt;/urls&gt;&lt;/record&gt;&lt;/Cite&gt;&lt;/EndNote&gt;</w:instrText>
            </w:r>
            <w:r w:rsidRPr="00DB02FF">
              <w:rPr>
                <w:rFonts w:cs="Calibri"/>
                <w:sz w:val="14"/>
              </w:rPr>
              <w:fldChar w:fldCharType="separate"/>
            </w:r>
            <w:r>
              <w:rPr>
                <w:rFonts w:cs="Calibri"/>
                <w:noProof/>
                <w:sz w:val="14"/>
              </w:rPr>
              <w:t>(47)</w:t>
            </w:r>
            <w:r w:rsidRPr="00DB02FF">
              <w:rPr>
                <w:rFonts w:cs="Calibri"/>
                <w:sz w:val="14"/>
              </w:rPr>
              <w:fldChar w:fldCharType="end"/>
            </w:r>
          </w:p>
        </w:tc>
        <w:tc>
          <w:tcPr>
            <w:tcW w:w="2126" w:type="dxa"/>
            <w:shd w:val="clear" w:color="auto" w:fill="F2F2F2" w:themeFill="background1" w:themeFillShade="F2"/>
          </w:tcPr>
          <w:p w14:paraId="3B4A7F0D" w14:textId="77777777" w:rsidR="00EB4ED0" w:rsidRPr="00DB02FF" w:rsidRDefault="00EB4ED0" w:rsidP="007406A9">
            <w:pPr>
              <w:spacing w:after="0"/>
              <w:ind w:firstLine="0"/>
              <w:rPr>
                <w:rFonts w:cs="Calibri"/>
                <w:sz w:val="14"/>
              </w:rPr>
            </w:pPr>
            <w:r w:rsidRPr="00DB02FF">
              <w:rPr>
                <w:rFonts w:cs="Calibri"/>
                <w:color w:val="000000"/>
                <w:sz w:val="14"/>
              </w:rPr>
              <w:t>Medicare eligibility is implied throughout through references to Medicare billing, bulk billing, and MBS items. One explicit mention identifies people ineligible for Medicare and/or with unstable visa arrangements as a distinct group. Online testing without a Medicare card in Queensland is noted as an example of awareness of the issue. No systematic eligibility criteria for services are stated.</w:t>
            </w:r>
          </w:p>
        </w:tc>
        <w:tc>
          <w:tcPr>
            <w:tcW w:w="3402" w:type="dxa"/>
            <w:shd w:val="clear" w:color="auto" w:fill="F2F2F2" w:themeFill="background1" w:themeFillShade="F2"/>
          </w:tcPr>
          <w:p w14:paraId="33F8E78C" w14:textId="77777777" w:rsidR="00EB4ED0" w:rsidRPr="00DB02FF" w:rsidRDefault="00EB4ED0" w:rsidP="007406A9">
            <w:pPr>
              <w:spacing w:after="0"/>
              <w:ind w:firstLine="0"/>
              <w:rPr>
                <w:rFonts w:cs="Calibri"/>
                <w:sz w:val="14"/>
              </w:rPr>
            </w:pPr>
            <w:r w:rsidRPr="00DB02FF">
              <w:rPr>
                <w:rFonts w:cs="Calibri"/>
                <w:color w:val="000000"/>
                <w:sz w:val="14"/>
              </w:rPr>
              <w:t>Language and cultural barriers are acknowledged through reference to CALD populations and culturally safe approaches. Financial barriers receive substantive attention through out-of-pocket costs, challenges across Medicare-funded health services, and the impact of declining bulk billing on access. Legal barriers are minimally addressed through a single reference to people ineligible for Medicare and/or with unstable visa arrangements. Geographic barriers are addressed through recognition of gaps in publicly funded sexual health services outside the Central Adelaide Local Health Network region.</w:t>
            </w:r>
          </w:p>
        </w:tc>
        <w:tc>
          <w:tcPr>
            <w:tcW w:w="2977" w:type="dxa"/>
            <w:shd w:val="clear" w:color="auto" w:fill="F2F2F2" w:themeFill="background1" w:themeFillShade="F2"/>
          </w:tcPr>
          <w:p w14:paraId="6ED7A6D2" w14:textId="77777777" w:rsidR="00EB4ED0" w:rsidRPr="00DB02FF" w:rsidRDefault="00EB4ED0" w:rsidP="007406A9">
            <w:pPr>
              <w:spacing w:after="0"/>
              <w:ind w:firstLine="0"/>
              <w:rPr>
                <w:rFonts w:cs="Calibri"/>
                <w:sz w:val="14"/>
              </w:rPr>
            </w:pPr>
            <w:r w:rsidRPr="00DB02FF">
              <w:rPr>
                <w:rFonts w:cs="Calibri"/>
                <w:color w:val="000000"/>
                <w:sz w:val="14"/>
              </w:rPr>
              <w:t>Present but primarily for Aboriginal populations. PEACE Multicultural Services and the Centre for Culture, Ethnicity and Health's Multicultural Health and Support Service are named. No specific cultural responsiveness strategies for CALD populations in sexual health services are described.</w:t>
            </w:r>
          </w:p>
        </w:tc>
        <w:tc>
          <w:tcPr>
            <w:tcW w:w="2835" w:type="dxa"/>
            <w:shd w:val="clear" w:color="auto" w:fill="F2F2F2" w:themeFill="background1" w:themeFillShade="F2"/>
          </w:tcPr>
          <w:p w14:paraId="6227B2A2"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Implicit. </w:t>
            </w:r>
          </w:p>
          <w:p w14:paraId="27FCE3DE" w14:textId="77777777" w:rsidR="00EB4ED0" w:rsidRPr="00DB02FF" w:rsidRDefault="00EB4ED0" w:rsidP="007406A9">
            <w:pPr>
              <w:spacing w:after="0"/>
              <w:ind w:firstLine="0"/>
              <w:rPr>
                <w:rFonts w:cs="Calibri"/>
                <w:sz w:val="14"/>
              </w:rPr>
            </w:pPr>
            <w:r w:rsidRPr="00DB02FF">
              <w:rPr>
                <w:rFonts w:cs="Calibri"/>
                <w:color w:val="000000"/>
                <w:sz w:val="14"/>
              </w:rPr>
              <w:t>Eliminating the negative impact of stigma, discrimination, and legal and human rights issues is a stated goal. No explicit reference to international human rights frameworks.</w:t>
            </w:r>
          </w:p>
        </w:tc>
        <w:tc>
          <w:tcPr>
            <w:tcW w:w="2977" w:type="dxa"/>
            <w:shd w:val="clear" w:color="auto" w:fill="F2F2F2" w:themeFill="background1" w:themeFillShade="F2"/>
          </w:tcPr>
          <w:p w14:paraId="2BBE8E85"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w:t>
            </w:r>
          </w:p>
          <w:p w14:paraId="486E5A1C" w14:textId="77777777" w:rsidR="00EB4ED0" w:rsidRPr="00DB02FF" w:rsidRDefault="00EB4ED0" w:rsidP="007406A9">
            <w:pPr>
              <w:spacing w:after="0"/>
              <w:ind w:firstLine="0"/>
              <w:rPr>
                <w:rFonts w:cs="Calibri"/>
                <w:sz w:val="14"/>
              </w:rPr>
            </w:pPr>
            <w:r w:rsidRPr="00DB02FF">
              <w:rPr>
                <w:rFonts w:cs="Calibri"/>
                <w:color w:val="000000"/>
                <w:sz w:val="14"/>
              </w:rPr>
              <w:t>Health inequity is described as requiring urgent address. A dedicated equity shift targets geographical and other forms of inequity in access to sexual health care. Equity is not specifically operationalised in relation to visa status or Medicare ineligibility.</w:t>
            </w:r>
          </w:p>
        </w:tc>
      </w:tr>
      <w:tr w:rsidR="00EB4ED0" w:rsidRPr="00DB02FF" w14:paraId="1D09DFE4" w14:textId="77777777" w:rsidTr="00EB4ED0">
        <w:tc>
          <w:tcPr>
            <w:tcW w:w="358" w:type="dxa"/>
            <w:vAlign w:val="center"/>
          </w:tcPr>
          <w:p w14:paraId="74FDAC2E" w14:textId="77777777" w:rsidR="00EB4ED0" w:rsidRPr="00DB02FF" w:rsidRDefault="00EB4ED0" w:rsidP="007406A9">
            <w:pPr>
              <w:spacing w:after="0"/>
              <w:ind w:firstLine="0"/>
              <w:jc w:val="center"/>
              <w:rPr>
                <w:rFonts w:cs="Calibri"/>
                <w:sz w:val="14"/>
              </w:rPr>
            </w:pPr>
            <w:r w:rsidRPr="00DB02FF">
              <w:rPr>
                <w:rFonts w:cs="Calibri"/>
                <w:sz w:val="14"/>
              </w:rPr>
              <w:t>29</w:t>
            </w:r>
          </w:p>
        </w:tc>
        <w:tc>
          <w:tcPr>
            <w:tcW w:w="1344" w:type="dxa"/>
          </w:tcPr>
          <w:p w14:paraId="42C3676F" w14:textId="77777777" w:rsidR="00EB4ED0" w:rsidRPr="00DB02FF" w:rsidRDefault="00EB4ED0" w:rsidP="007406A9">
            <w:pPr>
              <w:spacing w:after="0"/>
              <w:ind w:firstLine="0"/>
              <w:rPr>
                <w:rFonts w:cs="Calibri"/>
                <w:sz w:val="14"/>
              </w:rPr>
            </w:pPr>
            <w:r w:rsidRPr="00DB02FF">
              <w:rPr>
                <w:rFonts w:cs="Calibri"/>
                <w:sz w:val="14"/>
              </w:rPr>
              <w:t xml:space="preserve">South Australian HIV Strategy 2025-2030 </w:t>
            </w:r>
            <w:r w:rsidRPr="00DB02FF">
              <w:rPr>
                <w:rFonts w:cs="Calibri"/>
                <w:sz w:val="14"/>
              </w:rPr>
              <w:fldChar w:fldCharType="begin"/>
            </w:r>
            <w:r>
              <w:rPr>
                <w:rFonts w:cs="Calibri"/>
                <w:sz w:val="14"/>
              </w:rPr>
              <w:instrText xml:space="preserve"> ADDIN EN.CITE &lt;EndNote&gt;&lt;Cite&gt;&lt;Author&gt;SA Health (Department for Health and Wellbeing) Government of South Australia&lt;/Author&gt;&lt;Year&gt;2025&lt;/Year&gt;&lt;RecNum&gt;259&lt;/RecNum&gt;&lt;DisplayText&gt;(46)&lt;/DisplayText&gt;&lt;record&gt;&lt;rec-number&gt;259&lt;/rec-number&gt;&lt;foreign-keys&gt;&lt;key app="EN" db-id="rpvwsrsz7xw2rmep9ztxavrkttar9reapt9w" timestamp="1773289677"&gt;259&lt;/key&gt;&lt;/foreign-keys&gt;&lt;ref-type name="Web Page"&gt;12&lt;/ref-type&gt;&lt;contributors&gt;&lt;authors&gt;&lt;author&gt;SA Health (Department for Health and Wellbeing) Government of South Australia,&lt;/author&gt;&lt;/authors&gt;&lt;/contributors&gt;&lt;titles&gt;&lt;title&gt;South Australian HIV Strategy 2025-2030&lt;/title&gt;&lt;/titles&gt;&lt;volume&gt;2026&lt;/volume&gt;&lt;number&gt;12 March &lt;/number&gt;&lt;dates&gt;&lt;year&gt;2025&lt;/year&gt;&lt;/dates&gt;&lt;urls&gt;&lt;related-urls&gt;&lt;url&gt;https://www.sahealth.sa.gov.au/wps/wcm/connect/3f4063a5-ea4a-41c2-84f1-8178e981ee85/25085+HIV+Strategy+2025-final.pdf?MOD=AJPERES&amp;amp;CACHEID=ROOTWORKSPACE-3f4063a5-ea4a-41c2-84f1-8178e981ee85-pBb1cgQ&lt;/url&gt;&lt;/related-urls&gt;&lt;/urls&gt;&lt;/record&gt;&lt;/Cite&gt;&lt;/EndNote&gt;</w:instrText>
            </w:r>
            <w:r w:rsidRPr="00DB02FF">
              <w:rPr>
                <w:rFonts w:cs="Calibri"/>
                <w:sz w:val="14"/>
              </w:rPr>
              <w:fldChar w:fldCharType="separate"/>
            </w:r>
            <w:r>
              <w:rPr>
                <w:rFonts w:cs="Calibri"/>
                <w:noProof/>
                <w:sz w:val="14"/>
              </w:rPr>
              <w:t>(46)</w:t>
            </w:r>
            <w:r w:rsidRPr="00DB02FF">
              <w:rPr>
                <w:rFonts w:cs="Calibri"/>
                <w:sz w:val="14"/>
              </w:rPr>
              <w:fldChar w:fldCharType="end"/>
            </w:r>
          </w:p>
        </w:tc>
        <w:tc>
          <w:tcPr>
            <w:tcW w:w="2126" w:type="dxa"/>
          </w:tcPr>
          <w:p w14:paraId="5D63D794" w14:textId="77777777" w:rsidR="00EB4ED0" w:rsidRPr="00DB02FF" w:rsidRDefault="00EB4ED0" w:rsidP="007406A9">
            <w:pPr>
              <w:spacing w:after="0"/>
              <w:ind w:firstLine="0"/>
              <w:rPr>
                <w:rFonts w:cs="Calibri"/>
                <w:sz w:val="14"/>
              </w:rPr>
            </w:pPr>
            <w:r w:rsidRPr="00DB02FF">
              <w:rPr>
                <w:rFonts w:cs="Calibri"/>
                <w:color w:val="000000"/>
                <w:sz w:val="14"/>
              </w:rPr>
              <w:t xml:space="preserve">Medicare eligibility functions as a de facto access criterion that the strategy seeks to address but has not yet resolved. People who are Medicare-ineligible are named as a priority subgroup, and a specific action commits to investigating and implementing solutions to enhance accessibility and affordability of PrEP for </w:t>
            </w:r>
            <w:proofErr w:type="gramStart"/>
            <w:r w:rsidRPr="00DB02FF">
              <w:rPr>
                <w:rFonts w:cs="Calibri"/>
                <w:color w:val="000000"/>
                <w:sz w:val="14"/>
              </w:rPr>
              <w:t>those ineligible</w:t>
            </w:r>
            <w:proofErr w:type="gramEnd"/>
            <w:r w:rsidRPr="00DB02FF">
              <w:rPr>
                <w:rFonts w:cs="Calibri"/>
                <w:color w:val="000000"/>
                <w:sz w:val="14"/>
              </w:rPr>
              <w:t xml:space="preserve"> for Medicare. PBS-subsidised PrEP requires Medicare eligibility, which is unavailable to most temporary visa holders.</w:t>
            </w:r>
          </w:p>
        </w:tc>
        <w:tc>
          <w:tcPr>
            <w:tcW w:w="3402" w:type="dxa"/>
          </w:tcPr>
          <w:p w14:paraId="5A5222D4"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promotion of bilingual and bicultural workforce and interpreter services. Cultural barriers are addressed through community-led, culturally and linguistically appropriate, and gender-sensitive education programs, and culturally safe models of care for CALD populations and people born overseas. Financial barriers are addressed through actions to investigate solutions for Medicare-ineligible people and to reduce barriers to treatment affordability. Legal and immigration barriers are addressed through a commitment to explore real and perceived immigration issues affecting engagement with prevention, testing, and treatment, and through an explicit commitment to protect the human rights of priority populations regardless of residency status. Geographic barriers are addressed through priority settings in regional, rural, remote, and outer suburban areas.</w:t>
            </w:r>
          </w:p>
        </w:tc>
        <w:tc>
          <w:tcPr>
            <w:tcW w:w="2977" w:type="dxa"/>
          </w:tcPr>
          <w:p w14:paraId="1C0F0598" w14:textId="77777777" w:rsidR="00EB4ED0" w:rsidRPr="00DB02FF" w:rsidRDefault="00EB4ED0" w:rsidP="007406A9">
            <w:pPr>
              <w:spacing w:after="0"/>
              <w:ind w:firstLine="0"/>
              <w:rPr>
                <w:rFonts w:cs="Calibri"/>
                <w:color w:val="000000"/>
                <w:sz w:val="14"/>
              </w:rPr>
            </w:pPr>
            <w:r w:rsidRPr="00DB02FF">
              <w:rPr>
                <w:rFonts w:cs="Calibri"/>
                <w:color w:val="000000"/>
                <w:sz w:val="14"/>
              </w:rPr>
              <w:t>Present and substantive.</w:t>
            </w:r>
          </w:p>
          <w:p w14:paraId="07566540" w14:textId="77777777" w:rsidR="00EB4ED0" w:rsidRPr="00DB02FF" w:rsidRDefault="00EB4ED0" w:rsidP="007406A9">
            <w:pPr>
              <w:spacing w:after="0"/>
              <w:ind w:firstLine="0"/>
              <w:rPr>
                <w:rFonts w:cs="Calibri"/>
                <w:sz w:val="14"/>
              </w:rPr>
            </w:pPr>
            <w:r w:rsidRPr="00DB02FF">
              <w:rPr>
                <w:rFonts w:cs="Calibri"/>
                <w:color w:val="000000"/>
                <w:sz w:val="14"/>
              </w:rPr>
              <w:t xml:space="preserve">HIV models of care are to be equitably accessible, affordable, culturally safe, and </w:t>
            </w:r>
            <w:proofErr w:type="gramStart"/>
            <w:r w:rsidRPr="00DB02FF">
              <w:rPr>
                <w:rFonts w:cs="Calibri"/>
                <w:color w:val="000000"/>
                <w:sz w:val="14"/>
              </w:rPr>
              <w:t>gender-sensitive</w:t>
            </w:r>
            <w:proofErr w:type="gramEnd"/>
            <w:r w:rsidRPr="00DB02FF">
              <w:rPr>
                <w:rFonts w:cs="Calibri"/>
                <w:color w:val="000000"/>
                <w:sz w:val="14"/>
              </w:rPr>
              <w:t>. Multicultural BBV and STI services and migrant and refugee health services are named as priority settings. Bilingual and bicultural workforce and interpreters are promoted to address communication barriers.</w:t>
            </w:r>
          </w:p>
        </w:tc>
        <w:tc>
          <w:tcPr>
            <w:tcW w:w="2835" w:type="dxa"/>
          </w:tcPr>
          <w:p w14:paraId="1876F13D"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Present. </w:t>
            </w:r>
          </w:p>
          <w:p w14:paraId="2611725A" w14:textId="77777777" w:rsidR="00EB4ED0" w:rsidRPr="00DB02FF" w:rsidRDefault="00EB4ED0" w:rsidP="007406A9">
            <w:pPr>
              <w:spacing w:after="0"/>
              <w:ind w:firstLine="0"/>
              <w:rPr>
                <w:rFonts w:cs="Calibri"/>
                <w:sz w:val="14"/>
              </w:rPr>
            </w:pPr>
            <w:r w:rsidRPr="00DB02FF">
              <w:rPr>
                <w:rFonts w:cs="Calibri"/>
                <w:color w:val="000000"/>
                <w:sz w:val="14"/>
              </w:rPr>
              <w:t>Human rights of people living with HIV and priority populations are to be promoted and protected regardless of residency status. Legal, migration, refugee, and settlement services are named as both a priority setting and an implementation partner, reflecting recognition that HIV intersects with immigration law and rights.</w:t>
            </w:r>
          </w:p>
        </w:tc>
        <w:tc>
          <w:tcPr>
            <w:tcW w:w="2977" w:type="dxa"/>
          </w:tcPr>
          <w:p w14:paraId="065C9B39"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Explicit. </w:t>
            </w:r>
          </w:p>
          <w:p w14:paraId="29BB99D9" w14:textId="77777777" w:rsidR="00EB4ED0" w:rsidRPr="00DB02FF" w:rsidRDefault="00EB4ED0" w:rsidP="007406A9">
            <w:pPr>
              <w:spacing w:after="0"/>
              <w:ind w:firstLine="0"/>
              <w:rPr>
                <w:rFonts w:cs="Calibri"/>
                <w:sz w:val="14"/>
              </w:rPr>
            </w:pPr>
            <w:r w:rsidRPr="00DB02FF">
              <w:rPr>
                <w:rFonts w:cs="Calibri"/>
                <w:color w:val="000000"/>
                <w:sz w:val="14"/>
              </w:rPr>
              <w:t>Equitable access to safe, affordable, and effective HIV prevention, testing, treatment, and management is the stated vision. Equitable, accessible, and high-quality health services for all is a guiding principle. A specific focus on underserved areas and groups disproportionately affected by late diagnosis is committed to, with the elimination target requiring a 90% reduction in HIV transmission from a 2010 baseline.</w:t>
            </w:r>
          </w:p>
        </w:tc>
      </w:tr>
      <w:tr w:rsidR="00EB4ED0" w:rsidRPr="00DB02FF" w14:paraId="11ACB944" w14:textId="77777777" w:rsidTr="00EB4ED0">
        <w:tc>
          <w:tcPr>
            <w:tcW w:w="358" w:type="dxa"/>
            <w:shd w:val="clear" w:color="auto" w:fill="F2F2F2" w:themeFill="background1" w:themeFillShade="F2"/>
            <w:vAlign w:val="center"/>
          </w:tcPr>
          <w:p w14:paraId="1EDF014D" w14:textId="77777777" w:rsidR="00EB4ED0" w:rsidRPr="00DB02FF" w:rsidRDefault="00EB4ED0" w:rsidP="007406A9">
            <w:pPr>
              <w:spacing w:after="0"/>
              <w:ind w:firstLine="0"/>
              <w:jc w:val="center"/>
              <w:rPr>
                <w:rFonts w:cs="Calibri"/>
                <w:sz w:val="14"/>
              </w:rPr>
            </w:pPr>
            <w:r w:rsidRPr="00DB02FF">
              <w:rPr>
                <w:rFonts w:cs="Calibri"/>
                <w:sz w:val="14"/>
              </w:rPr>
              <w:t>30</w:t>
            </w:r>
          </w:p>
        </w:tc>
        <w:tc>
          <w:tcPr>
            <w:tcW w:w="1344" w:type="dxa"/>
            <w:shd w:val="clear" w:color="auto" w:fill="F2F2F2" w:themeFill="background1" w:themeFillShade="F2"/>
          </w:tcPr>
          <w:p w14:paraId="6C41A7C9" w14:textId="77777777" w:rsidR="00EB4ED0" w:rsidRPr="00DB02FF" w:rsidRDefault="00EB4ED0" w:rsidP="007406A9">
            <w:pPr>
              <w:spacing w:after="0"/>
              <w:ind w:firstLine="0"/>
              <w:rPr>
                <w:rFonts w:cs="Calibri"/>
                <w:sz w:val="14"/>
              </w:rPr>
            </w:pPr>
            <w:r w:rsidRPr="00DB02FF">
              <w:rPr>
                <w:rFonts w:cs="Calibri"/>
                <w:sz w:val="14"/>
              </w:rPr>
              <w:t xml:space="preserve">Health and Wellbeing for Women Action Plan 2020–23 </w:t>
            </w:r>
            <w:r w:rsidRPr="00DB02FF">
              <w:rPr>
                <w:rFonts w:cs="Calibri"/>
                <w:sz w:val="14"/>
              </w:rPr>
              <w:fldChar w:fldCharType="begin"/>
            </w:r>
            <w:r>
              <w:rPr>
                <w:rFonts w:cs="Calibri"/>
                <w:sz w:val="14"/>
              </w:rPr>
              <w:instrText xml:space="preserve"> ADDIN EN.CITE &lt;EndNote&gt;&lt;Cite&gt;&lt;Author&gt;Tasmanian Government&lt;/Author&gt;&lt;Year&gt;2020&lt;/Year&gt;&lt;RecNum&gt;236&lt;/RecNum&gt;&lt;DisplayText&gt;(53)&lt;/DisplayText&gt;&lt;record&gt;&lt;rec-number&gt;236&lt;/rec-number&gt;&lt;foreign-keys&gt;&lt;key app="EN" db-id="rpvwsrsz7xw2rmep9ztxavrkttar9reapt9w" timestamp="1773195204"&gt;236&lt;/key&gt;&lt;/foreign-keys&gt;&lt;ref-type name="Web Page"&gt;12&lt;/ref-type&gt;&lt;contributors&gt;&lt;authors&gt;&lt;author&gt;Tasmanian Government,&lt;/author&gt;&lt;/authors&gt;&lt;/contributors&gt;&lt;titles&gt;&lt;title&gt;Health and Wellbeing for Women Action Plan 2020–23&lt;/title&gt;&lt;/titles&gt;&lt;volume&gt;2026&lt;/volume&gt;&lt;number&gt;11 March &lt;/number&gt;&lt;dates&gt;&lt;year&gt;2020&lt;/year&gt;&lt;/dates&gt;&lt;urls&gt;&lt;related-urls&gt;&lt;url&gt;https://www.women.tas.gov.au/tasmanian_government_policy_and_programs/tasmanian_womens_strategy_2018-2021/www.women.tas.gov.auhealth-and-wellbeing/Health-Wellbeing-for-Women-Action-Plan_wcag.pdf&lt;/url&gt;&lt;/related-urls&gt;&lt;/urls&gt;&lt;/record&gt;&lt;/Cite&gt;&lt;/EndNote&gt;</w:instrText>
            </w:r>
            <w:r w:rsidRPr="00DB02FF">
              <w:rPr>
                <w:rFonts w:cs="Calibri"/>
                <w:sz w:val="14"/>
              </w:rPr>
              <w:fldChar w:fldCharType="separate"/>
            </w:r>
            <w:r>
              <w:rPr>
                <w:rFonts w:cs="Calibri"/>
                <w:noProof/>
                <w:sz w:val="14"/>
              </w:rPr>
              <w:t>(53)</w:t>
            </w:r>
            <w:r w:rsidRPr="00DB02FF">
              <w:rPr>
                <w:rFonts w:cs="Calibri"/>
                <w:sz w:val="14"/>
              </w:rPr>
              <w:fldChar w:fldCharType="end"/>
            </w:r>
          </w:p>
        </w:tc>
        <w:tc>
          <w:tcPr>
            <w:tcW w:w="2126" w:type="dxa"/>
            <w:shd w:val="clear" w:color="auto" w:fill="F2F2F2" w:themeFill="background1" w:themeFillShade="F2"/>
          </w:tcPr>
          <w:p w14:paraId="2DCEA86E" w14:textId="77777777" w:rsidR="00EB4ED0" w:rsidRPr="00DB02FF" w:rsidRDefault="00EB4ED0" w:rsidP="007406A9">
            <w:pPr>
              <w:spacing w:after="0"/>
              <w:ind w:firstLine="0"/>
              <w:rPr>
                <w:rFonts w:cs="Calibri"/>
                <w:sz w:val="14"/>
              </w:rPr>
            </w:pPr>
            <w:r w:rsidRPr="00DB02FF">
              <w:rPr>
                <w:rFonts w:cs="Calibri"/>
                <w:color w:val="000000"/>
                <w:sz w:val="14"/>
              </w:rPr>
              <w:t>Not stated in relation to visa status or residency. Screening programme eligibility is defined by age only. The STI section states that testing is covered by Medicare without specifying who is or is not covered, leaving Medicare-based exclusions invisible in the document.</w:t>
            </w:r>
          </w:p>
        </w:tc>
        <w:tc>
          <w:tcPr>
            <w:tcW w:w="3402" w:type="dxa"/>
            <w:shd w:val="clear" w:color="auto" w:fill="F2F2F2" w:themeFill="background1" w:themeFillShade="F2"/>
          </w:tcPr>
          <w:p w14:paraId="6C2058B4" w14:textId="77777777" w:rsidR="00EB4ED0" w:rsidRPr="00DB02FF" w:rsidRDefault="00EB4ED0" w:rsidP="007406A9">
            <w:pPr>
              <w:spacing w:after="0"/>
              <w:ind w:firstLine="0"/>
              <w:rPr>
                <w:rFonts w:cs="Calibri"/>
                <w:sz w:val="14"/>
              </w:rPr>
            </w:pPr>
            <w:r w:rsidRPr="00DB02FF">
              <w:rPr>
                <w:rFonts w:cs="Calibri"/>
                <w:color w:val="000000"/>
                <w:sz w:val="14"/>
              </w:rPr>
              <w:t xml:space="preserve">Language barriers receive minimal attention, with culturally accessible information referenced once and no mention of interpreter or translation services. Cultural barriers are minimally addressed for CALD populations, with more substantive cultural responsiveness directed at Aboriginal Tasmanians. Financial barriers are addressed generally through cost of living and housing affordability actions, with no discussion of financial barriers specific to migrants or refugees. Legal barriers are not addressed in relation to </w:t>
            </w:r>
            <w:r w:rsidRPr="00DB02FF">
              <w:rPr>
                <w:rFonts w:cs="Calibri"/>
                <w:color w:val="000000"/>
                <w:sz w:val="14"/>
              </w:rPr>
              <w:lastRenderedPageBreak/>
              <w:t>migration. Geographic barriers are acknowledged through recognition of rural and remote women as a priority group, without specific actions.</w:t>
            </w:r>
          </w:p>
        </w:tc>
        <w:tc>
          <w:tcPr>
            <w:tcW w:w="2977" w:type="dxa"/>
            <w:shd w:val="clear" w:color="auto" w:fill="F2F2F2" w:themeFill="background1" w:themeFillShade="F2"/>
          </w:tcPr>
          <w:p w14:paraId="2FF7DBF1" w14:textId="77777777" w:rsidR="00EB4ED0" w:rsidRPr="00DB02FF" w:rsidRDefault="00EB4ED0" w:rsidP="007406A9">
            <w:pPr>
              <w:spacing w:after="0"/>
              <w:ind w:firstLine="0"/>
              <w:rPr>
                <w:rFonts w:cs="Calibri"/>
                <w:color w:val="000000"/>
                <w:sz w:val="14"/>
              </w:rPr>
            </w:pPr>
            <w:r w:rsidRPr="00DB02FF">
              <w:rPr>
                <w:rFonts w:cs="Calibri"/>
                <w:color w:val="000000"/>
                <w:sz w:val="14"/>
              </w:rPr>
              <w:lastRenderedPageBreak/>
              <w:t xml:space="preserve">Implicit. </w:t>
            </w:r>
          </w:p>
          <w:p w14:paraId="52BD6B6A" w14:textId="77777777" w:rsidR="00EB4ED0" w:rsidRPr="00DB02FF" w:rsidRDefault="00EB4ED0" w:rsidP="007406A9">
            <w:pPr>
              <w:spacing w:after="0"/>
              <w:ind w:firstLine="0"/>
              <w:rPr>
                <w:rFonts w:cs="Calibri"/>
                <w:sz w:val="14"/>
              </w:rPr>
            </w:pPr>
            <w:r w:rsidRPr="00DB02FF">
              <w:rPr>
                <w:rFonts w:cs="Calibri"/>
                <w:color w:val="000000"/>
                <w:sz w:val="14"/>
              </w:rPr>
              <w:t>CALD populations are named as a descriptor but receive no specific cultural responsiveness strategies. Substantive cultural responsiveness work, including culturally respectful mainstream services and a dedicated cultural respect action plan, is directed at Aboriginal Tasmanians only.</w:t>
            </w:r>
          </w:p>
        </w:tc>
        <w:tc>
          <w:tcPr>
            <w:tcW w:w="2835" w:type="dxa"/>
            <w:shd w:val="clear" w:color="auto" w:fill="F2F2F2" w:themeFill="background1" w:themeFillShade="F2"/>
          </w:tcPr>
          <w:p w14:paraId="47CEAA8F"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Absent. </w:t>
            </w:r>
          </w:p>
          <w:p w14:paraId="5E71FCC0" w14:textId="77777777" w:rsidR="00EB4ED0" w:rsidRPr="00DB02FF" w:rsidRDefault="00EB4ED0" w:rsidP="007406A9">
            <w:pPr>
              <w:spacing w:after="0"/>
              <w:ind w:firstLine="0"/>
              <w:rPr>
                <w:rFonts w:cs="Calibri"/>
                <w:sz w:val="14"/>
              </w:rPr>
            </w:pPr>
            <w:r w:rsidRPr="00DB02FF">
              <w:rPr>
                <w:rFonts w:cs="Calibri"/>
                <w:color w:val="000000"/>
                <w:sz w:val="14"/>
              </w:rPr>
              <w:t>A single reference states that feeling safe is a basic human right. No other human rights frameworks, instruments, or rights-based framing for health access, reproductive rights, or migrant rights are referenced.</w:t>
            </w:r>
          </w:p>
        </w:tc>
        <w:tc>
          <w:tcPr>
            <w:tcW w:w="2977" w:type="dxa"/>
            <w:shd w:val="clear" w:color="auto" w:fill="F2F2F2" w:themeFill="background1" w:themeFillShade="F2"/>
          </w:tcPr>
          <w:p w14:paraId="55FA328E" w14:textId="77777777" w:rsidR="00EB4ED0" w:rsidRPr="00DB02FF" w:rsidRDefault="00EB4ED0" w:rsidP="007406A9">
            <w:pPr>
              <w:spacing w:after="0"/>
              <w:ind w:firstLine="0"/>
              <w:rPr>
                <w:rFonts w:cs="Calibri"/>
                <w:color w:val="000000"/>
                <w:sz w:val="14"/>
              </w:rPr>
            </w:pPr>
            <w:r w:rsidRPr="00DB02FF">
              <w:rPr>
                <w:rFonts w:cs="Calibri"/>
                <w:color w:val="000000"/>
                <w:sz w:val="14"/>
              </w:rPr>
              <w:t xml:space="preserve">Implicit. </w:t>
            </w:r>
          </w:p>
          <w:p w14:paraId="7A72657F" w14:textId="77777777" w:rsidR="00EB4ED0" w:rsidRPr="00DB02FF" w:rsidRDefault="00EB4ED0" w:rsidP="007406A9">
            <w:pPr>
              <w:spacing w:after="0"/>
              <w:ind w:firstLine="0"/>
              <w:rPr>
                <w:rFonts w:cs="Calibri"/>
                <w:sz w:val="14"/>
              </w:rPr>
            </w:pPr>
            <w:r w:rsidRPr="00DB02FF">
              <w:rPr>
                <w:rFonts w:cs="Calibri"/>
                <w:color w:val="000000"/>
                <w:sz w:val="14"/>
              </w:rPr>
              <w:t xml:space="preserve">Health equity is referenced in general terms through targeted policy and tailored services for priority groups, but equity is not a central organising </w:t>
            </w:r>
            <w:proofErr w:type="gramStart"/>
            <w:r w:rsidRPr="00DB02FF">
              <w:rPr>
                <w:rFonts w:cs="Calibri"/>
                <w:color w:val="000000"/>
                <w:sz w:val="14"/>
              </w:rPr>
              <w:t>principle</w:t>
            </w:r>
            <w:proofErr w:type="gramEnd"/>
            <w:r w:rsidRPr="00DB02FF">
              <w:rPr>
                <w:rFonts w:cs="Calibri"/>
                <w:color w:val="000000"/>
                <w:sz w:val="14"/>
              </w:rPr>
              <w:t xml:space="preserve"> and the term appears only twice. No equity framework is applied, and priority populations including CALD women are listed without structured attention or specific equity actions across the document.</w:t>
            </w:r>
          </w:p>
        </w:tc>
      </w:tr>
      <w:tr w:rsidR="00EB4ED0" w:rsidRPr="00DB02FF" w14:paraId="10F112D3" w14:textId="77777777" w:rsidTr="00EB4ED0">
        <w:tc>
          <w:tcPr>
            <w:tcW w:w="358" w:type="dxa"/>
            <w:vAlign w:val="center"/>
          </w:tcPr>
          <w:p w14:paraId="2A4C308F" w14:textId="77777777" w:rsidR="00EB4ED0" w:rsidRPr="00DB02FF" w:rsidRDefault="00EB4ED0" w:rsidP="007406A9">
            <w:pPr>
              <w:spacing w:after="0"/>
              <w:ind w:firstLine="0"/>
              <w:jc w:val="center"/>
              <w:rPr>
                <w:rFonts w:cs="Calibri"/>
                <w:sz w:val="14"/>
              </w:rPr>
            </w:pPr>
            <w:r w:rsidRPr="00DB02FF">
              <w:rPr>
                <w:rFonts w:cs="Calibri"/>
                <w:sz w:val="14"/>
              </w:rPr>
              <w:t>31</w:t>
            </w:r>
          </w:p>
        </w:tc>
        <w:tc>
          <w:tcPr>
            <w:tcW w:w="1344" w:type="dxa"/>
          </w:tcPr>
          <w:p w14:paraId="47EFA308" w14:textId="77777777" w:rsidR="00EB4ED0" w:rsidRPr="00DB02FF" w:rsidRDefault="00EB4ED0" w:rsidP="007406A9">
            <w:pPr>
              <w:spacing w:after="0"/>
              <w:ind w:firstLine="0"/>
              <w:rPr>
                <w:rFonts w:cs="Calibri"/>
                <w:sz w:val="14"/>
              </w:rPr>
            </w:pPr>
            <w:r w:rsidRPr="00DB02FF">
              <w:rPr>
                <w:rFonts w:cs="Calibri"/>
                <w:sz w:val="14"/>
              </w:rPr>
              <w:t xml:space="preserve">Strategic Framework 2024–2030 </w:t>
            </w:r>
            <w:r w:rsidRPr="00DB02FF">
              <w:rPr>
                <w:rFonts w:cs="Calibri"/>
                <w:sz w:val="14"/>
              </w:rPr>
              <w:fldChar w:fldCharType="begin"/>
            </w:r>
            <w:r>
              <w:rPr>
                <w:rFonts w:cs="Calibri"/>
                <w:sz w:val="14"/>
              </w:rPr>
              <w:instrText xml:space="preserve"> ADDIN EN.CITE &lt;EndNote&gt;&lt;Cite&gt;&lt;Author&gt;Sexual and Reproductive Health Collaborative Group Tasmania&lt;/Author&gt;&lt;Year&gt;2024&lt;/Year&gt;&lt;RecNum&gt;248&lt;/RecNum&gt;&lt;DisplayText&gt;(48)&lt;/DisplayText&gt;&lt;record&gt;&lt;rec-number&gt;248&lt;/rec-number&gt;&lt;foreign-keys&gt;&lt;key app="EN" db-id="rpvwsrsz7xw2rmep9ztxavrkttar9reapt9w" timestamp="1773285721"&gt;248&lt;/key&gt;&lt;/foreign-keys&gt;&lt;ref-type name="Web Page"&gt;12&lt;/ref-type&gt;&lt;contributors&gt;&lt;authors&gt;&lt;author&gt;Sexual and Reproductive Health Collaborative Group Tasmania, &lt;/author&gt;&lt;/authors&gt;&lt;/contributors&gt;&lt;titles&gt;&lt;title&gt;Strategic Framework 2024–2030&lt;/title&gt;&lt;/titles&gt;&lt;volume&gt;2026&lt;/volume&gt;&lt;number&gt;12 March &lt;/number&gt;&lt;dates&gt;&lt;year&gt;2024&lt;/year&gt;&lt;/dates&gt;&lt;urls&gt;&lt;related-urls&gt;&lt;url&gt;https://www.womenshealthtas.org.au/sites/default/files/resources/sexual-and-reproductive-health-strategic-framework-tasmania-2024-2030/sexual-and-reproductive-health-collaborative-framework-2024.pdf&lt;/url&gt;&lt;/related-urls&gt;&lt;/urls&gt;&lt;/record&gt;&lt;/Cite&gt;&lt;/EndNote&gt;</w:instrText>
            </w:r>
            <w:r w:rsidRPr="00DB02FF">
              <w:rPr>
                <w:rFonts w:cs="Calibri"/>
                <w:sz w:val="14"/>
              </w:rPr>
              <w:fldChar w:fldCharType="separate"/>
            </w:r>
            <w:r>
              <w:rPr>
                <w:rFonts w:cs="Calibri"/>
                <w:noProof/>
                <w:sz w:val="14"/>
              </w:rPr>
              <w:t>(48)</w:t>
            </w:r>
            <w:r w:rsidRPr="00DB02FF">
              <w:rPr>
                <w:rFonts w:cs="Calibri"/>
                <w:sz w:val="14"/>
              </w:rPr>
              <w:fldChar w:fldCharType="end"/>
            </w:r>
          </w:p>
        </w:tc>
        <w:tc>
          <w:tcPr>
            <w:tcW w:w="2126" w:type="dxa"/>
          </w:tcPr>
          <w:p w14:paraId="4F4E55E1" w14:textId="77777777" w:rsidR="00EB4ED0" w:rsidRPr="00DB02FF" w:rsidRDefault="00EB4ED0" w:rsidP="007406A9">
            <w:pPr>
              <w:spacing w:after="0"/>
              <w:ind w:firstLine="0"/>
              <w:rPr>
                <w:rFonts w:cs="Calibri"/>
                <w:sz w:val="14"/>
              </w:rPr>
            </w:pPr>
            <w:r w:rsidRPr="00DB02FF">
              <w:rPr>
                <w:rFonts w:cs="Calibri"/>
                <w:color w:val="000000"/>
                <w:sz w:val="14"/>
              </w:rPr>
              <w:t>Universal framing targets all Tasmanians and everyone without specifying eligibility based on visa status or residency. Two partial acknowledgements appear: people without access to Medicare are noted as receiving surgical terminations, and women on temporary visas are noted as facing coverage gaps. No systematic eligibility framework is provided and no solutions to these gaps are proposed.</w:t>
            </w:r>
          </w:p>
        </w:tc>
        <w:tc>
          <w:tcPr>
            <w:tcW w:w="3402" w:type="dxa"/>
          </w:tcPr>
          <w:p w14:paraId="0B4168C4" w14:textId="77777777" w:rsidR="00EB4ED0" w:rsidRPr="00DB02FF" w:rsidRDefault="00EB4ED0" w:rsidP="007406A9">
            <w:pPr>
              <w:spacing w:after="0"/>
              <w:ind w:firstLine="0"/>
              <w:rPr>
                <w:rFonts w:cs="Calibri"/>
                <w:sz w:val="14"/>
              </w:rPr>
            </w:pPr>
            <w:r w:rsidRPr="00DB02FF">
              <w:rPr>
                <w:rFonts w:cs="Calibri"/>
                <w:color w:val="000000"/>
                <w:sz w:val="14"/>
              </w:rPr>
              <w:t>Language barriers are implied through diversity framing and health literacy focus but not operationalised through specific strategies. Cultural barriers are acknowledged through inclusive service principles. Financial barriers receive the most concrete attention, with brokerage funds for LARCs and medical termination, period poverty initiatives, and cost of living recognition. Legal barriers including Medicare exclusion for women on temporary visas are noted but no strategies are proposed to address them. Geographic barriers are acknowledged, with people in remote and regional Tasmanian communities identified as having little or no direct access to SRH services.</w:t>
            </w:r>
          </w:p>
        </w:tc>
        <w:tc>
          <w:tcPr>
            <w:tcW w:w="2977" w:type="dxa"/>
          </w:tcPr>
          <w:p w14:paraId="675CDA61"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Present but broadly framed. </w:t>
            </w:r>
          </w:p>
          <w:p w14:paraId="70329766" w14:textId="77777777" w:rsidR="00EB4ED0" w:rsidRPr="00DB02FF" w:rsidRDefault="00EB4ED0" w:rsidP="007406A9">
            <w:pPr>
              <w:spacing w:after="0"/>
              <w:ind w:firstLine="0"/>
              <w:rPr>
                <w:rFonts w:cs="Calibri"/>
                <w:sz w:val="14"/>
              </w:rPr>
            </w:pPr>
            <w:r w:rsidRPr="00DB02FF">
              <w:rPr>
                <w:rFonts w:cs="Calibri"/>
                <w:color w:val="000000"/>
                <w:sz w:val="14"/>
              </w:rPr>
              <w:t xml:space="preserve">Tasmanian services are stated to respect diversity in age, culture, language, gender, and sexual identity. Gender and culturally inclusive communication </w:t>
            </w:r>
            <w:proofErr w:type="gramStart"/>
            <w:r w:rsidRPr="00DB02FF">
              <w:rPr>
                <w:rFonts w:cs="Calibri"/>
                <w:color w:val="000000"/>
                <w:sz w:val="14"/>
              </w:rPr>
              <w:t>is</w:t>
            </w:r>
            <w:proofErr w:type="gramEnd"/>
            <w:r w:rsidRPr="00DB02FF">
              <w:rPr>
                <w:rFonts w:cs="Calibri"/>
                <w:color w:val="000000"/>
                <w:sz w:val="14"/>
              </w:rPr>
              <w:t xml:space="preserve"> a priority. Workforce development includes inclusive and health literacy practice. No migration-specific cultural safety strategies, interpreter provisions, or CALD-specific approaches are described</w:t>
            </w:r>
            <w:r w:rsidRPr="00DB02FF">
              <w:rPr>
                <w:rFonts w:cs="Calibri" w:hint="cs"/>
                <w:color w:val="000000"/>
                <w:sz w:val="14"/>
                <w:rtl/>
              </w:rPr>
              <w:t>.</w:t>
            </w:r>
          </w:p>
        </w:tc>
        <w:tc>
          <w:tcPr>
            <w:tcW w:w="2835" w:type="dxa"/>
          </w:tcPr>
          <w:p w14:paraId="5FE70DED"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Present. </w:t>
            </w:r>
          </w:p>
          <w:p w14:paraId="3E0E3043" w14:textId="77777777" w:rsidR="00EB4ED0" w:rsidRPr="00DB02FF" w:rsidRDefault="00EB4ED0" w:rsidP="007406A9">
            <w:pPr>
              <w:spacing w:after="0"/>
              <w:ind w:firstLine="0"/>
              <w:rPr>
                <w:rFonts w:cs="Calibri"/>
                <w:sz w:val="14"/>
              </w:rPr>
            </w:pPr>
            <w:r w:rsidRPr="00DB02FF">
              <w:rPr>
                <w:rFonts w:cs="Calibri"/>
                <w:color w:val="000000"/>
                <w:sz w:val="14"/>
              </w:rPr>
              <w:t>Protecting and promoting human rights is a stated value. Sexual rights of all persons are to be respected, protected, and fulfilled. Supporting reproductive rights is a priority. However, rights-based framing does not extend to explicitly articulating the rights of non-citizens or those without Medicare to access SRH services.</w:t>
            </w:r>
          </w:p>
        </w:tc>
        <w:tc>
          <w:tcPr>
            <w:tcW w:w="2977" w:type="dxa"/>
          </w:tcPr>
          <w:p w14:paraId="415E5B26"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Explicit as a foundation but not operationalised for migrants. </w:t>
            </w:r>
          </w:p>
          <w:p w14:paraId="5BDB8E5B" w14:textId="77777777" w:rsidR="00EB4ED0" w:rsidRPr="00DB02FF" w:rsidRDefault="00EB4ED0" w:rsidP="007406A9">
            <w:pPr>
              <w:spacing w:after="0"/>
              <w:ind w:firstLine="0"/>
              <w:rPr>
                <w:rFonts w:cs="Calibri"/>
                <w:sz w:val="14"/>
              </w:rPr>
            </w:pPr>
            <w:r w:rsidRPr="00DB02FF">
              <w:rPr>
                <w:rFonts w:cs="Calibri"/>
                <w:color w:val="000000"/>
                <w:sz w:val="14"/>
              </w:rPr>
              <w:t>Health equity is defined as everyone having the necessary agency, knowledge, skills, and resources to achieve optimal health and wellbeing, with communities receiving the right services in the right ways and places. Addressing systemic exclusion and disadvantage is stated as necessary to achieve equity. However, equity is not operationalised through migration-specific mechanisms in the action tables.</w:t>
            </w:r>
          </w:p>
        </w:tc>
      </w:tr>
      <w:tr w:rsidR="00EB4ED0" w:rsidRPr="00DB02FF" w14:paraId="3099AF47" w14:textId="77777777" w:rsidTr="00EB4ED0">
        <w:tc>
          <w:tcPr>
            <w:tcW w:w="358" w:type="dxa"/>
            <w:shd w:val="clear" w:color="auto" w:fill="F2F2F2" w:themeFill="background1" w:themeFillShade="F2"/>
            <w:vAlign w:val="center"/>
          </w:tcPr>
          <w:p w14:paraId="0B6BF35C" w14:textId="77777777" w:rsidR="00EB4ED0" w:rsidRPr="00DB02FF" w:rsidRDefault="00EB4ED0" w:rsidP="007406A9">
            <w:pPr>
              <w:spacing w:after="0"/>
              <w:ind w:firstLine="0"/>
              <w:jc w:val="center"/>
              <w:rPr>
                <w:rFonts w:cs="Calibri"/>
                <w:sz w:val="14"/>
              </w:rPr>
            </w:pPr>
            <w:r w:rsidRPr="00DB02FF">
              <w:rPr>
                <w:rFonts w:cs="Calibri"/>
                <w:sz w:val="14"/>
              </w:rPr>
              <w:t>32</w:t>
            </w:r>
          </w:p>
        </w:tc>
        <w:tc>
          <w:tcPr>
            <w:tcW w:w="1344" w:type="dxa"/>
            <w:shd w:val="clear" w:color="auto" w:fill="F2F2F2" w:themeFill="background1" w:themeFillShade="F2"/>
          </w:tcPr>
          <w:p w14:paraId="4763C792" w14:textId="77777777" w:rsidR="00EB4ED0" w:rsidRPr="00DB02FF" w:rsidRDefault="00EB4ED0" w:rsidP="007406A9">
            <w:pPr>
              <w:spacing w:after="0"/>
              <w:ind w:firstLine="0"/>
              <w:rPr>
                <w:rFonts w:cs="Calibri"/>
                <w:sz w:val="14"/>
              </w:rPr>
            </w:pPr>
            <w:r w:rsidRPr="00DB02FF">
              <w:rPr>
                <w:rFonts w:cs="Calibri"/>
                <w:sz w:val="14"/>
              </w:rPr>
              <w:t xml:space="preserve">Victorian Women's Sexual and Reproductive Health Plan 2022–30 </w:t>
            </w:r>
            <w:r w:rsidRPr="00DB02FF">
              <w:rPr>
                <w:rFonts w:cs="Calibri"/>
                <w:sz w:val="14"/>
              </w:rPr>
              <w:fldChar w:fldCharType="begin"/>
            </w:r>
            <w:r>
              <w:rPr>
                <w:rFonts w:cs="Calibri"/>
                <w:sz w:val="14"/>
              </w:rPr>
              <w:instrText xml:space="preserve"> ADDIN EN.CITE &lt;EndNote&gt;&lt;Cite&gt;&lt;Author&gt;Victorian Government Department of Health&lt;/Author&gt;&lt;Year&gt;2022&lt;/Year&gt;&lt;RecNum&gt;241&lt;/RecNum&gt;&lt;DisplayText&gt;(50)&lt;/DisplayText&gt;&lt;record&gt;&lt;rec-number&gt;241&lt;/rec-number&gt;&lt;foreign-keys&gt;&lt;key app="EN" db-id="rpvwsrsz7xw2rmep9ztxavrkttar9reapt9w" timestamp="1773205271"&gt;241&lt;/key&gt;&lt;/foreign-keys&gt;&lt;ref-type name="Web Page"&gt;12&lt;/ref-type&gt;&lt;contributors&gt;&lt;authors&gt;&lt;author&gt;Victorian Government Department of Health,&lt;/author&gt;&lt;/authors&gt;&lt;/contributors&gt;&lt;titles&gt;&lt;title&gt;Victorian Women&amp;apos;s Sexual and Reproductive Health Plan 2022–30&lt;/title&gt;&lt;/titles&gt;&lt;volume&gt;2026&lt;/volume&gt;&lt;number&gt;11 March &lt;/number&gt;&lt;dates&gt;&lt;year&gt;2022&lt;/year&gt;&lt;/dates&gt;&lt;urls&gt;&lt;related-urls&gt;&lt;url&gt;https://content.health.vic.gov.au/sites/default/files/2022-09/womens-sexual-and-reproductive-health-plan-2022-30-pdf.pdf&lt;/url&gt;&lt;/related-urls&gt;&lt;/urls&gt;&lt;/record&gt;&lt;/Cite&gt;&lt;/EndNote&gt;</w:instrText>
            </w:r>
            <w:r w:rsidRPr="00DB02FF">
              <w:rPr>
                <w:rFonts w:cs="Calibri"/>
                <w:sz w:val="14"/>
              </w:rPr>
              <w:fldChar w:fldCharType="separate"/>
            </w:r>
            <w:r>
              <w:rPr>
                <w:rFonts w:cs="Calibri"/>
                <w:noProof/>
                <w:sz w:val="14"/>
              </w:rPr>
              <w:t>(50)</w:t>
            </w:r>
            <w:r w:rsidRPr="00DB02FF">
              <w:rPr>
                <w:rFonts w:cs="Calibri"/>
                <w:sz w:val="14"/>
              </w:rPr>
              <w:fldChar w:fldCharType="end"/>
            </w:r>
          </w:p>
        </w:tc>
        <w:tc>
          <w:tcPr>
            <w:tcW w:w="2126" w:type="dxa"/>
            <w:shd w:val="clear" w:color="auto" w:fill="F2F2F2" w:themeFill="background1" w:themeFillShade="F2"/>
          </w:tcPr>
          <w:p w14:paraId="59EBF9E3" w14:textId="77777777" w:rsidR="00EB4ED0" w:rsidRPr="00DB02FF" w:rsidRDefault="00EB4ED0" w:rsidP="007406A9">
            <w:pPr>
              <w:spacing w:after="0"/>
              <w:ind w:firstLine="0"/>
              <w:rPr>
                <w:rFonts w:cs="Calibri"/>
                <w:sz w:val="14"/>
              </w:rPr>
            </w:pPr>
            <w:r w:rsidRPr="00DB02FF">
              <w:rPr>
                <w:rFonts w:cs="Calibri"/>
                <w:color w:val="000000"/>
                <w:sz w:val="14"/>
              </w:rPr>
              <w:t>Universal language throughout targets all Victorians without acknowledging differential eligibility based on visa status or Medicare access. No eligibility criteria based on residency or immigration status are stated.</w:t>
            </w:r>
          </w:p>
        </w:tc>
        <w:tc>
          <w:tcPr>
            <w:tcW w:w="3402" w:type="dxa"/>
            <w:shd w:val="clear" w:color="auto" w:fill="F2F2F2" w:themeFill="background1" w:themeFillShade="F2"/>
          </w:tcPr>
          <w:p w14:paraId="4CDE6F1A"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translations and culturally and linguistically accessible resources. Cultural barriers receive extensive attention throughout. Financial barriers are acknowledged through cost barriers and affordability language but are not connected to Medicare ineligibility or visa-based exclusions. Legal barriers are entirely absent. Geographic barriers are addressed through rural and regional access provisions.</w:t>
            </w:r>
          </w:p>
        </w:tc>
        <w:tc>
          <w:tcPr>
            <w:tcW w:w="2977" w:type="dxa"/>
            <w:shd w:val="clear" w:color="auto" w:fill="F2F2F2" w:themeFill="background1" w:themeFillShade="F2"/>
          </w:tcPr>
          <w:p w14:paraId="0C591908"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Present and substantive. </w:t>
            </w:r>
          </w:p>
          <w:p w14:paraId="5122008D" w14:textId="77777777" w:rsidR="00EB4ED0" w:rsidRPr="00DB02FF" w:rsidRDefault="00EB4ED0" w:rsidP="007406A9">
            <w:pPr>
              <w:spacing w:after="0"/>
              <w:ind w:firstLine="0"/>
              <w:rPr>
                <w:rFonts w:cs="Calibri"/>
                <w:sz w:val="14"/>
              </w:rPr>
            </w:pPr>
            <w:r w:rsidRPr="00DB02FF">
              <w:rPr>
                <w:rFonts w:cs="Calibri"/>
                <w:color w:val="000000"/>
                <w:sz w:val="14"/>
              </w:rPr>
              <w:t>Culturally safe and culturally informed services, trauma-informed care, and cultural safety across the SRH system are stated commitments. Skill development to provide culturally safe services that recognise and address barriers to access and embed intersectionality is a specific action. Migrant and culturally diverse women are named among groups disproportionately experiencing access barriers.</w:t>
            </w:r>
          </w:p>
        </w:tc>
        <w:tc>
          <w:tcPr>
            <w:tcW w:w="2835" w:type="dxa"/>
            <w:shd w:val="clear" w:color="auto" w:fill="F2F2F2" w:themeFill="background1" w:themeFillShade="F2"/>
          </w:tcPr>
          <w:p w14:paraId="207C075A"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Present. </w:t>
            </w:r>
          </w:p>
          <w:p w14:paraId="5132D146" w14:textId="77777777" w:rsidR="00EB4ED0" w:rsidRPr="00DB02FF" w:rsidRDefault="00EB4ED0" w:rsidP="007406A9">
            <w:pPr>
              <w:spacing w:after="0"/>
              <w:ind w:firstLine="0"/>
              <w:rPr>
                <w:rFonts w:cs="Calibri"/>
                <w:sz w:val="14"/>
              </w:rPr>
            </w:pPr>
            <w:r w:rsidRPr="00DB02FF">
              <w:rPr>
                <w:rFonts w:cs="Calibri"/>
                <w:color w:val="000000"/>
                <w:sz w:val="14"/>
              </w:rPr>
              <w:t>Reproductive rights, human and reproductive rights of individuals and population groups, reproductive health autonomy, and gender equality as a human right are all stated. No explicit reference to international human rights frameworks or conventions, and no systematic human rights-based approach to policy design is described.</w:t>
            </w:r>
          </w:p>
        </w:tc>
        <w:tc>
          <w:tcPr>
            <w:tcW w:w="2977" w:type="dxa"/>
            <w:shd w:val="clear" w:color="auto" w:fill="F2F2F2" w:themeFill="background1" w:themeFillShade="F2"/>
          </w:tcPr>
          <w:p w14:paraId="25935282"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Present but structurally limited. </w:t>
            </w:r>
          </w:p>
          <w:p w14:paraId="1FD1042B" w14:textId="77777777" w:rsidR="00EB4ED0" w:rsidRPr="00DB02FF" w:rsidRDefault="00EB4ED0" w:rsidP="007406A9">
            <w:pPr>
              <w:spacing w:after="0"/>
              <w:ind w:firstLine="0"/>
              <w:rPr>
                <w:rFonts w:cs="Calibri"/>
                <w:sz w:val="14"/>
              </w:rPr>
            </w:pPr>
            <w:r w:rsidRPr="00DB02FF">
              <w:rPr>
                <w:rFonts w:cs="Calibri"/>
                <w:color w:val="000000"/>
                <w:sz w:val="14"/>
              </w:rPr>
              <w:t>Migrant and culturally diverse women are explicitly named as disproportionately experiencing cost, distance, and service availability barriers. Multi-strategic action to address inequity across the life course is committed to. However, the equity framework does not extend to examining how Medicare eligibility and visa status create structural inequity, leaving the most significant access barriers for migrant women unaddressed.</w:t>
            </w:r>
          </w:p>
        </w:tc>
      </w:tr>
      <w:tr w:rsidR="00EB4ED0" w:rsidRPr="00DB02FF" w14:paraId="67D97EB2" w14:textId="77777777" w:rsidTr="00EB4ED0">
        <w:tc>
          <w:tcPr>
            <w:tcW w:w="358" w:type="dxa"/>
            <w:vAlign w:val="center"/>
          </w:tcPr>
          <w:p w14:paraId="12E5FF7A" w14:textId="77777777" w:rsidR="00EB4ED0" w:rsidRPr="00DB02FF" w:rsidRDefault="00EB4ED0" w:rsidP="007406A9">
            <w:pPr>
              <w:spacing w:after="0"/>
              <w:ind w:firstLine="0"/>
              <w:jc w:val="center"/>
              <w:rPr>
                <w:rFonts w:cs="Calibri"/>
                <w:color w:val="000000" w:themeColor="text1"/>
                <w:sz w:val="14"/>
              </w:rPr>
            </w:pPr>
            <w:r w:rsidRPr="00DB02FF">
              <w:rPr>
                <w:rFonts w:cs="Calibri"/>
                <w:color w:val="000000" w:themeColor="text1"/>
                <w:sz w:val="14"/>
              </w:rPr>
              <w:t>33</w:t>
            </w:r>
          </w:p>
        </w:tc>
        <w:tc>
          <w:tcPr>
            <w:tcW w:w="1344" w:type="dxa"/>
          </w:tcPr>
          <w:p w14:paraId="1C86A624" w14:textId="77777777" w:rsidR="00EB4ED0" w:rsidRPr="00DB02FF" w:rsidRDefault="00EB4ED0" w:rsidP="007406A9">
            <w:pPr>
              <w:spacing w:after="0"/>
              <w:ind w:firstLine="0"/>
              <w:rPr>
                <w:rFonts w:cs="Calibri"/>
                <w:sz w:val="14"/>
              </w:rPr>
            </w:pPr>
            <w:r w:rsidRPr="00DB02FF">
              <w:rPr>
                <w:rFonts w:cs="Calibri"/>
                <w:color w:val="000000" w:themeColor="text1"/>
                <w:sz w:val="14"/>
              </w:rPr>
              <w:t xml:space="preserve">Western Australian Women's Health and Wellbeing Policy: Lifting the health profile of women and girls </w:t>
            </w:r>
            <w:r w:rsidRPr="00DB02FF">
              <w:rPr>
                <w:rFonts w:cs="Calibri"/>
                <w:color w:val="000000" w:themeColor="text1"/>
                <w:sz w:val="14"/>
              </w:rPr>
              <w:fldChar w:fldCharType="begin"/>
            </w:r>
            <w:r>
              <w:rPr>
                <w:rFonts w:cs="Calibri"/>
                <w:color w:val="000000" w:themeColor="text1"/>
                <w:sz w:val="14"/>
              </w:rPr>
              <w:instrText xml:space="preserve"> ADDIN EN.CITE &lt;EndNote&gt;&lt;Cite&gt;&lt;Author&gt;Government of Western Australia Department of Health&lt;/Author&gt;&lt;Year&gt;2019&lt;/Year&gt;&lt;RecNum&gt;233&lt;/RecNum&gt;&lt;DisplayText&gt;(51)&lt;/DisplayText&gt;&lt;record&gt;&lt;rec-number&gt;233&lt;/rec-number&gt;&lt;foreign-keys&gt;&lt;key app="EN" db-id="rpvwsrsz7xw2rmep9ztxavrkttar9reapt9w" timestamp="1773192521"&gt;233&lt;/key&gt;&lt;/foreign-keys&gt;&lt;ref-type name="Web Page"&gt;12&lt;/ref-type&gt;&lt;contributors&gt;&lt;authors&gt;&lt;author&gt;Government of Western Australia Department of Health, &lt;/author&gt;&lt;/authors&gt;&lt;/contributors&gt;&lt;titles&gt;&lt;title&gt;Western Australian Women&amp;apos;s Health and Wellbeing Policy: Lifting the health profile of women and girls&lt;/title&gt;&lt;/titles&gt;&lt;volume&gt;2026&lt;/volume&gt;&lt;number&gt;11 March &lt;/number&gt;&lt;dates&gt;&lt;year&gt;2019&lt;/year&gt;&lt;/dates&gt;&lt;urls&gt;&lt;related-urls&gt;&lt;url&gt;https://www.health.wa.gov.au/~/media/Files/Corporate/general-documents/Health-Networks/Womens-health-and-wellbeing-policy/WA-Womens-Health-and-Wellbeing-Policy.pdf&lt;/url&gt;&lt;/related-urls&gt;&lt;/urls&gt;&lt;/record&gt;&lt;/Cite&gt;&lt;/EndNote&gt;</w:instrText>
            </w:r>
            <w:r w:rsidRPr="00DB02FF">
              <w:rPr>
                <w:rFonts w:cs="Calibri"/>
                <w:color w:val="000000" w:themeColor="text1"/>
                <w:sz w:val="14"/>
              </w:rPr>
              <w:fldChar w:fldCharType="separate"/>
            </w:r>
            <w:r>
              <w:rPr>
                <w:rFonts w:cs="Calibri"/>
                <w:noProof/>
                <w:color w:val="000000" w:themeColor="text1"/>
                <w:sz w:val="14"/>
              </w:rPr>
              <w:t>(51)</w:t>
            </w:r>
            <w:r w:rsidRPr="00DB02FF">
              <w:rPr>
                <w:rFonts w:cs="Calibri"/>
                <w:color w:val="000000" w:themeColor="text1"/>
                <w:sz w:val="14"/>
              </w:rPr>
              <w:fldChar w:fldCharType="end"/>
            </w:r>
          </w:p>
        </w:tc>
        <w:tc>
          <w:tcPr>
            <w:tcW w:w="2126" w:type="dxa"/>
          </w:tcPr>
          <w:p w14:paraId="74A07D1B" w14:textId="77777777" w:rsidR="00EB4ED0" w:rsidRPr="00DB02FF" w:rsidRDefault="00EB4ED0" w:rsidP="007406A9">
            <w:pPr>
              <w:spacing w:after="0"/>
              <w:ind w:firstLine="0"/>
              <w:rPr>
                <w:rFonts w:cs="Calibri"/>
                <w:sz w:val="14"/>
              </w:rPr>
            </w:pPr>
            <w:r w:rsidRPr="00DB02FF">
              <w:rPr>
                <w:rFonts w:cs="Calibri"/>
                <w:color w:val="000000"/>
                <w:sz w:val="14"/>
              </w:rPr>
              <w:t>Not stated. The policy is framed for all women in WA across the life course with priority populations identified, but no eligibility criteria based on visa status, residency, or Medicare status are addressed for specific services.</w:t>
            </w:r>
          </w:p>
        </w:tc>
        <w:tc>
          <w:tcPr>
            <w:tcW w:w="3402" w:type="dxa"/>
          </w:tcPr>
          <w:p w14:paraId="4BEC6055" w14:textId="77777777" w:rsidR="00EB4ED0" w:rsidRPr="00DB02FF" w:rsidRDefault="00EB4ED0" w:rsidP="007406A9">
            <w:pPr>
              <w:spacing w:after="0"/>
              <w:ind w:firstLine="0"/>
              <w:rPr>
                <w:rFonts w:cs="Calibri"/>
                <w:sz w:val="14"/>
              </w:rPr>
            </w:pPr>
            <w:r w:rsidRPr="00DB02FF">
              <w:rPr>
                <w:rFonts w:cs="Calibri"/>
                <w:color w:val="000000"/>
                <w:sz w:val="14"/>
              </w:rPr>
              <w:t>Language barriers are addressed through increased interpreter access and translated health information, and through improving cultural and language competency of mainstream services, though these actions are limited to chronic conditions. Cultural barriers are acknowledged through recognition of cultural determinants of health and a commitment to culturally secure services, directed primarily at Aboriginal women. Financial barriers are addressed through affordability commitments for reproductive and fertility services. Legal barriers for migrant populations are not addressed. Geographic barriers are addressed through telehealth expansion and recognition of rural, remote, and regional women as a priority population.</w:t>
            </w:r>
          </w:p>
        </w:tc>
        <w:tc>
          <w:tcPr>
            <w:tcW w:w="2977" w:type="dxa"/>
          </w:tcPr>
          <w:p w14:paraId="46386988"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Present as a cross-cutting principle. </w:t>
            </w:r>
          </w:p>
          <w:p w14:paraId="7D355946" w14:textId="77777777" w:rsidR="00EB4ED0" w:rsidRPr="00DB02FF" w:rsidRDefault="00EB4ED0" w:rsidP="007406A9">
            <w:pPr>
              <w:spacing w:after="0"/>
              <w:ind w:firstLine="0"/>
              <w:rPr>
                <w:rFonts w:cs="Calibri"/>
                <w:sz w:val="14"/>
              </w:rPr>
            </w:pPr>
            <w:r w:rsidRPr="00DB02FF">
              <w:rPr>
                <w:rFonts w:cs="Calibri"/>
                <w:color w:val="000000"/>
                <w:sz w:val="14"/>
              </w:rPr>
              <w:t>Stigma, discrimination, and racism are acknowledged as significant barriers to health system access. Culturally secure services and improved cultural and language competency of mainstream services are stated commitments. Cultural safety is referenced throughout but directed primarily at Aboriginal women, with limited migration-specific strategies described.</w:t>
            </w:r>
          </w:p>
        </w:tc>
        <w:tc>
          <w:tcPr>
            <w:tcW w:w="2835" w:type="dxa"/>
          </w:tcPr>
          <w:p w14:paraId="02AECE97" w14:textId="77777777" w:rsidR="00EB4ED0" w:rsidRPr="00DB02FF" w:rsidRDefault="00EB4ED0" w:rsidP="007406A9">
            <w:pPr>
              <w:spacing w:after="0"/>
              <w:ind w:firstLine="0"/>
              <w:rPr>
                <w:rFonts w:cs="Calibri"/>
                <w:color w:val="000000"/>
                <w:sz w:val="14"/>
                <w:rtl/>
              </w:rPr>
            </w:pPr>
            <w:r w:rsidRPr="00DB02FF">
              <w:rPr>
                <w:rFonts w:cs="Calibri"/>
                <w:color w:val="000000"/>
                <w:sz w:val="14"/>
              </w:rPr>
              <w:t>Implicit.</w:t>
            </w:r>
          </w:p>
          <w:p w14:paraId="07382996" w14:textId="77777777" w:rsidR="00EB4ED0" w:rsidRPr="00DB02FF" w:rsidRDefault="00EB4ED0" w:rsidP="007406A9">
            <w:pPr>
              <w:spacing w:after="0"/>
              <w:ind w:firstLine="0"/>
              <w:rPr>
                <w:rFonts w:cs="Calibri"/>
                <w:sz w:val="14"/>
              </w:rPr>
            </w:pPr>
            <w:r w:rsidRPr="00DB02FF">
              <w:rPr>
                <w:rFonts w:cs="Calibri"/>
                <w:color w:val="000000"/>
                <w:sz w:val="14"/>
              </w:rPr>
              <w:t>No explicit reference to international human rights frameworks. Equity and access language is used, and the WHO definition of health as complete physical, mental, and social wellbeing is adopted as a foundation.</w:t>
            </w:r>
          </w:p>
        </w:tc>
        <w:tc>
          <w:tcPr>
            <w:tcW w:w="2977" w:type="dxa"/>
          </w:tcPr>
          <w:p w14:paraId="10A011D9" w14:textId="77777777" w:rsidR="00EB4ED0" w:rsidRPr="00DB02FF" w:rsidRDefault="00EB4ED0" w:rsidP="007406A9">
            <w:pPr>
              <w:spacing w:after="0"/>
              <w:ind w:firstLine="0"/>
              <w:rPr>
                <w:rFonts w:cs="Calibri"/>
                <w:sz w:val="14"/>
              </w:rPr>
            </w:pPr>
            <w:r w:rsidRPr="00DB02FF">
              <w:rPr>
                <w:rFonts w:cs="Calibri"/>
                <w:color w:val="000000"/>
                <w:sz w:val="14"/>
              </w:rPr>
              <w:t>Explicit as a guiding principle. Inequities in health outcomes between populations of women are to be addressed and reduced. Equitable access to programs and services is stated as essential, targeting those at greatest risk of poor health. However, equity in relation to immigration status or healthcare entitlements is not addressed in specific actions, and visa-based structural exclusions remain outside the equity framework.</w:t>
            </w:r>
          </w:p>
        </w:tc>
      </w:tr>
      <w:tr w:rsidR="00EB4ED0" w:rsidRPr="00DB02FF" w14:paraId="74D8530B" w14:textId="77777777" w:rsidTr="00EB4ED0">
        <w:tc>
          <w:tcPr>
            <w:tcW w:w="358" w:type="dxa"/>
            <w:shd w:val="clear" w:color="auto" w:fill="F2F2F2" w:themeFill="background1" w:themeFillShade="F2"/>
            <w:vAlign w:val="center"/>
          </w:tcPr>
          <w:p w14:paraId="1DDE718F" w14:textId="77777777" w:rsidR="00EB4ED0" w:rsidRPr="00DB02FF" w:rsidRDefault="00EB4ED0" w:rsidP="007406A9">
            <w:pPr>
              <w:spacing w:after="0"/>
              <w:ind w:firstLine="0"/>
              <w:jc w:val="center"/>
              <w:rPr>
                <w:rFonts w:cs="Calibri"/>
                <w:sz w:val="14"/>
              </w:rPr>
            </w:pPr>
            <w:r w:rsidRPr="00DB02FF">
              <w:rPr>
                <w:rFonts w:cs="Calibri"/>
                <w:sz w:val="14"/>
              </w:rPr>
              <w:t>34</w:t>
            </w:r>
          </w:p>
        </w:tc>
        <w:tc>
          <w:tcPr>
            <w:tcW w:w="1344" w:type="dxa"/>
            <w:shd w:val="clear" w:color="auto" w:fill="F2F2F2" w:themeFill="background1" w:themeFillShade="F2"/>
          </w:tcPr>
          <w:p w14:paraId="79B7328B" w14:textId="77777777" w:rsidR="00EB4ED0" w:rsidRPr="00DB02FF" w:rsidRDefault="00EB4ED0" w:rsidP="007406A9">
            <w:pPr>
              <w:spacing w:after="0"/>
              <w:ind w:firstLine="0"/>
              <w:rPr>
                <w:rFonts w:cs="Calibri"/>
                <w:sz w:val="14"/>
              </w:rPr>
            </w:pPr>
            <w:r w:rsidRPr="00DB02FF">
              <w:rPr>
                <w:rFonts w:cs="Calibri"/>
                <w:sz w:val="14"/>
              </w:rPr>
              <w:t xml:space="preserve">Sexual Violence Prevention and Response Strategy 2025–2035: Addressing Sexual Violence Together </w:t>
            </w:r>
            <w:r w:rsidRPr="00DB02FF">
              <w:rPr>
                <w:rFonts w:cs="Calibri"/>
                <w:sz w:val="14"/>
              </w:rPr>
              <w:fldChar w:fldCharType="begin"/>
            </w:r>
            <w:r>
              <w:rPr>
                <w:rFonts w:cs="Calibri"/>
                <w:sz w:val="14"/>
              </w:rPr>
              <w:instrText xml:space="preserve"> ADDIN EN.CITE &lt;EndNote&gt;&lt;Cite&gt;&lt;Author&gt;Department of Communities Government of Western Australia&lt;/Author&gt;&lt;Year&gt;2025&lt;/Year&gt;&lt;RecNum&gt;253&lt;/RecNum&gt;&lt;DisplayText&gt;(44)&lt;/DisplayText&gt;&lt;record&gt;&lt;rec-number&gt;253&lt;/rec-number&gt;&lt;foreign-keys&gt;&lt;key app="EN" db-id="rpvwsrsz7xw2rmep9ztxavrkttar9reapt9w" timestamp="1773288029"&gt;253&lt;/key&gt;&lt;/foreign-keys&gt;&lt;ref-type name="Web Page"&gt;12&lt;/ref-type&gt;&lt;contributors&gt;&lt;authors&gt;&lt;author&gt;Department of Communities Government of Western Australia, &lt;/author&gt;&lt;/authors&gt;&lt;/contributors&gt;&lt;titles&gt;&lt;title&gt;Sexual Violence Prevention and Response Strategy 2025–2035: Addressing Sexual Violence Together&lt;/title&gt;&lt;/titles&gt;&lt;volume&gt;2026&lt;/volume&gt;&lt;number&gt;12 March &lt;/number&gt;&lt;dates&gt;&lt;year&gt;2025&lt;/year&gt;&lt;/dates&gt;&lt;urls&gt;&lt;related-urls&gt;&lt;url&gt;https://www.wa.gov.au/system/files/2025-12/svprs-full_strategy.pdf&lt;/url&gt;&lt;/related-urls&gt;&lt;/urls&gt;&lt;/record&gt;&lt;/Cite&gt;&lt;/EndNote&gt;</w:instrText>
            </w:r>
            <w:r w:rsidRPr="00DB02FF">
              <w:rPr>
                <w:rFonts w:cs="Calibri"/>
                <w:sz w:val="14"/>
              </w:rPr>
              <w:fldChar w:fldCharType="separate"/>
            </w:r>
            <w:r>
              <w:rPr>
                <w:rFonts w:cs="Calibri"/>
                <w:noProof/>
                <w:sz w:val="14"/>
              </w:rPr>
              <w:t>(44)</w:t>
            </w:r>
            <w:r w:rsidRPr="00DB02FF">
              <w:rPr>
                <w:rFonts w:cs="Calibri"/>
                <w:sz w:val="14"/>
              </w:rPr>
              <w:fldChar w:fldCharType="end"/>
            </w:r>
          </w:p>
        </w:tc>
        <w:tc>
          <w:tcPr>
            <w:tcW w:w="2126" w:type="dxa"/>
            <w:shd w:val="clear" w:color="auto" w:fill="F2F2F2" w:themeFill="background1" w:themeFillShade="F2"/>
          </w:tcPr>
          <w:p w14:paraId="041AF629" w14:textId="77777777" w:rsidR="00EB4ED0" w:rsidRPr="00DB02FF" w:rsidRDefault="00EB4ED0" w:rsidP="007406A9">
            <w:pPr>
              <w:spacing w:after="0"/>
              <w:ind w:firstLine="0"/>
              <w:rPr>
                <w:rFonts w:cs="Calibri"/>
                <w:sz w:val="14"/>
              </w:rPr>
            </w:pPr>
            <w:r w:rsidRPr="00DB02FF">
              <w:rPr>
                <w:rFonts w:cs="Calibri"/>
                <w:color w:val="000000"/>
                <w:sz w:val="14"/>
              </w:rPr>
              <w:t>Not stated. Services are framed as accessible for all people in Western Australia without defining who qualifies or whether this includes temporary visa holders, asylum seekers, or undocumented migrants. SARC is described as a free service without specifying eligibility restrictions.</w:t>
            </w:r>
          </w:p>
        </w:tc>
        <w:tc>
          <w:tcPr>
            <w:tcW w:w="3402" w:type="dxa"/>
            <w:shd w:val="clear" w:color="auto" w:fill="F2F2F2" w:themeFill="background1" w:themeFillShade="F2"/>
          </w:tcPr>
          <w:p w14:paraId="19623985" w14:textId="77777777" w:rsidR="00EB4ED0" w:rsidRPr="00DB02FF" w:rsidRDefault="00EB4ED0" w:rsidP="007406A9">
            <w:pPr>
              <w:spacing w:after="0"/>
              <w:ind w:firstLine="0"/>
              <w:rPr>
                <w:rFonts w:cs="Calibri"/>
                <w:sz w:val="14"/>
              </w:rPr>
            </w:pPr>
            <w:r w:rsidRPr="00DB02FF">
              <w:rPr>
                <w:rFonts w:cs="Calibri"/>
                <w:color w:val="000000"/>
                <w:sz w:val="14"/>
              </w:rPr>
              <w:t xml:space="preserve">Language barriers are implied through linguistically accessible services for CALD communities and provision of TIS contact details, with language barriers listed as a risk factor. Cultural barriers are addressed through repeated commitments to culturally safe and culturally responsive approaches across all four strategy domains. Financial barriers are not explicitly addressed for migrant populations, with SARC described only as a free service. Legal barriers are partially addressed through acknowledgement of limited knowledge of Australian legal and support systems and mistrust of authorities among CALD communities, but visa status and immigration-related fears are not named. Geographic </w:t>
            </w:r>
            <w:r w:rsidRPr="00DB02FF">
              <w:rPr>
                <w:rFonts w:cs="Calibri"/>
                <w:color w:val="000000"/>
                <w:sz w:val="14"/>
              </w:rPr>
              <w:lastRenderedPageBreak/>
              <w:t>barriers are addressed through recognition of higher rates of sexual violence in regional areas and workforce challenges across Western Australia's dispersed geography.</w:t>
            </w:r>
          </w:p>
        </w:tc>
        <w:tc>
          <w:tcPr>
            <w:tcW w:w="2977" w:type="dxa"/>
            <w:shd w:val="clear" w:color="auto" w:fill="F2F2F2" w:themeFill="background1" w:themeFillShade="F2"/>
          </w:tcPr>
          <w:p w14:paraId="684566C0" w14:textId="77777777" w:rsidR="00EB4ED0" w:rsidRPr="00DB02FF" w:rsidRDefault="00EB4ED0" w:rsidP="007406A9">
            <w:pPr>
              <w:spacing w:after="0"/>
              <w:ind w:firstLine="0"/>
              <w:rPr>
                <w:rFonts w:cs="Calibri"/>
                <w:color w:val="000000"/>
                <w:sz w:val="14"/>
                <w:rtl/>
              </w:rPr>
            </w:pPr>
            <w:r w:rsidRPr="00DB02FF">
              <w:rPr>
                <w:rFonts w:cs="Calibri"/>
                <w:color w:val="000000"/>
                <w:sz w:val="14"/>
              </w:rPr>
              <w:lastRenderedPageBreak/>
              <w:t xml:space="preserve">Present. </w:t>
            </w:r>
          </w:p>
          <w:p w14:paraId="4983BFDF" w14:textId="77777777" w:rsidR="00EB4ED0" w:rsidRPr="00DB02FF" w:rsidRDefault="00EB4ED0" w:rsidP="007406A9">
            <w:pPr>
              <w:spacing w:after="0"/>
              <w:ind w:firstLine="0"/>
              <w:rPr>
                <w:rFonts w:cs="Calibri"/>
                <w:sz w:val="14"/>
              </w:rPr>
            </w:pPr>
            <w:r w:rsidRPr="00DB02FF">
              <w:rPr>
                <w:rFonts w:cs="Calibri"/>
                <w:color w:val="000000"/>
                <w:sz w:val="14"/>
              </w:rPr>
              <w:t>Culturally safe approaches are a core principle and operational requirement across all four strategy domains. No migration-specific cultural safety strategies, interpreter provisions, or CALD-specific service models are described beyond the general principle.</w:t>
            </w:r>
          </w:p>
        </w:tc>
        <w:tc>
          <w:tcPr>
            <w:tcW w:w="2835" w:type="dxa"/>
            <w:shd w:val="clear" w:color="auto" w:fill="F2F2F2" w:themeFill="background1" w:themeFillShade="F2"/>
          </w:tcPr>
          <w:p w14:paraId="5E64ABF8"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Implicit. </w:t>
            </w:r>
          </w:p>
          <w:p w14:paraId="572640C1" w14:textId="77777777" w:rsidR="00EB4ED0" w:rsidRPr="00DB02FF" w:rsidRDefault="00EB4ED0" w:rsidP="007406A9">
            <w:pPr>
              <w:spacing w:after="0"/>
              <w:ind w:firstLine="0"/>
              <w:rPr>
                <w:rFonts w:cs="Calibri"/>
                <w:sz w:val="14"/>
              </w:rPr>
            </w:pPr>
            <w:r w:rsidRPr="00DB02FF">
              <w:rPr>
                <w:rFonts w:cs="Calibri"/>
                <w:color w:val="000000"/>
                <w:sz w:val="14"/>
              </w:rPr>
              <w:t>Sexual violence is framed as a profound violation of human dignity. Fundamental human rights are referenced once in relation to people with disability. No explicit reference to international human rights frameworks such as CEDAW, CRPD, or the Universal Declaration of Human Rights. No rights-based framing specific to migrants, refugees, or temporary visa holders.</w:t>
            </w:r>
          </w:p>
        </w:tc>
        <w:tc>
          <w:tcPr>
            <w:tcW w:w="2977" w:type="dxa"/>
            <w:shd w:val="clear" w:color="auto" w:fill="F2F2F2" w:themeFill="background1" w:themeFillShade="F2"/>
          </w:tcPr>
          <w:p w14:paraId="718F0906" w14:textId="77777777" w:rsidR="00EB4ED0" w:rsidRPr="00DB02FF" w:rsidRDefault="00EB4ED0" w:rsidP="007406A9">
            <w:pPr>
              <w:spacing w:after="0"/>
              <w:ind w:firstLine="0"/>
              <w:rPr>
                <w:rFonts w:cs="Calibri"/>
                <w:color w:val="000000"/>
                <w:sz w:val="14"/>
                <w:rtl/>
              </w:rPr>
            </w:pPr>
            <w:r w:rsidRPr="00DB02FF">
              <w:rPr>
                <w:rFonts w:cs="Calibri"/>
                <w:color w:val="000000"/>
                <w:sz w:val="14"/>
              </w:rPr>
              <w:t xml:space="preserve">Present through intersectionality. </w:t>
            </w:r>
          </w:p>
          <w:p w14:paraId="175A0E03" w14:textId="77777777" w:rsidR="00EB4ED0" w:rsidRPr="00DB02FF" w:rsidRDefault="00EB4ED0" w:rsidP="007406A9">
            <w:pPr>
              <w:spacing w:after="0"/>
              <w:ind w:firstLine="0"/>
              <w:rPr>
                <w:rFonts w:cs="Calibri"/>
                <w:sz w:val="14"/>
              </w:rPr>
            </w:pPr>
            <w:r w:rsidRPr="00DB02FF">
              <w:rPr>
                <w:rFonts w:cs="Calibri"/>
                <w:color w:val="000000"/>
                <w:sz w:val="14"/>
              </w:rPr>
              <w:t>Structural inequalities shaping people's experiences of sexual violence are acknowledged, and responses are to be inclusive, equitable, and effective. Barriers to safety, justice, and support are recognised as shaped by racism, intergenerational trauma, and other structural forms of discrimination. However, equity is framed through gender, disability, Aboriginality, LGBTIQA+ identity, and cultural and linguistic diversity, without addressing the equity implications of immigration or visa status.</w:t>
            </w:r>
          </w:p>
        </w:tc>
      </w:tr>
    </w:tbl>
    <w:p w14:paraId="29F6B18D" w14:textId="77777777" w:rsidR="00EB4ED0" w:rsidRPr="00DB02FF" w:rsidRDefault="00EB4ED0" w:rsidP="00EB4ED0">
      <w:pPr>
        <w:spacing w:after="0"/>
        <w:ind w:left="-993" w:right="-926" w:firstLine="0"/>
        <w:jc w:val="both"/>
        <w:rPr>
          <w:sz w:val="14"/>
          <w:szCs w:val="10"/>
        </w:rPr>
      </w:pPr>
      <w:r w:rsidRPr="00DB02FF">
        <w:rPr>
          <w:b/>
          <w:bCs/>
          <w:sz w:val="14"/>
          <w:szCs w:val="10"/>
        </w:rPr>
        <w:t xml:space="preserve">Notes: </w:t>
      </w:r>
      <w:r w:rsidRPr="00DB02FF">
        <w:rPr>
          <w:sz w:val="14"/>
          <w:szCs w:val="10"/>
        </w:rPr>
        <w:t>Eligibility was recorded as “not stated” when visa, residency, or Medicare status was not specified, with any implicit access noted. Barriers (language, cultural, financial, legal, geographic) were coded separately, distinguishing acknowledgement from actionable responses. Cultural responsiveness was classified from absent to present and substantive, with the highest level requiring operational measures (e.g., cultural safety frameworks, interpreter use, bilingual/bicultural workforce, co-design). Rights-based approaches ranged from absent to present and comprehensive, with higher levels requiring explicit rights language and reference to international human rights instruments. Equity was distinguished between stated principles and operationalised actions with targets, funding, or specific programs for migrant and refugee groups. CALD was treated as encompassing all culturally and linguistically diverse populations regardless of migration or legal status, with any conflation reflected in assessment. Assessments reflect whole-document analysis.</w:t>
      </w:r>
    </w:p>
    <w:p w14:paraId="78063F11" w14:textId="77777777" w:rsidR="00EB4ED0" w:rsidRPr="00DB02FF" w:rsidRDefault="00EB4ED0" w:rsidP="00EB4ED0">
      <w:pPr>
        <w:spacing w:after="0"/>
        <w:ind w:left="-993" w:right="-926" w:firstLine="0"/>
        <w:jc w:val="both"/>
        <w:rPr>
          <w:sz w:val="14"/>
          <w:szCs w:val="10"/>
        </w:rPr>
      </w:pPr>
      <w:r w:rsidRPr="00DB02FF">
        <w:rPr>
          <w:b/>
          <w:bCs/>
          <w:sz w:val="14"/>
          <w:szCs w:val="10"/>
        </w:rPr>
        <w:t xml:space="preserve">Abbreviations: </w:t>
      </w:r>
      <w:r w:rsidRPr="00DB02FF">
        <w:rPr>
          <w:sz w:val="14"/>
          <w:szCs w:val="10"/>
        </w:rPr>
        <w:t>ART = Antiretroviral Therapy; ATSICCHO = Aboriginal and Torres Strait Islander Community Controlled Health Organisation; BBV = Blood-Borne Virus; CALD = Culturally and Linguistically Diverse; CEDAW = Convention on the Elimination of All Forms of Discrimination Against Women; COAG = Council of Australian Governments; CSE = Comprehensive Sexuality Education; DVA = Department of Veterans’ Affairs; FGM/C = Female Genital Mutilation/Cutting; GBMSM = Gay, Bisexual, and Other Men Who Have Sex With Men; GBV = Gender-Based Violence; HPV = Human Papillomavirus; ICCPR = International Covenant on Civil and Political Rights; ICESCR = International Covenant on Economic, Social and Cultural Rights; LARC = Long-Acting Reversible Contraception; LGBTIQA+ = Lesbian, Gay, Bisexual, Transgender, Intersex, Queer, Asexual and other diverse sexual orientations and gender identities; MBS = Medicare Benefits Schedule; MSM = Men Who Have Sex With Men; NAATI = National Accreditation Authority for Translators and Interpreters; OSHC = Overseas Student Health Cover; PBS = Pharmaceutical Benefits Scheme; PEACE = Personal Education and Community Empowerment; PrEP = Pre-Exposure Prophylaxis; RANZCOG = Royal Australian and New Zealand College of Obstetricians and Gynaecologists; SARC = Sexual Assault Resource Centre; SRH = Sexual and Reproductive Health; SRHR = Sexual and Reproductive Health and Rights; STI = Sexually Transmissible Infection; TIS = Translating and Interpreting Service.</w:t>
      </w:r>
    </w:p>
    <w:p w14:paraId="44B66575" w14:textId="77777777" w:rsidR="001F6700" w:rsidRDefault="001F6700"/>
    <w:sectPr w:rsidR="001F6700" w:rsidSect="00EB4ED0">
      <w:pgSz w:w="16838" w:h="11906" w:orient="landscape"/>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262"/>
    <w:rsid w:val="000008CA"/>
    <w:rsid w:val="0000111E"/>
    <w:rsid w:val="0000202C"/>
    <w:rsid w:val="00087A39"/>
    <w:rsid w:val="000A1CD0"/>
    <w:rsid w:val="000E65EE"/>
    <w:rsid w:val="0010410B"/>
    <w:rsid w:val="0015522D"/>
    <w:rsid w:val="001905C0"/>
    <w:rsid w:val="001A768D"/>
    <w:rsid w:val="001E3DA6"/>
    <w:rsid w:val="001F6700"/>
    <w:rsid w:val="002103CA"/>
    <w:rsid w:val="00213262"/>
    <w:rsid w:val="002209D9"/>
    <w:rsid w:val="002346C2"/>
    <w:rsid w:val="00266931"/>
    <w:rsid w:val="00281F3B"/>
    <w:rsid w:val="002D3224"/>
    <w:rsid w:val="002E223A"/>
    <w:rsid w:val="003313DB"/>
    <w:rsid w:val="003625C7"/>
    <w:rsid w:val="003C07D9"/>
    <w:rsid w:val="003F0960"/>
    <w:rsid w:val="00403D44"/>
    <w:rsid w:val="0048149A"/>
    <w:rsid w:val="004C3B25"/>
    <w:rsid w:val="004C60C6"/>
    <w:rsid w:val="004E3111"/>
    <w:rsid w:val="0050087D"/>
    <w:rsid w:val="00502909"/>
    <w:rsid w:val="00516D0F"/>
    <w:rsid w:val="00520FB1"/>
    <w:rsid w:val="005766E1"/>
    <w:rsid w:val="005A4153"/>
    <w:rsid w:val="005B719C"/>
    <w:rsid w:val="005C4C4E"/>
    <w:rsid w:val="005D3443"/>
    <w:rsid w:val="005F0B92"/>
    <w:rsid w:val="00651CF5"/>
    <w:rsid w:val="00723334"/>
    <w:rsid w:val="00734E74"/>
    <w:rsid w:val="007A67D4"/>
    <w:rsid w:val="007B069E"/>
    <w:rsid w:val="007D4E2D"/>
    <w:rsid w:val="008B78F1"/>
    <w:rsid w:val="009435CB"/>
    <w:rsid w:val="009530B1"/>
    <w:rsid w:val="009A1B19"/>
    <w:rsid w:val="00A13CD6"/>
    <w:rsid w:val="00A46927"/>
    <w:rsid w:val="00AB4CDB"/>
    <w:rsid w:val="00AE7AEC"/>
    <w:rsid w:val="00B05E97"/>
    <w:rsid w:val="00B06524"/>
    <w:rsid w:val="00B22382"/>
    <w:rsid w:val="00B3384B"/>
    <w:rsid w:val="00B4355E"/>
    <w:rsid w:val="00B474C8"/>
    <w:rsid w:val="00B92F12"/>
    <w:rsid w:val="00C146EC"/>
    <w:rsid w:val="00C76CAB"/>
    <w:rsid w:val="00CA2E13"/>
    <w:rsid w:val="00CB7DBB"/>
    <w:rsid w:val="00CD59D1"/>
    <w:rsid w:val="00D01347"/>
    <w:rsid w:val="00D24C29"/>
    <w:rsid w:val="00D27F26"/>
    <w:rsid w:val="00D47372"/>
    <w:rsid w:val="00E1466C"/>
    <w:rsid w:val="00E16C63"/>
    <w:rsid w:val="00E1784F"/>
    <w:rsid w:val="00E37C61"/>
    <w:rsid w:val="00E50CE7"/>
    <w:rsid w:val="00E65A2F"/>
    <w:rsid w:val="00EB4ED0"/>
    <w:rsid w:val="00F33D46"/>
    <w:rsid w:val="00F365E0"/>
    <w:rsid w:val="00F406D4"/>
    <w:rsid w:val="00F84AF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833E0"/>
  <w15:chartTrackingRefBased/>
  <w15:docId w15:val="{873A2169-4379-4800-AA9A-C13ADFF63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2"/>
        <w:szCs w:val="22"/>
        <w:lang w:val="en-AU" w:eastAsia="en-US" w:bidi="ar-SA"/>
        <w14:ligatures w14:val="standardContextual"/>
      </w:rPr>
    </w:rPrDefault>
    <w:pPrDefault>
      <w:pPr>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ED0"/>
    <w:pPr>
      <w:spacing w:after="120"/>
      <w:ind w:left="0" w:firstLine="284"/>
      <w:jc w:val="left"/>
    </w:pPr>
    <w:rPr>
      <w:rFonts w:ascii="Calibri" w:hAnsi="Calibri" w:cs="Arial"/>
      <w:kern w:val="0"/>
      <w:sz w:val="20"/>
      <w:szCs w:val="14"/>
      <w:lang w:eastAsia="en-AU"/>
    </w:rPr>
  </w:style>
  <w:style w:type="paragraph" w:styleId="Heading1">
    <w:name w:val="heading 1"/>
    <w:link w:val="Heading1Char"/>
    <w:autoRedefine/>
    <w:uiPriority w:val="9"/>
    <w:qFormat/>
    <w:rsid w:val="00E16C63"/>
    <w:pPr>
      <w:spacing w:before="120" w:after="120"/>
      <w:ind w:left="142" w:firstLine="284"/>
      <w:outlineLvl w:val="0"/>
    </w:pPr>
    <w:rPr>
      <w:rFonts w:ascii="Calibri" w:hAnsi="Calibri" w:cs="Calibri"/>
      <w:b/>
      <w:color w:val="000000" w:themeColor="text1"/>
      <w:kern w:val="0"/>
      <w:sz w:val="20"/>
      <w:szCs w:val="18"/>
      <w:lang w:eastAsia="en-AU"/>
    </w:rPr>
  </w:style>
  <w:style w:type="paragraph" w:styleId="Heading2">
    <w:name w:val="heading 2"/>
    <w:link w:val="Heading2Char"/>
    <w:autoRedefine/>
    <w:uiPriority w:val="9"/>
    <w:unhideWhenUsed/>
    <w:qFormat/>
    <w:rsid w:val="008B78F1"/>
    <w:pPr>
      <w:spacing w:before="120" w:after="120" w:line="360" w:lineRule="auto"/>
      <w:ind w:left="425" w:firstLine="0"/>
      <w:jc w:val="left"/>
      <w:outlineLvl w:val="1"/>
    </w:pPr>
    <w:rPr>
      <w:rFonts w:ascii="Calibri" w:hAnsi="Calibri" w:cs="Arial"/>
      <w:b/>
      <w:color w:val="000000" w:themeColor="text1"/>
      <w:kern w:val="0"/>
      <w:szCs w:val="26"/>
      <w:lang w:eastAsia="en-AU"/>
    </w:rPr>
  </w:style>
  <w:style w:type="paragraph" w:styleId="Heading3">
    <w:name w:val="heading 3"/>
    <w:link w:val="Heading3Char"/>
    <w:autoRedefine/>
    <w:uiPriority w:val="9"/>
    <w:unhideWhenUsed/>
    <w:qFormat/>
    <w:rsid w:val="00E16C63"/>
    <w:pPr>
      <w:spacing w:before="120" w:after="120"/>
      <w:ind w:left="0" w:firstLine="0"/>
      <w:jc w:val="left"/>
      <w:outlineLvl w:val="2"/>
    </w:pPr>
    <w:rPr>
      <w:rFonts w:ascii="Calibri" w:hAnsi="Calibri" w:cs="Arial"/>
      <w:b/>
      <w:color w:val="000000" w:themeColor="text1"/>
      <w:kern w:val="0"/>
      <w:szCs w:val="24"/>
      <w:lang w:eastAsia="en-AU"/>
    </w:rPr>
  </w:style>
  <w:style w:type="paragraph" w:styleId="Heading4">
    <w:name w:val="heading 4"/>
    <w:basedOn w:val="Normal"/>
    <w:next w:val="Normal"/>
    <w:link w:val="Heading4Char"/>
    <w:uiPriority w:val="9"/>
    <w:semiHidden/>
    <w:unhideWhenUsed/>
    <w:qFormat/>
    <w:rsid w:val="002132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132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132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32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32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32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unhideWhenUsed/>
    <w:rsid w:val="00087A39"/>
    <w:rPr>
      <w:rFonts w:asciiTheme="minorHAnsi" w:hAnsiTheme="minorHAnsi"/>
      <w:sz w:val="18"/>
    </w:rPr>
  </w:style>
  <w:style w:type="character" w:customStyle="1" w:styleId="Heading3Char">
    <w:name w:val="Heading 3 Char"/>
    <w:basedOn w:val="DefaultParagraphFont"/>
    <w:link w:val="Heading3"/>
    <w:uiPriority w:val="9"/>
    <w:rsid w:val="00E16C63"/>
    <w:rPr>
      <w:rFonts w:ascii="Calibri" w:hAnsi="Calibri" w:cs="Arial"/>
      <w:b/>
      <w:color w:val="000000" w:themeColor="text1"/>
      <w:kern w:val="0"/>
      <w:szCs w:val="24"/>
      <w:lang w:eastAsia="en-AU"/>
    </w:rPr>
  </w:style>
  <w:style w:type="character" w:customStyle="1" w:styleId="Heading2Char">
    <w:name w:val="Heading 2 Char"/>
    <w:basedOn w:val="DefaultParagraphFont"/>
    <w:link w:val="Heading2"/>
    <w:uiPriority w:val="9"/>
    <w:rsid w:val="008B78F1"/>
    <w:rPr>
      <w:rFonts w:ascii="Calibri" w:hAnsi="Calibri" w:cs="Arial"/>
      <w:b/>
      <w:color w:val="000000" w:themeColor="text1"/>
      <w:kern w:val="0"/>
      <w:szCs w:val="26"/>
      <w:lang w:eastAsia="en-AU"/>
    </w:rPr>
  </w:style>
  <w:style w:type="character" w:customStyle="1" w:styleId="Heading1Char">
    <w:name w:val="Heading 1 Char"/>
    <w:basedOn w:val="DefaultParagraphFont"/>
    <w:link w:val="Heading1"/>
    <w:uiPriority w:val="9"/>
    <w:rsid w:val="00E16C63"/>
    <w:rPr>
      <w:rFonts w:ascii="Calibri" w:hAnsi="Calibri" w:cs="Calibri"/>
      <w:b/>
      <w:color w:val="000000" w:themeColor="text1"/>
      <w:kern w:val="0"/>
      <w:sz w:val="20"/>
      <w:szCs w:val="18"/>
      <w:lang w:eastAsia="en-AU"/>
    </w:rPr>
  </w:style>
  <w:style w:type="character" w:customStyle="1" w:styleId="Heading4Char">
    <w:name w:val="Heading 4 Char"/>
    <w:basedOn w:val="DefaultParagraphFont"/>
    <w:link w:val="Heading4"/>
    <w:uiPriority w:val="9"/>
    <w:semiHidden/>
    <w:rsid w:val="00213262"/>
    <w:rPr>
      <w:rFonts w:eastAsiaTheme="majorEastAsia" w:cstheme="majorBidi"/>
      <w:i/>
      <w:iCs/>
      <w:color w:val="0F4761" w:themeColor="accent1" w:themeShade="BF"/>
      <w:kern w:val="0"/>
      <w:szCs w:val="14"/>
      <w:lang w:eastAsia="en-AU"/>
    </w:rPr>
  </w:style>
  <w:style w:type="character" w:customStyle="1" w:styleId="Heading5Char">
    <w:name w:val="Heading 5 Char"/>
    <w:basedOn w:val="DefaultParagraphFont"/>
    <w:link w:val="Heading5"/>
    <w:uiPriority w:val="9"/>
    <w:semiHidden/>
    <w:rsid w:val="00213262"/>
    <w:rPr>
      <w:rFonts w:eastAsiaTheme="majorEastAsia" w:cstheme="majorBidi"/>
      <w:color w:val="0F4761" w:themeColor="accent1" w:themeShade="BF"/>
      <w:kern w:val="0"/>
      <w:szCs w:val="14"/>
      <w:lang w:eastAsia="en-AU"/>
    </w:rPr>
  </w:style>
  <w:style w:type="character" w:customStyle="1" w:styleId="Heading6Char">
    <w:name w:val="Heading 6 Char"/>
    <w:basedOn w:val="DefaultParagraphFont"/>
    <w:link w:val="Heading6"/>
    <w:uiPriority w:val="9"/>
    <w:semiHidden/>
    <w:rsid w:val="00213262"/>
    <w:rPr>
      <w:rFonts w:eastAsiaTheme="majorEastAsia" w:cstheme="majorBidi"/>
      <w:i/>
      <w:iCs/>
      <w:color w:val="595959" w:themeColor="text1" w:themeTint="A6"/>
      <w:kern w:val="0"/>
      <w:szCs w:val="14"/>
      <w:lang w:eastAsia="en-AU"/>
    </w:rPr>
  </w:style>
  <w:style w:type="character" w:customStyle="1" w:styleId="Heading7Char">
    <w:name w:val="Heading 7 Char"/>
    <w:basedOn w:val="DefaultParagraphFont"/>
    <w:link w:val="Heading7"/>
    <w:uiPriority w:val="9"/>
    <w:semiHidden/>
    <w:rsid w:val="00213262"/>
    <w:rPr>
      <w:rFonts w:eastAsiaTheme="majorEastAsia" w:cstheme="majorBidi"/>
      <w:color w:val="595959" w:themeColor="text1" w:themeTint="A6"/>
      <w:kern w:val="0"/>
      <w:szCs w:val="14"/>
      <w:lang w:eastAsia="en-AU"/>
    </w:rPr>
  </w:style>
  <w:style w:type="character" w:customStyle="1" w:styleId="Heading8Char">
    <w:name w:val="Heading 8 Char"/>
    <w:basedOn w:val="DefaultParagraphFont"/>
    <w:link w:val="Heading8"/>
    <w:uiPriority w:val="9"/>
    <w:semiHidden/>
    <w:rsid w:val="00213262"/>
    <w:rPr>
      <w:rFonts w:eastAsiaTheme="majorEastAsia" w:cstheme="majorBidi"/>
      <w:i/>
      <w:iCs/>
      <w:color w:val="272727" w:themeColor="text1" w:themeTint="D8"/>
      <w:kern w:val="0"/>
      <w:szCs w:val="14"/>
      <w:lang w:eastAsia="en-AU"/>
    </w:rPr>
  </w:style>
  <w:style w:type="character" w:customStyle="1" w:styleId="Heading9Char">
    <w:name w:val="Heading 9 Char"/>
    <w:basedOn w:val="DefaultParagraphFont"/>
    <w:link w:val="Heading9"/>
    <w:uiPriority w:val="9"/>
    <w:semiHidden/>
    <w:rsid w:val="00213262"/>
    <w:rPr>
      <w:rFonts w:eastAsiaTheme="majorEastAsia" w:cstheme="majorBidi"/>
      <w:color w:val="272727" w:themeColor="text1" w:themeTint="D8"/>
      <w:kern w:val="0"/>
      <w:szCs w:val="14"/>
      <w:lang w:eastAsia="en-AU"/>
    </w:rPr>
  </w:style>
  <w:style w:type="paragraph" w:styleId="Title">
    <w:name w:val="Title"/>
    <w:basedOn w:val="Normal"/>
    <w:next w:val="Normal"/>
    <w:link w:val="TitleChar"/>
    <w:uiPriority w:val="10"/>
    <w:qFormat/>
    <w:rsid w:val="002132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262"/>
    <w:rPr>
      <w:rFonts w:asciiTheme="majorHAnsi" w:eastAsiaTheme="majorEastAsia" w:hAnsiTheme="majorHAnsi" w:cstheme="majorBidi"/>
      <w:spacing w:val="-10"/>
      <w:kern w:val="28"/>
      <w:sz w:val="56"/>
      <w:szCs w:val="56"/>
      <w:lang w:eastAsia="en-AU"/>
    </w:rPr>
  </w:style>
  <w:style w:type="paragraph" w:styleId="Subtitle">
    <w:name w:val="Subtitle"/>
    <w:basedOn w:val="Normal"/>
    <w:next w:val="Normal"/>
    <w:link w:val="SubtitleChar"/>
    <w:uiPriority w:val="11"/>
    <w:qFormat/>
    <w:rsid w:val="002132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262"/>
    <w:rPr>
      <w:rFonts w:eastAsiaTheme="majorEastAsia" w:cstheme="majorBidi"/>
      <w:color w:val="595959" w:themeColor="text1" w:themeTint="A6"/>
      <w:spacing w:val="15"/>
      <w:kern w:val="0"/>
      <w:sz w:val="28"/>
      <w:szCs w:val="28"/>
      <w:lang w:eastAsia="en-AU"/>
    </w:rPr>
  </w:style>
  <w:style w:type="paragraph" w:styleId="Quote">
    <w:name w:val="Quote"/>
    <w:basedOn w:val="Normal"/>
    <w:next w:val="Normal"/>
    <w:link w:val="QuoteChar"/>
    <w:uiPriority w:val="29"/>
    <w:qFormat/>
    <w:rsid w:val="002132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3262"/>
    <w:rPr>
      <w:rFonts w:ascii="Calibri" w:hAnsi="Calibri" w:cs="Arial"/>
      <w:i/>
      <w:iCs/>
      <w:color w:val="404040" w:themeColor="text1" w:themeTint="BF"/>
      <w:kern w:val="0"/>
      <w:szCs w:val="14"/>
      <w:lang w:eastAsia="en-AU"/>
    </w:rPr>
  </w:style>
  <w:style w:type="paragraph" w:styleId="ListParagraph">
    <w:name w:val="List Paragraph"/>
    <w:basedOn w:val="Normal"/>
    <w:uiPriority w:val="34"/>
    <w:qFormat/>
    <w:rsid w:val="00213262"/>
    <w:pPr>
      <w:ind w:left="720"/>
      <w:contextualSpacing/>
    </w:pPr>
  </w:style>
  <w:style w:type="character" w:styleId="IntenseEmphasis">
    <w:name w:val="Intense Emphasis"/>
    <w:basedOn w:val="DefaultParagraphFont"/>
    <w:uiPriority w:val="21"/>
    <w:qFormat/>
    <w:rsid w:val="00213262"/>
    <w:rPr>
      <w:i/>
      <w:iCs/>
      <w:color w:val="0F4761" w:themeColor="accent1" w:themeShade="BF"/>
    </w:rPr>
  </w:style>
  <w:style w:type="paragraph" w:styleId="IntenseQuote">
    <w:name w:val="Intense Quote"/>
    <w:basedOn w:val="Normal"/>
    <w:next w:val="Normal"/>
    <w:link w:val="IntenseQuoteChar"/>
    <w:uiPriority w:val="30"/>
    <w:qFormat/>
    <w:rsid w:val="002132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262"/>
    <w:rPr>
      <w:rFonts w:ascii="Calibri" w:hAnsi="Calibri" w:cs="Arial"/>
      <w:i/>
      <w:iCs/>
      <w:color w:val="0F4761" w:themeColor="accent1" w:themeShade="BF"/>
      <w:kern w:val="0"/>
      <w:szCs w:val="14"/>
      <w:lang w:eastAsia="en-AU"/>
    </w:rPr>
  </w:style>
  <w:style w:type="character" w:styleId="IntenseReference">
    <w:name w:val="Intense Reference"/>
    <w:basedOn w:val="DefaultParagraphFont"/>
    <w:uiPriority w:val="32"/>
    <w:qFormat/>
    <w:rsid w:val="00213262"/>
    <w:rPr>
      <w:b/>
      <w:bCs/>
      <w:smallCaps/>
      <w:color w:val="0F4761" w:themeColor="accent1" w:themeShade="BF"/>
      <w:spacing w:val="5"/>
    </w:rPr>
  </w:style>
  <w:style w:type="table" w:styleId="TableGrid">
    <w:name w:val="Table Grid"/>
    <w:basedOn w:val="TableNormal"/>
    <w:uiPriority w:val="39"/>
    <w:rsid w:val="00EB4E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B4ED0"/>
    <w:pPr>
      <w:spacing w:after="200"/>
    </w:pPr>
    <w:rPr>
      <w:i/>
      <w:iCs/>
      <w:color w:val="0E2841" w:themeColor="text2"/>
      <w:szCs w:val="18"/>
    </w:rPr>
  </w:style>
  <w:style w:type="table" w:styleId="TableGridLight">
    <w:name w:val="Grid Table Light"/>
    <w:basedOn w:val="TableNormal"/>
    <w:uiPriority w:val="40"/>
    <w:rsid w:val="00EB4ED0"/>
    <w:pPr>
      <w:ind w:left="0" w:firstLine="0"/>
      <w:jc w:val="left"/>
    </w:pPr>
    <w:rPr>
      <w:rFonts w:ascii="Arial" w:hAnsi="Arial" w:cs="Arial"/>
      <w:kern w:val="0"/>
      <w:sz w:val="14"/>
      <w:szCs w:val="14"/>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14926</Words>
  <Characters>85080</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99807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Negin Mirzaei Damabi</dc:creator>
  <cp:keywords/>
  <dc:description/>
  <cp:lastModifiedBy>Negin Mirzaei Damabi</cp:lastModifiedBy>
  <cp:revision>2</cp:revision>
  <dcterms:created xsi:type="dcterms:W3CDTF">2026-07-02T23:39:00Z</dcterms:created>
  <dcterms:modified xsi:type="dcterms:W3CDTF">2026-07-02T23:39:00Z</dcterms:modified>
</cp:coreProperties>
</file>