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B26EB3">
      <w:r>
        <w:rPr>
          <w:rFonts w:hint="eastAsia"/>
          <w:b/>
          <w:bCs/>
          <w:lang w:val="en-US" w:eastAsia="zh-CN"/>
        </w:rPr>
        <w:t xml:space="preserve">Supplementary </w:t>
      </w:r>
      <w:bookmarkStart w:id="0" w:name="_GoBack"/>
      <w:bookmarkEnd w:id="0"/>
      <w:r>
        <w:rPr>
          <w:b/>
          <w:bCs/>
        </w:rPr>
        <w:t>Table 1. SMART-aligned PBL syllabus for the lung cancer module</w:t>
      </w:r>
    </w:p>
    <w:tbl>
      <w:tblPr>
        <w:tblStyle w:val="15"/>
        <w:tblW w:w="0" w:type="auto"/>
        <w:tblCellSpacing w:w="15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34"/>
        <w:gridCol w:w="3547"/>
        <w:gridCol w:w="2823"/>
        <w:gridCol w:w="2499"/>
        <w:gridCol w:w="2722"/>
        <w:gridCol w:w="1323"/>
      </w:tblGrid>
      <w:tr w14:paraId="68D56D2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1089" w:type="dxa"/>
            <w:tcBorders>
              <w:top w:val="nil"/>
              <w:bottom w:val="single" w:color="auto" w:sz="4" w:space="0"/>
            </w:tcBorders>
            <w:vAlign w:val="center"/>
          </w:tcPr>
          <w:p w14:paraId="314D9202">
            <w:pPr>
              <w:rPr>
                <w:b/>
                <w:bCs/>
              </w:rPr>
            </w:pPr>
            <w:r>
              <w:rPr>
                <w:b/>
                <w:bCs/>
              </w:rPr>
              <w:t>Session</w:t>
            </w:r>
          </w:p>
        </w:tc>
        <w:tc>
          <w:tcPr>
            <w:tcW w:w="3517" w:type="dxa"/>
            <w:tcBorders>
              <w:top w:val="nil"/>
              <w:bottom w:val="single" w:color="auto" w:sz="4" w:space="0"/>
            </w:tcBorders>
            <w:vAlign w:val="center"/>
          </w:tcPr>
          <w:p w14:paraId="07E72D6C">
            <w:pPr>
              <w:rPr>
                <w:b/>
                <w:bCs/>
              </w:rPr>
            </w:pPr>
            <w:r>
              <w:rPr>
                <w:b/>
                <w:bCs/>
              </w:rPr>
              <w:t>Learning objective</w:t>
            </w:r>
          </w:p>
        </w:tc>
        <w:tc>
          <w:tcPr>
            <w:tcW w:w="0" w:type="auto"/>
            <w:tcBorders>
              <w:top w:val="nil"/>
              <w:bottom w:val="single" w:color="auto" w:sz="4" w:space="0"/>
            </w:tcBorders>
            <w:vAlign w:val="center"/>
          </w:tcPr>
          <w:p w14:paraId="4AC641C7">
            <w:pPr>
              <w:rPr>
                <w:b/>
                <w:bCs/>
              </w:rPr>
            </w:pPr>
            <w:r>
              <w:rPr>
                <w:b/>
                <w:bCs/>
              </w:rPr>
              <w:t>Measurable evidence of attainment</w:t>
            </w:r>
          </w:p>
        </w:tc>
        <w:tc>
          <w:tcPr>
            <w:tcW w:w="0" w:type="auto"/>
            <w:tcBorders>
              <w:top w:val="nil"/>
              <w:bottom w:val="single" w:color="auto" w:sz="4" w:space="0"/>
            </w:tcBorders>
            <w:vAlign w:val="center"/>
          </w:tcPr>
          <w:p w14:paraId="32D65C51">
            <w:pPr>
              <w:rPr>
                <w:b/>
                <w:bCs/>
              </w:rPr>
            </w:pPr>
            <w:r>
              <w:rPr>
                <w:b/>
                <w:bCs/>
              </w:rPr>
              <w:t>Achievability (alignment with training stage)</w:t>
            </w:r>
          </w:p>
        </w:tc>
        <w:tc>
          <w:tcPr>
            <w:tcW w:w="0" w:type="auto"/>
            <w:tcBorders>
              <w:top w:val="nil"/>
              <w:bottom w:val="single" w:color="auto" w:sz="4" w:space="0"/>
            </w:tcBorders>
            <w:vAlign w:val="center"/>
          </w:tcPr>
          <w:p w14:paraId="64A04DEA">
            <w:pPr>
              <w:rPr>
                <w:b/>
                <w:bCs/>
              </w:rPr>
            </w:pPr>
            <w:r>
              <w:rPr>
                <w:b/>
                <w:bCs/>
              </w:rPr>
              <w:t>Relevance to programme outcomes and competencies</w:t>
            </w:r>
          </w:p>
        </w:tc>
        <w:tc>
          <w:tcPr>
            <w:tcW w:w="0" w:type="auto"/>
            <w:tcBorders>
              <w:top w:val="nil"/>
              <w:bottom w:val="single" w:color="auto" w:sz="4" w:space="0"/>
            </w:tcBorders>
            <w:vAlign w:val="center"/>
          </w:tcPr>
          <w:p w14:paraId="74D9F693">
            <w:pPr>
              <w:rPr>
                <w:b/>
                <w:bCs/>
              </w:rPr>
            </w:pPr>
            <w:r>
              <w:rPr>
                <w:b/>
                <w:bCs/>
              </w:rPr>
              <w:t>Time frame</w:t>
            </w:r>
          </w:p>
        </w:tc>
      </w:tr>
      <w:tr w14:paraId="0B7B915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089" w:type="dxa"/>
            <w:vAlign w:val="center"/>
          </w:tcPr>
          <w:p w14:paraId="5ECA0FEB">
            <w:r>
              <w:rPr>
                <w:b/>
                <w:bCs/>
              </w:rPr>
              <w:t>Session 1</w:t>
            </w:r>
          </w:p>
        </w:tc>
        <w:tc>
          <w:tcPr>
            <w:tcW w:w="3517" w:type="dxa"/>
            <w:vAlign w:val="center"/>
          </w:tcPr>
          <w:p w14:paraId="08D18989">
            <w:r>
              <w:t>Describe the normal gross and microscopic anatomy of the lung, including lobules, alveoli, interstitium, bronchi and pulmonary vasculature</w:t>
            </w:r>
          </w:p>
        </w:tc>
        <w:tc>
          <w:tcPr>
            <w:tcW w:w="0" w:type="auto"/>
            <w:vAlign w:val="center"/>
          </w:tcPr>
          <w:p w14:paraId="6995F41B">
            <w:r>
              <w:t>Accuracy of responses to lung structure–related items in questionnaire II</w:t>
            </w:r>
          </w:p>
        </w:tc>
        <w:tc>
          <w:tcPr>
            <w:tcW w:w="0" w:type="auto"/>
            <w:vAlign w:val="center"/>
          </w:tcPr>
          <w:p w14:paraId="38C29783">
            <w:r>
              <w:t>Difficulty calibrated for third-year students transitioning from foundational to clinical learning</w:t>
            </w:r>
          </w:p>
        </w:tc>
        <w:tc>
          <w:tcPr>
            <w:tcW w:w="0" w:type="auto"/>
            <w:vAlign w:val="center"/>
          </w:tcPr>
          <w:p w14:paraId="1C3B3F0E">
            <w:r>
              <w:t>Establishes essential knowledge for understanding lung cancer pathogenesis and diagnosis</w:t>
            </w:r>
          </w:p>
        </w:tc>
        <w:tc>
          <w:tcPr>
            <w:tcW w:w="0" w:type="auto"/>
            <w:vAlign w:val="center"/>
          </w:tcPr>
          <w:p w14:paraId="27EEB3FC">
            <w:r>
              <w:t>Achieved during Session 1</w:t>
            </w:r>
          </w:p>
        </w:tc>
      </w:tr>
      <w:tr w14:paraId="05C1A41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089" w:type="dxa"/>
            <w:vAlign w:val="center"/>
          </w:tcPr>
          <w:p w14:paraId="1E841C7D"/>
        </w:tc>
        <w:tc>
          <w:tcPr>
            <w:tcW w:w="3517" w:type="dxa"/>
            <w:vAlign w:val="center"/>
          </w:tcPr>
          <w:p w14:paraId="4D45A560">
            <w:r>
              <w:t>Explain the physiological mechanisms of pulmonary ventilation and gas exchange</w:t>
            </w:r>
          </w:p>
        </w:tc>
        <w:tc>
          <w:tcPr>
            <w:tcW w:w="0" w:type="auto"/>
            <w:vAlign w:val="center"/>
          </w:tcPr>
          <w:p w14:paraId="03E63609">
            <w:r>
              <w:t>Completion of a key concept checklist</w:t>
            </w:r>
          </w:p>
        </w:tc>
        <w:tc>
          <w:tcPr>
            <w:tcW w:w="0" w:type="auto"/>
            <w:vAlign w:val="center"/>
          </w:tcPr>
          <w:p w14:paraId="31B3A8CC">
            <w:r>
              <w:t>Aligned with prior physiology coursework</w:t>
            </w:r>
          </w:p>
        </w:tc>
        <w:tc>
          <w:tcPr>
            <w:tcW w:w="0" w:type="auto"/>
            <w:vAlign w:val="center"/>
          </w:tcPr>
          <w:p w14:paraId="545F766C">
            <w:r>
              <w:t>Supports understanding of hypoxia-related metabolic changes in lung cancer</w:t>
            </w:r>
          </w:p>
        </w:tc>
        <w:tc>
          <w:tcPr>
            <w:tcW w:w="0" w:type="auto"/>
            <w:vAlign w:val="center"/>
          </w:tcPr>
          <w:p w14:paraId="6D4EDEAE">
            <w:r>
              <w:t>Achieved during Session 1</w:t>
            </w:r>
          </w:p>
        </w:tc>
      </w:tr>
      <w:tr w14:paraId="3D03C51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089" w:type="dxa"/>
            <w:vAlign w:val="center"/>
          </w:tcPr>
          <w:p w14:paraId="70BFAE2F">
            <w:r>
              <w:rPr>
                <w:b/>
                <w:bCs/>
              </w:rPr>
              <w:t>Session 2</w:t>
            </w:r>
          </w:p>
        </w:tc>
        <w:tc>
          <w:tcPr>
            <w:tcW w:w="3517" w:type="dxa"/>
            <w:vAlign w:val="center"/>
          </w:tcPr>
          <w:p w14:paraId="048A4002">
            <w:r>
              <w:t>Explain the aetiology and molecular pathogenesis of lung cancer</w:t>
            </w:r>
          </w:p>
        </w:tc>
        <w:tc>
          <w:tcPr>
            <w:tcW w:w="0" w:type="auto"/>
            <w:vAlign w:val="center"/>
          </w:tcPr>
          <w:p w14:paraId="46C634D0">
            <w:r>
              <w:t>Scores on pathogenesis-related items in questionnaires II and III</w:t>
            </w:r>
          </w:p>
        </w:tc>
        <w:tc>
          <w:tcPr>
            <w:tcW w:w="0" w:type="auto"/>
            <w:vAlign w:val="center"/>
          </w:tcPr>
          <w:p w14:paraId="3CE4F038">
            <w:r>
              <w:t>Adjusted according to instructional time and students’ baseline knowledge</w:t>
            </w:r>
          </w:p>
        </w:tc>
        <w:tc>
          <w:tcPr>
            <w:tcW w:w="0" w:type="auto"/>
            <w:vAlign w:val="center"/>
          </w:tcPr>
          <w:p w14:paraId="35E07A52">
            <w:r>
              <w:t>Aligned with learning outcomes in tumour biology and precision medicine</w:t>
            </w:r>
          </w:p>
        </w:tc>
        <w:tc>
          <w:tcPr>
            <w:tcW w:w="0" w:type="auto"/>
            <w:vAlign w:val="center"/>
          </w:tcPr>
          <w:p w14:paraId="7FC17DCB">
            <w:r>
              <w:t>Achieved by the end of Session 2</w:t>
            </w:r>
          </w:p>
        </w:tc>
      </w:tr>
      <w:tr w14:paraId="40912EC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089" w:type="dxa"/>
            <w:vAlign w:val="center"/>
          </w:tcPr>
          <w:p w14:paraId="54ABDB71"/>
        </w:tc>
        <w:tc>
          <w:tcPr>
            <w:tcW w:w="3517" w:type="dxa"/>
            <w:vAlign w:val="center"/>
          </w:tcPr>
          <w:p w14:paraId="600E55B7">
            <w:r>
              <w:t>Differentiate major histopathological and molecular subtypes of lung cancer, including EGFR-mutant non–small cell lung cancer</w:t>
            </w:r>
          </w:p>
        </w:tc>
        <w:tc>
          <w:tcPr>
            <w:tcW w:w="0" w:type="auto"/>
            <w:vAlign w:val="center"/>
          </w:tcPr>
          <w:p w14:paraId="20FB3B41">
            <w:r>
              <w:t>Accuracy in pathology classification tasks</w:t>
            </w:r>
          </w:p>
        </w:tc>
        <w:tc>
          <w:tcPr>
            <w:tcW w:w="0" w:type="auto"/>
            <w:vAlign w:val="center"/>
          </w:tcPr>
          <w:p w14:paraId="611CE40F">
            <w:r>
              <w:t>Appropriate complexity for integrative pathology learning at this stage</w:t>
            </w:r>
          </w:p>
        </w:tc>
        <w:tc>
          <w:tcPr>
            <w:tcW w:w="0" w:type="auto"/>
            <w:vAlign w:val="center"/>
          </w:tcPr>
          <w:p w14:paraId="2C65FD2D">
            <w:r>
              <w:t>Directly informs clinical diagnosis and treatment selection</w:t>
            </w:r>
          </w:p>
        </w:tc>
        <w:tc>
          <w:tcPr>
            <w:tcW w:w="0" w:type="auto"/>
            <w:vAlign w:val="center"/>
          </w:tcPr>
          <w:p w14:paraId="5FAE6623">
            <w:r>
              <w:t>Achieved by the end of Session 2</w:t>
            </w:r>
          </w:p>
        </w:tc>
      </w:tr>
      <w:tr w14:paraId="367A76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089" w:type="dxa"/>
            <w:vAlign w:val="center"/>
          </w:tcPr>
          <w:p w14:paraId="1CBD1909">
            <w:r>
              <w:rPr>
                <w:b/>
                <w:bCs/>
              </w:rPr>
              <w:t>Session 3</w:t>
            </w:r>
          </w:p>
        </w:tc>
        <w:tc>
          <w:tcPr>
            <w:tcW w:w="3517" w:type="dxa"/>
            <w:vAlign w:val="center"/>
          </w:tcPr>
          <w:p w14:paraId="1D762857">
            <w:r>
              <w:t>Explain the mechanisms of action of chemotherapeutic and targeted therapies for lung cancer, and mechanisms of drug resistance</w:t>
            </w:r>
          </w:p>
        </w:tc>
        <w:tc>
          <w:tcPr>
            <w:tcW w:w="0" w:type="auto"/>
            <w:vAlign w:val="center"/>
          </w:tcPr>
          <w:p w14:paraId="58F662AD">
            <w:r>
              <w:t>Performance on questionnaire III and integrative assessment items</w:t>
            </w:r>
          </w:p>
        </w:tc>
        <w:tc>
          <w:tcPr>
            <w:tcW w:w="0" w:type="auto"/>
            <w:vAlign w:val="center"/>
          </w:tcPr>
          <w:p w14:paraId="7F347537">
            <w:r>
              <w:t>Difficulty appropriate for senior preclinical students</w:t>
            </w:r>
          </w:p>
        </w:tc>
        <w:tc>
          <w:tcPr>
            <w:tcW w:w="0" w:type="auto"/>
            <w:vAlign w:val="center"/>
          </w:tcPr>
          <w:p w14:paraId="1A81AE2D">
            <w:r>
              <w:t>Supports development of clinical reasoning and therapeutic decision-making</w:t>
            </w:r>
          </w:p>
        </w:tc>
        <w:tc>
          <w:tcPr>
            <w:tcW w:w="0" w:type="auto"/>
            <w:vAlign w:val="center"/>
          </w:tcPr>
          <w:p w14:paraId="7C03BD1A">
            <w:r>
              <w:t>Achieved by the end of the module</w:t>
            </w:r>
          </w:p>
        </w:tc>
      </w:tr>
    </w:tbl>
    <w:p w14:paraId="7A3F9AEC"/>
    <w:p w14:paraId="292F50B6"/>
    <w:p w14:paraId="43A7A694">
      <w:pPr>
        <w:widowControl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FE6"/>
    <w:rsid w:val="0006603E"/>
    <w:rsid w:val="001013B7"/>
    <w:rsid w:val="001F0F50"/>
    <w:rsid w:val="00267FE6"/>
    <w:rsid w:val="002834BE"/>
    <w:rsid w:val="00302452"/>
    <w:rsid w:val="00326A03"/>
    <w:rsid w:val="005C55FE"/>
    <w:rsid w:val="0068108B"/>
    <w:rsid w:val="00786113"/>
    <w:rsid w:val="007D34C4"/>
    <w:rsid w:val="0083436B"/>
    <w:rsid w:val="00974CD7"/>
    <w:rsid w:val="00AF412E"/>
    <w:rsid w:val="00B57A94"/>
    <w:rsid w:val="00C467C3"/>
    <w:rsid w:val="00CA2DA5"/>
    <w:rsid w:val="00CF4DA6"/>
    <w:rsid w:val="00F15728"/>
    <w:rsid w:val="00F536C1"/>
    <w:rsid w:val="00F7271D"/>
    <w:rsid w:val="25806FA7"/>
    <w:rsid w:val="6C826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262</Words>
  <Characters>1689</Characters>
  <Lines>13</Lines>
  <Paragraphs>3</Paragraphs>
  <TotalTime>0</TotalTime>
  <ScaleCrop>false</ScaleCrop>
  <LinksUpToDate>false</LinksUpToDate>
  <CharactersWithSpaces>1911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2026-03-28T06:15:00Z</dcterms:created>
  <dc:creator>chuochuo woo</dc:creator>
  <cp:lastModifiedBy>曾子阳</cp:lastModifiedBy>
  <dcterms:modified xsi:type="dcterms:W3CDTF">2026-08-11T07:44:04Z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07A1C07CD36B452180CB6A0961B1727B_13</vt:lpwstr>
  </property>
  <property fmtid="{D5CDD505-2E9C-101B-9397-08002B2CF9AE}" pid="4" name="KSOTemplateDocerSaveRecord">
    <vt:lpwstr>eyJoZGlkIjoiZmMzYWU3YzJjYjVhMzIzODgyOTBmNjgyMWJiNDRkNDgiLCJ1c2VySWQiOiIxNzQzMjY5NjgyIn0=</vt:lpwstr>
  </property>
</Properties>
</file>