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008E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>Supplementary Information</w:t>
      </w:r>
    </w:p>
    <w:p w14:paraId="7A190732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>ESM 1 - Supplementary Figures S1-S10</w:t>
      </w:r>
    </w:p>
    <w:p w14:paraId="2D361189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 xml:space="preserve">S1. Principal-component analysis of the 1,000 most variable genes in GSE190826. </w:t>
      </w:r>
      <w:proofErr w:type="gramStart"/>
      <w:r w:rsidRPr="00BE72DD">
        <w:rPr>
          <w:bCs/>
          <w:lang w:val="en-US"/>
        </w:rPr>
        <w:t>Large outlined</w:t>
      </w:r>
      <w:proofErr w:type="gramEnd"/>
      <w:r w:rsidRPr="00BE72DD">
        <w:rPr>
          <w:bCs/>
          <w:lang w:val="en-US"/>
        </w:rPr>
        <w:t xml:space="preserve"> points identify samples selected for quality-control review</w:t>
      </w:r>
    </w:p>
    <w:p w14:paraId="0E4B7EBA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 xml:space="preserve">S2. Review of gastric epithelial marker genes in GSE190826. Labels identify the </w:t>
      </w:r>
      <w:proofErr w:type="spellStart"/>
      <w:r w:rsidRPr="00BE72DD">
        <w:rPr>
          <w:bCs/>
          <w:lang w:val="en-US"/>
        </w:rPr>
        <w:t>pCR</w:t>
      </w:r>
      <w:proofErr w:type="spellEnd"/>
      <w:r w:rsidRPr="00BE72DD">
        <w:rPr>
          <w:bCs/>
          <w:lang w:val="en-US"/>
        </w:rPr>
        <w:t xml:space="preserve"> samples removed in the strict102 sensitivity analysis</w:t>
      </w:r>
    </w:p>
    <w:p w14:paraId="014963C4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 xml:space="preserve">S3. External validation of the eight prespecified Hallmark pathways in GSE150082. Positive NES indicates enrichment in </w:t>
      </w:r>
      <w:proofErr w:type="gramStart"/>
      <w:r w:rsidRPr="00BE72DD">
        <w:rPr>
          <w:bCs/>
          <w:lang w:val="en-US"/>
        </w:rPr>
        <w:t>Good</w:t>
      </w:r>
      <w:proofErr w:type="gramEnd"/>
      <w:r w:rsidRPr="00BE72DD">
        <w:rPr>
          <w:bCs/>
          <w:lang w:val="en-US"/>
        </w:rPr>
        <w:t xml:space="preserve"> responders</w:t>
      </w:r>
    </w:p>
    <w:p w14:paraId="77850089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>S4. Prespecified-pathway NES values in the two GSE45404 platform-specific matrices. Positive NES indicates enrichment in responders</w:t>
      </w:r>
    </w:p>
    <w:p w14:paraId="447279A9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>S5. Direction and significance of the eight pathways in the two primary external validation cohorts, with discovery defining the expected direction</w:t>
      </w:r>
    </w:p>
    <w:p w14:paraId="76B2315E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>S6. Allograft rejection leading-edge overlap patterns across discovery, primary validations, and supplementary GPL4133</w:t>
      </w:r>
    </w:p>
    <w:p w14:paraId="2D1CCF59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>S7. Cliff’s delta for immune and stromal score differences by response. Positive values indicate higher scores in favorable responders</w:t>
      </w:r>
    </w:p>
    <w:p w14:paraId="454B47E6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>S8. Overlap-free Allograft rejection correlations with all ten MCP-counter populations. Asterisks denote within-dataset FDR &lt; 0.05</w:t>
      </w:r>
    </w:p>
    <w:p w14:paraId="74120FBA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>S9. Direct gene overlap between Hallmark Allograft rejection and the fixed MCP-counter marker sets</w:t>
      </w:r>
    </w:p>
    <w:p w14:paraId="73F25637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Fig </w:t>
      </w:r>
      <w:r w:rsidRPr="00BE72DD">
        <w:rPr>
          <w:bCs/>
          <w:lang w:val="en-US"/>
        </w:rPr>
        <w:t>S10. Overlap-free sample-level Allograft rejection scores by response. Scores were standardized within each cohort for visualization</w:t>
      </w:r>
    </w:p>
    <w:p w14:paraId="32E281BB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>ESM 2 - Supplementary Tables S1-S5</w:t>
      </w:r>
    </w:p>
    <w:p w14:paraId="36979F40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Table S1 </w:t>
      </w:r>
      <w:r w:rsidRPr="00BE72DD">
        <w:rPr>
          <w:bCs/>
          <w:lang w:val="en-US"/>
        </w:rPr>
        <w:t>Internal robustness of Hallmark pathway enrichment across the overlapping all105, primary104, and strict102 discovery-cohort analyses</w:t>
      </w:r>
    </w:p>
    <w:p w14:paraId="71C53C8E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Table S2 </w:t>
      </w:r>
      <w:r w:rsidRPr="00BE72DD">
        <w:rPr>
          <w:bCs/>
          <w:lang w:val="en-US"/>
        </w:rPr>
        <w:t>Allograft rejection leading-edge genes present in at least two of the three primary cohorts</w:t>
      </w:r>
    </w:p>
    <w:p w14:paraId="36B0F96A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Table S3 </w:t>
      </w:r>
      <w:r w:rsidRPr="00BE72DD">
        <w:rPr>
          <w:bCs/>
          <w:lang w:val="en-US"/>
        </w:rPr>
        <w:t xml:space="preserve">Summary of Allograft rejection leading-edge gene </w:t>
      </w:r>
      <w:proofErr w:type="gramStart"/>
      <w:r w:rsidRPr="00BE72DD">
        <w:rPr>
          <w:bCs/>
          <w:lang w:val="en-US"/>
        </w:rPr>
        <w:t>overlap</w:t>
      </w:r>
      <w:proofErr w:type="gramEnd"/>
      <w:r w:rsidRPr="00BE72DD">
        <w:rPr>
          <w:bCs/>
          <w:lang w:val="en-US"/>
        </w:rPr>
        <w:t xml:space="preserve"> across the discovery cohort, the two primary external validations, and supplementary GPL4133</w:t>
      </w:r>
    </w:p>
    <w:p w14:paraId="3E5D2BA7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Table S4 </w:t>
      </w:r>
      <w:r w:rsidRPr="00BE72DD">
        <w:rPr>
          <w:bCs/>
          <w:lang w:val="en-US"/>
        </w:rPr>
        <w:t>Gene-set composition before and after removing all fixed MCP-counter marker genes from the Hallmark Allograft rejection set</w:t>
      </w:r>
    </w:p>
    <w:p w14:paraId="17607ED6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t xml:space="preserve">Table S5 </w:t>
      </w:r>
      <w:r w:rsidRPr="00BE72DD">
        <w:rPr>
          <w:bCs/>
          <w:lang w:val="en-US"/>
        </w:rPr>
        <w:t>Response-group comparisons for original and overlap-free sample-level Allograft rejection scores in each cohort</w:t>
      </w:r>
    </w:p>
    <w:p w14:paraId="6BEE910F" w14:textId="77777777" w:rsidR="00BE72DD" w:rsidRPr="00BE72DD" w:rsidRDefault="00BE72DD" w:rsidP="00BE72DD">
      <w:pPr>
        <w:rPr>
          <w:b/>
          <w:bCs/>
          <w:lang w:val="en-US"/>
        </w:rPr>
      </w:pPr>
      <w:r w:rsidRPr="00BE72DD">
        <w:rPr>
          <w:b/>
          <w:bCs/>
          <w:lang w:val="en-US"/>
        </w:rPr>
        <w:lastRenderedPageBreak/>
        <w:t>ESM 3 - Reproducible R code</w:t>
      </w:r>
    </w:p>
    <w:p w14:paraId="3A3FEAEE" w14:textId="77777777" w:rsidR="00BE72DD" w:rsidRPr="00BE72DD" w:rsidRDefault="00BE72DD" w:rsidP="00BE72DD">
      <w:pPr>
        <w:rPr>
          <w:lang w:val="en-US"/>
        </w:rPr>
      </w:pPr>
      <w:r w:rsidRPr="00BE72DD">
        <w:rPr>
          <w:lang w:val="en-US"/>
        </w:rPr>
        <w:t>Curated R scripts, execution order, data-acquisition instructions, software-dependency notes, and a static code-audit report for the complete analysis workflow.</w:t>
      </w:r>
    </w:p>
    <w:p w14:paraId="4E48E4A5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DD"/>
    <w:rsid w:val="0040301B"/>
    <w:rsid w:val="00767E38"/>
    <w:rsid w:val="00866F7D"/>
    <w:rsid w:val="00BE72D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5EE5"/>
  <w15:chartTrackingRefBased/>
  <w15:docId w15:val="{492E1450-D706-457B-BBB6-F7265AFF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2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2026-09-01T14:44:00Z</dcterms:created>
  <dcterms:modified xsi:type="dcterms:W3CDTF">2026-09-01T14:44:00Z</dcterms:modified>
</cp:coreProperties>
</file>