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6120" w:type="dxa"/>
        <w:tblInd w:w="-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1244"/>
        <w:gridCol w:w="992"/>
        <w:gridCol w:w="992"/>
        <w:gridCol w:w="992"/>
        <w:gridCol w:w="993"/>
        <w:gridCol w:w="992"/>
        <w:gridCol w:w="992"/>
        <w:gridCol w:w="992"/>
        <w:gridCol w:w="993"/>
        <w:gridCol w:w="1134"/>
        <w:gridCol w:w="992"/>
        <w:gridCol w:w="709"/>
        <w:gridCol w:w="708"/>
        <w:gridCol w:w="701"/>
        <w:gridCol w:w="709"/>
      </w:tblGrid>
      <w:tr w:rsidR="00910803" w14:paraId="5C6A7CFD" w14:textId="77777777" w:rsidTr="00D63EB0">
        <w:tc>
          <w:tcPr>
            <w:tcW w:w="16120" w:type="dxa"/>
            <w:gridSpan w:val="17"/>
            <w:tcBorders>
              <w:bottom w:val="single" w:sz="4" w:space="0" w:color="auto"/>
            </w:tcBorders>
          </w:tcPr>
          <w:p w14:paraId="178174CC" w14:textId="47F4B912" w:rsidR="00910803" w:rsidRPr="002535F9" w:rsidRDefault="00910803" w:rsidP="00D63EB0">
            <w:pPr>
              <w:rPr>
                <w:sz w:val="20"/>
                <w:szCs w:val="20"/>
              </w:rPr>
            </w:pPr>
            <w:r w:rsidRPr="00594073">
              <w:rPr>
                <w:b/>
                <w:bCs/>
                <w:sz w:val="20"/>
                <w:szCs w:val="20"/>
              </w:rPr>
              <w:t>Table 2</w:t>
            </w:r>
            <w:r w:rsidRPr="002535F9">
              <w:rPr>
                <w:sz w:val="20"/>
                <w:szCs w:val="20"/>
              </w:rPr>
              <w:t xml:space="preserve">. Estimates of soil </w:t>
            </w:r>
            <w:r>
              <w:rPr>
                <w:sz w:val="20"/>
                <w:szCs w:val="20"/>
              </w:rPr>
              <w:t xml:space="preserve">organic </w:t>
            </w:r>
            <w:r w:rsidRPr="002535F9">
              <w:rPr>
                <w:sz w:val="20"/>
                <w:szCs w:val="20"/>
              </w:rPr>
              <w:t xml:space="preserve">carbon </w:t>
            </w:r>
            <w:r>
              <w:rPr>
                <w:sz w:val="20"/>
                <w:szCs w:val="20"/>
              </w:rPr>
              <w:t>(g.100g</w:t>
            </w:r>
            <w:r w:rsidRPr="00594073">
              <w:rPr>
                <w:sz w:val="20"/>
                <w:szCs w:val="20"/>
                <w:vertAlign w:val="superscript"/>
              </w:rPr>
              <w:t>-1</w:t>
            </w:r>
            <w:r>
              <w:rPr>
                <w:sz w:val="20"/>
                <w:szCs w:val="20"/>
              </w:rPr>
              <w:t xml:space="preserve">) </w:t>
            </w:r>
            <w:r w:rsidRPr="002535F9">
              <w:rPr>
                <w:sz w:val="20"/>
                <w:szCs w:val="20"/>
              </w:rPr>
              <w:t xml:space="preserve">and </w:t>
            </w:r>
            <w:r>
              <w:rPr>
                <w:sz w:val="20"/>
                <w:szCs w:val="20"/>
              </w:rPr>
              <w:t xml:space="preserve">arable crop </w:t>
            </w:r>
            <w:r w:rsidRPr="002535F9">
              <w:rPr>
                <w:sz w:val="20"/>
                <w:szCs w:val="20"/>
              </w:rPr>
              <w:t xml:space="preserve">yield </w:t>
            </w: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t.ha</w:t>
            </w:r>
            <w:proofErr w:type="gramEnd"/>
            <w:r w:rsidRPr="00594073">
              <w:rPr>
                <w:sz w:val="20"/>
                <w:szCs w:val="20"/>
                <w:vertAlign w:val="superscript"/>
              </w:rPr>
              <w:t>-1</w:t>
            </w:r>
            <w:r>
              <w:rPr>
                <w:sz w:val="20"/>
                <w:szCs w:val="20"/>
              </w:rPr>
              <w:t xml:space="preserve">) </w:t>
            </w:r>
            <w:r w:rsidRPr="002535F9">
              <w:rPr>
                <w:sz w:val="20"/>
                <w:szCs w:val="20"/>
              </w:rPr>
              <w:t xml:space="preserve">following implementation of no or reduced tillage, cover crops or ley-arable systems. </w:t>
            </w:r>
            <w:r>
              <w:rPr>
                <w:sz w:val="20"/>
                <w:szCs w:val="20"/>
              </w:rPr>
              <w:t>95% Credible Intervals are given in brackets, with * denoting where these do not overlap with 0. The - symbol denotes predictors not included in that model. Study duration, absolute latitude, baseline SOC, % clay and soil sampling depth were centred before the analysis to assist interpretation of model output</w:t>
            </w:r>
            <w:r w:rsidRPr="002535F9">
              <w:rPr>
                <w:sz w:val="20"/>
                <w:szCs w:val="20"/>
              </w:rPr>
              <w:t>.</w:t>
            </w:r>
            <w:r w:rsidR="00A6071B">
              <w:rPr>
                <w:sz w:val="20"/>
                <w:szCs w:val="20"/>
              </w:rPr>
              <w:t xml:space="preserve"> </w:t>
            </w:r>
            <w:r w:rsidR="007376CE">
              <w:rPr>
                <w:sz w:val="20"/>
                <w:szCs w:val="20"/>
              </w:rPr>
              <w:t>The Intercept corresponds to ‘conventional’ practice (</w:t>
            </w:r>
            <w:r w:rsidR="002867CB">
              <w:rPr>
                <w:sz w:val="20"/>
                <w:szCs w:val="20"/>
              </w:rPr>
              <w:t xml:space="preserve">reference category: </w:t>
            </w:r>
            <w:r w:rsidR="007376CE">
              <w:rPr>
                <w:sz w:val="20"/>
                <w:szCs w:val="20"/>
              </w:rPr>
              <w:t xml:space="preserve">conventional tillage, no cover cropping or ley phase) for these centred predictor values, with other columns showing the difference from this Intercept for </w:t>
            </w:r>
            <w:r w:rsidR="00B0709D">
              <w:rPr>
                <w:sz w:val="20"/>
                <w:szCs w:val="20"/>
              </w:rPr>
              <w:t xml:space="preserve">one increment in the unit of </w:t>
            </w:r>
            <w:r w:rsidR="007376CE">
              <w:rPr>
                <w:sz w:val="20"/>
                <w:szCs w:val="20"/>
              </w:rPr>
              <w:t>the respective predictor</w:t>
            </w:r>
            <w:r w:rsidR="00B0709D">
              <w:rPr>
                <w:sz w:val="20"/>
                <w:szCs w:val="20"/>
              </w:rPr>
              <w:t>.</w:t>
            </w:r>
            <w:r w:rsidR="006D2FA4">
              <w:rPr>
                <w:sz w:val="20"/>
                <w:szCs w:val="20"/>
              </w:rPr>
              <w:t xml:space="preserve"> Results are presented for five iterations of the analysis with different levels of data availability and quality (see Methods for further details), with EIBI results discussed in the text. </w:t>
            </w:r>
          </w:p>
        </w:tc>
      </w:tr>
      <w:tr w:rsidR="00910803" w14:paraId="5D28DE30" w14:textId="77777777" w:rsidTr="00D63EB0"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7C49EFAA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Model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vAlign w:val="center"/>
          </w:tcPr>
          <w:p w14:paraId="3B7C5354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Response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</w:tcBorders>
            <w:vAlign w:val="center"/>
          </w:tcPr>
          <w:p w14:paraId="2B95A00C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Intercept</w:t>
            </w:r>
            <w:r w:rsidRPr="00594073">
              <w:rPr>
                <w:sz w:val="15"/>
                <w:szCs w:val="15"/>
                <w:vertAlign w:val="superscript"/>
              </w:rPr>
              <w:t>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2629C0BB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No till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2AD38DA4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Reduced till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10ED9FE7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Cover crops</w:t>
            </w:r>
            <w:r w:rsidRPr="00594073">
              <w:rPr>
                <w:sz w:val="15"/>
                <w:szCs w:val="15"/>
                <w:vertAlign w:val="superscript"/>
              </w:rPr>
              <w:t>‡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14:paraId="071C13CC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Ley-arable</w:t>
            </w:r>
            <w:r w:rsidRPr="00594073">
              <w:rPr>
                <w:sz w:val="15"/>
                <w:szCs w:val="15"/>
                <w:vertAlign w:val="superscript"/>
              </w:rPr>
              <w:t>††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5B303966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Study duration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6416D20C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Latitude</w:t>
            </w:r>
            <w:r w:rsidRPr="00594073">
              <w:rPr>
                <w:sz w:val="15"/>
                <w:szCs w:val="15"/>
                <w:vertAlign w:val="superscript"/>
              </w:rPr>
              <w:t>‡‡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5A8507F3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SOC baseline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14:paraId="3C8EDD34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Soil % clay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4FC8EB42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Soil sampling depth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69F614DF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SOC-yield residual correlation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14:paraId="208B9D4F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R</w:t>
            </w:r>
            <w:r w:rsidRPr="00594073">
              <w:rPr>
                <w:sz w:val="15"/>
                <w:szCs w:val="15"/>
                <w:vertAlign w:val="superscript"/>
              </w:rPr>
              <w:t>2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</w:tcBorders>
            <w:vAlign w:val="center"/>
          </w:tcPr>
          <w:p w14:paraId="271EA190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n</w:t>
            </w:r>
          </w:p>
        </w:tc>
      </w:tr>
      <w:tr w:rsidR="00910803" w14:paraId="116F4B40" w14:textId="77777777" w:rsidTr="00D63EB0"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03E0BF38" w14:textId="77777777" w:rsidR="00910803" w:rsidRPr="00594073" w:rsidRDefault="00910803" w:rsidP="00D63EB0">
            <w:pPr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60146A69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44" w:type="dxa"/>
            <w:vMerge/>
            <w:tcBorders>
              <w:bottom w:val="single" w:sz="4" w:space="0" w:color="auto"/>
            </w:tcBorders>
            <w:vAlign w:val="center"/>
          </w:tcPr>
          <w:p w14:paraId="0A431849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4B076FB3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7755154B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161ED456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37C4A4E9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0DF744EE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621C2079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6C169CC5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14:paraId="3A89111A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3761DCB3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405C9917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B69EDEF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Whole model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69D9B6D9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Fixed effects</w:t>
            </w:r>
          </w:p>
        </w:tc>
        <w:tc>
          <w:tcPr>
            <w:tcW w:w="701" w:type="dxa"/>
            <w:tcBorders>
              <w:bottom w:val="single" w:sz="4" w:space="0" w:color="auto"/>
            </w:tcBorders>
            <w:vAlign w:val="center"/>
          </w:tcPr>
          <w:p w14:paraId="6048988B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Data points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C10F40C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Studies</w:t>
            </w:r>
          </w:p>
        </w:tc>
      </w:tr>
      <w:tr w:rsidR="00910803" w14:paraId="6B2C5948" w14:textId="77777777" w:rsidTr="00D63EB0"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75A69663" w14:textId="77777777" w:rsidR="00910803" w:rsidRPr="002042C1" w:rsidRDefault="00910803" w:rsidP="00D63E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EP: Error present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2E44064" w14:textId="77777777" w:rsidR="00910803" w:rsidRPr="002042C1" w:rsidRDefault="00910803" w:rsidP="00D63E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</w:t>
            </w:r>
          </w:p>
        </w:tc>
        <w:tc>
          <w:tcPr>
            <w:tcW w:w="1244" w:type="dxa"/>
            <w:tcBorders>
              <w:top w:val="single" w:sz="4" w:space="0" w:color="auto"/>
            </w:tcBorders>
            <w:vAlign w:val="center"/>
          </w:tcPr>
          <w:p w14:paraId="5986E982" w14:textId="77777777" w:rsidR="0091080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-0.97</w:t>
            </w:r>
          </w:p>
          <w:p w14:paraId="27B90E5F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(-4.99, 3.60)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1692CCE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0.11</w:t>
            </w:r>
          </w:p>
          <w:p w14:paraId="3AE88998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 xml:space="preserve">(0.03, </w:t>
            </w:r>
            <w:proofErr w:type="gramStart"/>
            <w:r w:rsidRPr="00594073">
              <w:rPr>
                <w:sz w:val="15"/>
                <w:szCs w:val="15"/>
              </w:rPr>
              <w:t>0.19)*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5F34CE3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0.09</w:t>
            </w:r>
          </w:p>
          <w:p w14:paraId="61D95609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 xml:space="preserve">(0.02, </w:t>
            </w:r>
            <w:proofErr w:type="gramStart"/>
            <w:r w:rsidRPr="00594073">
              <w:rPr>
                <w:sz w:val="15"/>
                <w:szCs w:val="15"/>
              </w:rPr>
              <w:t>0.17)*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9C69299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0.07</w:t>
            </w:r>
          </w:p>
          <w:p w14:paraId="01F2F70A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(-0.06, 0.20)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0FBECFC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0.03</w:t>
            </w:r>
          </w:p>
          <w:p w14:paraId="3BBF5BC9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 xml:space="preserve">(0.01, </w:t>
            </w:r>
            <w:proofErr w:type="gramStart"/>
            <w:r w:rsidRPr="00594073">
              <w:rPr>
                <w:sz w:val="15"/>
                <w:szCs w:val="15"/>
              </w:rPr>
              <w:t>0.06)*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7310F81" w14:textId="77777777" w:rsidR="0091080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-0.00</w:t>
            </w:r>
          </w:p>
          <w:p w14:paraId="702C8766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(-0.01, 0.01)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7535574" w14:textId="77777777" w:rsidR="0091080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0.05</w:t>
            </w:r>
          </w:p>
          <w:p w14:paraId="530237A7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(-0.04, 0.13)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71DECE5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7215BDE4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-0.02</w:t>
            </w:r>
          </w:p>
          <w:p w14:paraId="4722D694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(-0.07, 0.01)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E8EC442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-0.05</w:t>
            </w:r>
          </w:p>
          <w:p w14:paraId="660BDF4E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(-0.1, -0.</w:t>
            </w:r>
            <w:proofErr w:type="gramStart"/>
            <w:r w:rsidRPr="00594073">
              <w:rPr>
                <w:sz w:val="15"/>
                <w:szCs w:val="15"/>
              </w:rPr>
              <w:t>00)*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7082B08A" w14:textId="77777777" w:rsidR="0091080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0.33</w:t>
            </w:r>
          </w:p>
          <w:p w14:paraId="60BB8BFA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(0.05, 0.57)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5F5DAC0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0.968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3D5C4EE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0.526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</w:tcBorders>
            <w:vAlign w:val="center"/>
          </w:tcPr>
          <w:p w14:paraId="0AF09563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66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4A9FAFE9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16</w:t>
            </w:r>
          </w:p>
        </w:tc>
      </w:tr>
      <w:tr w:rsidR="00910803" w14:paraId="51939F08" w14:textId="77777777" w:rsidTr="00D63EB0"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1F69FE9E" w14:textId="77777777" w:rsidR="00910803" w:rsidRPr="002042C1" w:rsidRDefault="00910803" w:rsidP="00D63EB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059B6C2" w14:textId="77777777" w:rsidR="00910803" w:rsidRPr="002042C1" w:rsidRDefault="00910803" w:rsidP="00D63E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Yield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14:paraId="4CC515A1" w14:textId="77777777" w:rsidR="0091080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48.95</w:t>
            </w:r>
          </w:p>
          <w:p w14:paraId="3FDBA392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(-12.52, 108.57)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81EE8F6" w14:textId="77777777" w:rsidR="0091080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-1.78</w:t>
            </w:r>
          </w:p>
          <w:p w14:paraId="04DC05CE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(-6.39, 2.92)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7D75A8C" w14:textId="77777777" w:rsidR="0091080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-0.82</w:t>
            </w:r>
          </w:p>
          <w:p w14:paraId="6BB974DD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(-5.77, 3.91)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4C5317B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-1.66</w:t>
            </w:r>
          </w:p>
          <w:p w14:paraId="5C080470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(-8.74, 5.74)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A9F24D7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0.23</w:t>
            </w:r>
          </w:p>
          <w:p w14:paraId="06551204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(-0.72, 1.22)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8A0E8FE" w14:textId="77777777" w:rsidR="0091080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-0.03</w:t>
            </w:r>
          </w:p>
          <w:p w14:paraId="2016FAF8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(-0.67, 0.06)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CA6B364" w14:textId="77777777" w:rsidR="0091080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0.16</w:t>
            </w:r>
          </w:p>
          <w:p w14:paraId="123CDF1E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(-0.96, 1.33)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44848EE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422B3CB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2584AB6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70370B65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ABD1562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0.947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2EA1577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0.946</w:t>
            </w:r>
          </w:p>
        </w:tc>
        <w:tc>
          <w:tcPr>
            <w:tcW w:w="701" w:type="dxa"/>
            <w:vMerge/>
            <w:tcBorders>
              <w:bottom w:val="single" w:sz="4" w:space="0" w:color="auto"/>
            </w:tcBorders>
            <w:vAlign w:val="center"/>
          </w:tcPr>
          <w:p w14:paraId="394626EF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53507B36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</w:p>
        </w:tc>
      </w:tr>
      <w:tr w:rsidR="00910803" w14:paraId="6E51B431" w14:textId="77777777" w:rsidTr="00D63EB0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48DCA3" w14:textId="77777777" w:rsidR="00910803" w:rsidRDefault="00910803" w:rsidP="00D63E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EI: Error imputed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31450DD1" w14:textId="77777777" w:rsidR="00910803" w:rsidRPr="002042C1" w:rsidRDefault="00910803" w:rsidP="00D63E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</w:t>
            </w:r>
          </w:p>
        </w:tc>
        <w:tc>
          <w:tcPr>
            <w:tcW w:w="1244" w:type="dxa"/>
            <w:tcBorders>
              <w:top w:val="single" w:sz="4" w:space="0" w:color="auto"/>
            </w:tcBorders>
            <w:vAlign w:val="center"/>
          </w:tcPr>
          <w:p w14:paraId="412FD208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1.68</w:t>
            </w:r>
          </w:p>
          <w:p w14:paraId="62996534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(1.34, 1.99)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1CC761A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0.06</w:t>
            </w:r>
          </w:p>
          <w:p w14:paraId="0BDB80BD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 xml:space="preserve">(0.00, </w:t>
            </w:r>
            <w:proofErr w:type="gramStart"/>
            <w:r w:rsidRPr="00594073">
              <w:rPr>
                <w:color w:val="000000" w:themeColor="text1"/>
                <w:sz w:val="15"/>
                <w:szCs w:val="15"/>
              </w:rPr>
              <w:t>0.11)*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EE69C76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0.09</w:t>
            </w:r>
          </w:p>
          <w:p w14:paraId="700D57D8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 xml:space="preserve">(0.04, </w:t>
            </w:r>
            <w:proofErr w:type="gramStart"/>
            <w:r w:rsidRPr="00594073">
              <w:rPr>
                <w:color w:val="000000" w:themeColor="text1"/>
                <w:sz w:val="15"/>
                <w:szCs w:val="15"/>
              </w:rPr>
              <w:t>0.15)*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AEFF8C6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0.05</w:t>
            </w:r>
          </w:p>
          <w:p w14:paraId="73278EC8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(-0.01, 0.12)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F9D7A1A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0.05</w:t>
            </w:r>
          </w:p>
          <w:p w14:paraId="67622391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 xml:space="preserve">(0.03, </w:t>
            </w:r>
            <w:proofErr w:type="gramStart"/>
            <w:r w:rsidRPr="00594073">
              <w:rPr>
                <w:color w:val="000000" w:themeColor="text1"/>
                <w:sz w:val="15"/>
                <w:szCs w:val="15"/>
              </w:rPr>
              <w:t>0.08)*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AFB4FA3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0.00</w:t>
            </w:r>
          </w:p>
          <w:p w14:paraId="562AF183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(-0.00, 0.00)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8800B80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0.04</w:t>
            </w:r>
          </w:p>
          <w:p w14:paraId="73461054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(-0.04, 0.12)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1ED56C2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69262E36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-0.04</w:t>
            </w:r>
          </w:p>
          <w:p w14:paraId="78C7B05F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(-0.08, 0.00)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FC615CA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-0.06</w:t>
            </w:r>
          </w:p>
          <w:p w14:paraId="0D3EA1CE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(-0.09, -0.</w:t>
            </w:r>
            <w:proofErr w:type="gramStart"/>
            <w:r w:rsidRPr="00594073">
              <w:rPr>
                <w:color w:val="000000" w:themeColor="text1"/>
                <w:sz w:val="15"/>
                <w:szCs w:val="15"/>
              </w:rPr>
              <w:t>02)*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36D210E3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0.16</w:t>
            </w:r>
          </w:p>
          <w:p w14:paraId="33DE9F05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(-0.01, 0.32)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E875263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0.982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28709C6C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0.438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</w:tcBorders>
            <w:vAlign w:val="center"/>
          </w:tcPr>
          <w:p w14:paraId="032DA9D7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195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09D93EFA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40</w:t>
            </w:r>
          </w:p>
        </w:tc>
      </w:tr>
      <w:tr w:rsidR="00910803" w14:paraId="4FD2701B" w14:textId="77777777" w:rsidTr="00D63EB0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7AB58D" w14:textId="77777777" w:rsidR="00910803" w:rsidRDefault="00910803" w:rsidP="00D63EB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193B339" w14:textId="77777777" w:rsidR="00910803" w:rsidRPr="002042C1" w:rsidRDefault="00910803" w:rsidP="00D63E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Yield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14:paraId="0A4F52C0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8.64</w:t>
            </w:r>
          </w:p>
          <w:p w14:paraId="20263657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(3.77, 13.58)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4FF6FFC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-0.89</w:t>
            </w:r>
          </w:p>
          <w:p w14:paraId="06780239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(-2.44, 0.66)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4F9F8EF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-0.49</w:t>
            </w:r>
          </w:p>
          <w:p w14:paraId="44CFB374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(-2.00, 1.03)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F243FAE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-0.23</w:t>
            </w:r>
          </w:p>
          <w:p w14:paraId="5CABEE8B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(-2.21, 1.74)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AEB3FE9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0.18</w:t>
            </w:r>
          </w:p>
          <w:p w14:paraId="3DFF9953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(-0.39, 0.76)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1A9CA2A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-0.08</w:t>
            </w:r>
          </w:p>
          <w:p w14:paraId="39BD6BE6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(-0.19, 0.02)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2E12AB3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-0.01</w:t>
            </w:r>
          </w:p>
          <w:p w14:paraId="032FEE32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(-0.83, 0.81)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0D1AD7C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6F9462A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4059B1E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661C89EA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FE3C2CD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0.942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FB528CA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0.501</w:t>
            </w:r>
          </w:p>
        </w:tc>
        <w:tc>
          <w:tcPr>
            <w:tcW w:w="701" w:type="dxa"/>
            <w:vMerge/>
            <w:tcBorders>
              <w:bottom w:val="single" w:sz="4" w:space="0" w:color="auto"/>
            </w:tcBorders>
            <w:vAlign w:val="center"/>
          </w:tcPr>
          <w:p w14:paraId="33EA79AB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454A5602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</w:p>
        </w:tc>
      </w:tr>
      <w:tr w:rsidR="00910803" w14:paraId="49160C0D" w14:textId="77777777" w:rsidTr="00D63EB0"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57238C6E" w14:textId="77777777" w:rsidR="00910803" w:rsidRPr="002042C1" w:rsidRDefault="00910803" w:rsidP="00D63E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EIBP: Baseline present, error imputed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9CF42E3" w14:textId="77777777" w:rsidR="00910803" w:rsidRPr="002042C1" w:rsidRDefault="00910803" w:rsidP="00D63E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</w:t>
            </w:r>
          </w:p>
        </w:tc>
        <w:tc>
          <w:tcPr>
            <w:tcW w:w="1244" w:type="dxa"/>
            <w:tcBorders>
              <w:top w:val="single" w:sz="4" w:space="0" w:color="auto"/>
            </w:tcBorders>
            <w:vAlign w:val="center"/>
          </w:tcPr>
          <w:p w14:paraId="6F45B9A8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1.43</w:t>
            </w:r>
          </w:p>
          <w:p w14:paraId="60F04EE6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(0.97, 1.75)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E0FCAE8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0.07</w:t>
            </w:r>
          </w:p>
          <w:p w14:paraId="3EE82210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 xml:space="preserve">(0.00, </w:t>
            </w:r>
            <w:proofErr w:type="gramStart"/>
            <w:r w:rsidRPr="00594073">
              <w:rPr>
                <w:color w:val="000000" w:themeColor="text1"/>
                <w:sz w:val="15"/>
                <w:szCs w:val="15"/>
              </w:rPr>
              <w:t>0.15)*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A6F9C59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0.02</w:t>
            </w:r>
          </w:p>
          <w:p w14:paraId="56CDE8AF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(-0.05, 0.09)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464600F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0.06</w:t>
            </w:r>
          </w:p>
          <w:p w14:paraId="09C5FB2A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(-0.02, 0.15)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0B413A53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0.05</w:t>
            </w:r>
          </w:p>
          <w:p w14:paraId="6067413E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 xml:space="preserve">(0.02, </w:t>
            </w:r>
            <w:proofErr w:type="gramStart"/>
            <w:r w:rsidRPr="00594073">
              <w:rPr>
                <w:color w:val="000000" w:themeColor="text1"/>
                <w:sz w:val="15"/>
                <w:szCs w:val="15"/>
              </w:rPr>
              <w:t>0.08)*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43EBF1D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0.00</w:t>
            </w:r>
          </w:p>
          <w:p w14:paraId="2636A257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(-0.00 0.00)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8FE9F2D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0.03</w:t>
            </w:r>
          </w:p>
          <w:p w14:paraId="7B2D4455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(-0.03, 0.08)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2A3598F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0.76</w:t>
            </w:r>
          </w:p>
          <w:p w14:paraId="1FAF6CFC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 xml:space="preserve">(0.38, </w:t>
            </w:r>
            <w:proofErr w:type="gramStart"/>
            <w:r w:rsidRPr="00594073">
              <w:rPr>
                <w:color w:val="000000" w:themeColor="text1"/>
                <w:sz w:val="15"/>
                <w:szCs w:val="15"/>
              </w:rPr>
              <w:t>1.10)*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27F4D591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0.01</w:t>
            </w:r>
          </w:p>
          <w:p w14:paraId="76B1E33B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(-0.05, 0.04)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1673A2F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-0.01</w:t>
            </w:r>
          </w:p>
          <w:p w14:paraId="102FD859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(-0.07, 0.04)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168B7573" w14:textId="77777777" w:rsidR="0091080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0.21</w:t>
            </w:r>
          </w:p>
          <w:p w14:paraId="7F256935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(-0.05, 0.44)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9420B71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0.980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5BDCB30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0.776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</w:tcBorders>
            <w:vAlign w:val="center"/>
          </w:tcPr>
          <w:p w14:paraId="6D28C1CF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79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4FA00614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14</w:t>
            </w:r>
          </w:p>
        </w:tc>
      </w:tr>
      <w:tr w:rsidR="00910803" w14:paraId="262C391E" w14:textId="77777777" w:rsidTr="00D63EB0"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6DD91FF1" w14:textId="77777777" w:rsidR="00910803" w:rsidRPr="002042C1" w:rsidRDefault="00910803" w:rsidP="00D63EB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DAB5CDB" w14:textId="77777777" w:rsidR="00910803" w:rsidRPr="002042C1" w:rsidRDefault="00910803" w:rsidP="00D63E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Yield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14:paraId="72162495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5.43</w:t>
            </w:r>
          </w:p>
          <w:p w14:paraId="56865EF7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(-0.67, 10.71)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BF606DD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-1.26</w:t>
            </w:r>
          </w:p>
          <w:p w14:paraId="28724406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(-2.86, 0.29)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2A857D9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-0.29</w:t>
            </w:r>
          </w:p>
          <w:p w14:paraId="4F3EE61D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(-1.94, 1.35)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B0ECEE9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-0.08</w:t>
            </w:r>
          </w:p>
          <w:p w14:paraId="42249B75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(-2.21, 2.12)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16CB70A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-0.07</w:t>
            </w:r>
          </w:p>
          <w:p w14:paraId="12B6C4D1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(-0.81, 0.61)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8A932A9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-0.03</w:t>
            </w:r>
          </w:p>
          <w:p w14:paraId="5E0941BA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(-0.10, 0.05)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42B6F96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0.13</w:t>
            </w:r>
          </w:p>
          <w:p w14:paraId="3164A05D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(-0.50, 0.78)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C68E593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F3C37C7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434C568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1785E0C7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60CFC67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0.853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B3BA12F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0.670</w:t>
            </w:r>
          </w:p>
        </w:tc>
        <w:tc>
          <w:tcPr>
            <w:tcW w:w="701" w:type="dxa"/>
            <w:vMerge/>
            <w:tcBorders>
              <w:bottom w:val="single" w:sz="4" w:space="0" w:color="auto"/>
            </w:tcBorders>
            <w:vAlign w:val="center"/>
          </w:tcPr>
          <w:p w14:paraId="79A35087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09553DB0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</w:p>
        </w:tc>
      </w:tr>
      <w:tr w:rsidR="00910803" w14:paraId="680EC9E7" w14:textId="77777777" w:rsidTr="00D63EB0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805E0" w14:textId="77777777" w:rsidR="00910803" w:rsidRPr="002042C1" w:rsidRDefault="00910803" w:rsidP="00D63E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EIBI: Baseline and error imputed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28260AEA" w14:textId="77777777" w:rsidR="00910803" w:rsidRPr="002042C1" w:rsidRDefault="00910803" w:rsidP="00D63E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</w:t>
            </w:r>
          </w:p>
        </w:tc>
        <w:tc>
          <w:tcPr>
            <w:tcW w:w="1244" w:type="dxa"/>
            <w:tcBorders>
              <w:top w:val="single" w:sz="4" w:space="0" w:color="auto"/>
            </w:tcBorders>
            <w:vAlign w:val="center"/>
          </w:tcPr>
          <w:p w14:paraId="567D70BF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1.66</w:t>
            </w:r>
          </w:p>
          <w:p w14:paraId="255B4301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(1.34, 1.96)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9263B41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0.06</w:t>
            </w:r>
          </w:p>
          <w:p w14:paraId="0ABC07CE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 xml:space="preserve">(0.00, </w:t>
            </w:r>
            <w:proofErr w:type="gramStart"/>
            <w:r w:rsidRPr="00594073">
              <w:rPr>
                <w:color w:val="000000" w:themeColor="text1"/>
                <w:sz w:val="15"/>
                <w:szCs w:val="15"/>
              </w:rPr>
              <w:t>0.12)*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A841F7B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0.09</w:t>
            </w:r>
          </w:p>
          <w:p w14:paraId="69B8B3FB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 xml:space="preserve">(0.03, </w:t>
            </w:r>
            <w:proofErr w:type="gramStart"/>
            <w:r w:rsidRPr="00594073">
              <w:rPr>
                <w:color w:val="000000" w:themeColor="text1"/>
                <w:sz w:val="15"/>
                <w:szCs w:val="15"/>
              </w:rPr>
              <w:t>0.15)*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DDD9F83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0.07</w:t>
            </w:r>
          </w:p>
          <w:p w14:paraId="6A3D640A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(-0.00, 0.14)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5033D2C9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0.05</w:t>
            </w:r>
          </w:p>
          <w:p w14:paraId="6F2A4C39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 xml:space="preserve">(0.03, </w:t>
            </w:r>
            <w:proofErr w:type="gramStart"/>
            <w:r w:rsidRPr="00594073">
              <w:rPr>
                <w:color w:val="000000" w:themeColor="text1"/>
                <w:sz w:val="15"/>
                <w:szCs w:val="15"/>
              </w:rPr>
              <w:t>0.08)*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4BB136E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0.00</w:t>
            </w:r>
          </w:p>
          <w:p w14:paraId="57E52C04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(-0.00, 0.00)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DD6731E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0.05</w:t>
            </w:r>
          </w:p>
          <w:p w14:paraId="770AFB52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(-0.04, 0.12)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B58662E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0.10</w:t>
            </w:r>
          </w:p>
          <w:p w14:paraId="0954FA69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(-0.04, 0.30)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C173FD3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-0.03</w:t>
            </w:r>
          </w:p>
          <w:p w14:paraId="42F8458A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(-0.07, 0.01)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9908856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-0.05</w:t>
            </w:r>
          </w:p>
          <w:p w14:paraId="48CB36D7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(-0.09, -0.</w:t>
            </w:r>
            <w:proofErr w:type="gramStart"/>
            <w:r w:rsidRPr="00594073">
              <w:rPr>
                <w:color w:val="000000" w:themeColor="text1"/>
                <w:sz w:val="15"/>
                <w:szCs w:val="15"/>
              </w:rPr>
              <w:t>02)*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3703A9A7" w14:textId="77777777" w:rsidR="0091080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0.15</w:t>
            </w:r>
          </w:p>
          <w:p w14:paraId="22903374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(-0.03, 0.31)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1129D12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0.983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2206A4C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0.460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</w:tcBorders>
            <w:vAlign w:val="center"/>
          </w:tcPr>
          <w:p w14:paraId="009AA647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195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47E99BE7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40</w:t>
            </w:r>
          </w:p>
        </w:tc>
      </w:tr>
      <w:tr w:rsidR="00910803" w14:paraId="1DCBC669" w14:textId="77777777" w:rsidTr="00D63EB0"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1A64982F" w14:textId="77777777" w:rsidR="00910803" w:rsidRPr="002042C1" w:rsidRDefault="00910803" w:rsidP="00D63EB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02F00D1" w14:textId="77777777" w:rsidR="00910803" w:rsidRPr="002042C1" w:rsidRDefault="00910803" w:rsidP="00D63E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Yield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14:paraId="463F1F2D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8.67</w:t>
            </w:r>
          </w:p>
          <w:p w14:paraId="7E9BE599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(3.78, 13.58)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DC42022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-0.89</w:t>
            </w:r>
          </w:p>
          <w:p w14:paraId="28119471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(-2.44, 0.65)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5786F98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-0.49</w:t>
            </w:r>
          </w:p>
          <w:p w14:paraId="385DEB11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(-1.99, 1.01)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60FC4A5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-0.23</w:t>
            </w:r>
          </w:p>
          <w:p w14:paraId="25F79CC6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(-2.19, 1.72)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7461F90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0.18</w:t>
            </w:r>
          </w:p>
          <w:p w14:paraId="4835A3AA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(-0.40, 0.75)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CD48E1E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-0.08</w:t>
            </w:r>
          </w:p>
          <w:p w14:paraId="115CFB2E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(-0.18, 0.03)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71CC4DD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-0.00</w:t>
            </w:r>
          </w:p>
          <w:p w14:paraId="65B9321E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(-0.81, 0.80)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CC48EF4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6BACE940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37D2872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53858257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3E63725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0.943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1DE63B9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0.500</w:t>
            </w:r>
          </w:p>
        </w:tc>
        <w:tc>
          <w:tcPr>
            <w:tcW w:w="701" w:type="dxa"/>
            <w:vMerge/>
            <w:tcBorders>
              <w:bottom w:val="single" w:sz="4" w:space="0" w:color="auto"/>
            </w:tcBorders>
            <w:vAlign w:val="center"/>
          </w:tcPr>
          <w:p w14:paraId="7BA4B5E0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78E2545F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</w:p>
        </w:tc>
      </w:tr>
      <w:tr w:rsidR="00910803" w14:paraId="0A6CF0B8" w14:textId="77777777" w:rsidTr="00D63EB0">
        <w:trPr>
          <w:trHeight w:val="794"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2D877466" w14:textId="23623C08" w:rsidR="00910803" w:rsidRPr="002042C1" w:rsidRDefault="004F7E56" w:rsidP="00D63E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</w:t>
            </w:r>
            <w:r w:rsidR="00910803">
              <w:rPr>
                <w:sz w:val="16"/>
                <w:szCs w:val="16"/>
              </w:rPr>
              <w:t>: EIBI data with critical appraisal scores 3&amp;4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089471E" w14:textId="77777777" w:rsidR="00910803" w:rsidRPr="002042C1" w:rsidRDefault="00910803" w:rsidP="00D63E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SOC</w:t>
            </w:r>
          </w:p>
        </w:tc>
        <w:tc>
          <w:tcPr>
            <w:tcW w:w="1244" w:type="dxa"/>
            <w:tcBorders>
              <w:top w:val="single" w:sz="4" w:space="0" w:color="auto"/>
            </w:tcBorders>
            <w:vAlign w:val="center"/>
          </w:tcPr>
          <w:p w14:paraId="6D7A3079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1.63</w:t>
            </w:r>
          </w:p>
          <w:p w14:paraId="03A2855A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(1.31, 1.94)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CE276AF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0.05</w:t>
            </w:r>
          </w:p>
          <w:p w14:paraId="66EFD8C3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(-0.01, 0.10)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A5B8BBB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0.05</w:t>
            </w:r>
          </w:p>
          <w:p w14:paraId="450C4512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(-0.00, 0.11)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2C2AFF7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0.05</w:t>
            </w:r>
          </w:p>
          <w:p w14:paraId="01E543D7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(-0.01, 0.12)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53684FEC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0.06</w:t>
            </w:r>
          </w:p>
          <w:p w14:paraId="63CEDFC7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 xml:space="preserve">(0.04, </w:t>
            </w:r>
            <w:proofErr w:type="gramStart"/>
            <w:r w:rsidRPr="00594073">
              <w:rPr>
                <w:color w:val="000000" w:themeColor="text1"/>
                <w:sz w:val="15"/>
                <w:szCs w:val="15"/>
              </w:rPr>
              <w:t>0.08)*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126BBFB2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0.00</w:t>
            </w:r>
          </w:p>
          <w:p w14:paraId="4AA5C071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(-0.00, 0.00)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3D49268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0.01</w:t>
            </w:r>
          </w:p>
          <w:p w14:paraId="1D017414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(-0.08, 0.10)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5BCEE401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0.02</w:t>
            </w:r>
          </w:p>
          <w:p w14:paraId="2B0DD1CE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(-0.32, 0.33)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C36A4B3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-0.02</w:t>
            </w:r>
          </w:p>
          <w:p w14:paraId="67595133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(-0.06, 0.01)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88CFA20" w14:textId="77777777" w:rsidR="0091080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-0.08</w:t>
            </w:r>
          </w:p>
          <w:p w14:paraId="03648D59" w14:textId="77777777" w:rsidR="00910803" w:rsidRPr="00594073" w:rsidRDefault="00910803" w:rsidP="00D63EB0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594073">
              <w:rPr>
                <w:color w:val="000000" w:themeColor="text1"/>
                <w:sz w:val="15"/>
                <w:szCs w:val="15"/>
              </w:rPr>
              <w:t>(-0.12, -0.</w:t>
            </w:r>
            <w:proofErr w:type="gramStart"/>
            <w:r w:rsidRPr="00594073">
              <w:rPr>
                <w:color w:val="000000" w:themeColor="text1"/>
                <w:sz w:val="15"/>
                <w:szCs w:val="15"/>
              </w:rPr>
              <w:t>05)*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438F3C24" w14:textId="77777777" w:rsidR="0091080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0.08</w:t>
            </w:r>
          </w:p>
          <w:p w14:paraId="6902FC61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(-0.11, 0.27)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2990422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0.979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33405F99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0.596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042DA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144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318FF7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25</w:t>
            </w:r>
          </w:p>
        </w:tc>
      </w:tr>
      <w:tr w:rsidR="00910803" w14:paraId="77CC1AED" w14:textId="77777777" w:rsidTr="00D63EB0">
        <w:tc>
          <w:tcPr>
            <w:tcW w:w="1134" w:type="dxa"/>
            <w:vMerge/>
            <w:tcBorders>
              <w:bottom w:val="single" w:sz="4" w:space="0" w:color="auto"/>
            </w:tcBorders>
          </w:tcPr>
          <w:p w14:paraId="105B6B3C" w14:textId="77777777" w:rsidR="00910803" w:rsidRPr="002042C1" w:rsidRDefault="00910803" w:rsidP="00D63EB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E2D8C9B" w14:textId="77777777" w:rsidR="00910803" w:rsidRPr="002042C1" w:rsidRDefault="00910803" w:rsidP="00D63E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Yield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vAlign w:val="center"/>
          </w:tcPr>
          <w:p w14:paraId="5477C570" w14:textId="77777777" w:rsidR="0091080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4.07</w:t>
            </w:r>
          </w:p>
          <w:p w14:paraId="11DE3D32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(0.70, 7.17)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5DE6309" w14:textId="77777777" w:rsidR="0091080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-0.77</w:t>
            </w:r>
          </w:p>
          <w:p w14:paraId="0F8A08C5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(-1.83, 0.27)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D7F1F65" w14:textId="77777777" w:rsidR="0091080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-0.31</w:t>
            </w:r>
          </w:p>
          <w:p w14:paraId="50E43783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(-1.31, 0.70)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E3283EA" w14:textId="77777777" w:rsidR="0091080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0.12</w:t>
            </w:r>
          </w:p>
          <w:p w14:paraId="52FB945A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(-1.17, 1.41)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8773390" w14:textId="77777777" w:rsidR="0091080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0.23</w:t>
            </w:r>
          </w:p>
          <w:p w14:paraId="3001E03F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(-0.12, 0.57)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304AEEC" w14:textId="77777777" w:rsidR="0091080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-0.03</w:t>
            </w:r>
          </w:p>
          <w:p w14:paraId="75B76BFF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(-0.09, 0.02)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8B714CB" w14:textId="77777777" w:rsidR="0091080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0.05</w:t>
            </w:r>
          </w:p>
          <w:p w14:paraId="42A56CAA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(-0.44, 0.52)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F468315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F1FA7DA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C772D42" w14:textId="77777777" w:rsidR="00910803" w:rsidRPr="00594073" w:rsidRDefault="00910803" w:rsidP="00D63EB0">
            <w:pPr>
              <w:jc w:val="center"/>
              <w:rPr>
                <w:sz w:val="15"/>
                <w:szCs w:val="15"/>
              </w:rPr>
            </w:pPr>
            <w:r w:rsidRPr="00594073">
              <w:rPr>
                <w:sz w:val="15"/>
                <w:szCs w:val="15"/>
              </w:rPr>
              <w:t>-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14:paraId="33103FBA" w14:textId="77777777" w:rsidR="00910803" w:rsidRDefault="00910803" w:rsidP="00D63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1699B10" w14:textId="77777777" w:rsidR="00910803" w:rsidRDefault="00910803" w:rsidP="00D63E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0.975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1B6E7C26" w14:textId="77777777" w:rsidR="00910803" w:rsidRDefault="00910803" w:rsidP="00D63E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0.888</w:t>
            </w:r>
          </w:p>
        </w:tc>
        <w:tc>
          <w:tcPr>
            <w:tcW w:w="701" w:type="dxa"/>
            <w:vMerge/>
            <w:tcBorders>
              <w:bottom w:val="single" w:sz="4" w:space="0" w:color="auto"/>
            </w:tcBorders>
          </w:tcPr>
          <w:p w14:paraId="789D6E48" w14:textId="77777777" w:rsidR="00910803" w:rsidRPr="002042C1" w:rsidRDefault="00910803" w:rsidP="00D63EB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4A9CAE00" w14:textId="77777777" w:rsidR="00910803" w:rsidRPr="002042C1" w:rsidRDefault="00910803" w:rsidP="00D63EB0">
            <w:pPr>
              <w:rPr>
                <w:sz w:val="16"/>
                <w:szCs w:val="16"/>
              </w:rPr>
            </w:pPr>
          </w:p>
        </w:tc>
      </w:tr>
      <w:tr w:rsidR="00910803" w14:paraId="4C083B7F" w14:textId="77777777" w:rsidTr="00D63EB0">
        <w:tc>
          <w:tcPr>
            <w:tcW w:w="16120" w:type="dxa"/>
            <w:gridSpan w:val="17"/>
          </w:tcPr>
          <w:p w14:paraId="6C31E9A2" w14:textId="77777777" w:rsidR="00910803" w:rsidRPr="009A59D7" w:rsidRDefault="00910803" w:rsidP="00D63EB0">
            <w:pPr>
              <w:rPr>
                <w:sz w:val="15"/>
                <w:szCs w:val="15"/>
              </w:rPr>
            </w:pPr>
            <w:r w:rsidRPr="009A59D7">
              <w:rPr>
                <w:sz w:val="15"/>
                <w:szCs w:val="15"/>
                <w:vertAlign w:val="superscript"/>
              </w:rPr>
              <w:t>†</w:t>
            </w:r>
            <w:r w:rsidRPr="009A59D7">
              <w:rPr>
                <w:sz w:val="15"/>
                <w:szCs w:val="15"/>
              </w:rPr>
              <w:t>Conventional tillage and no cover crops or ley-phase in rotation.</w:t>
            </w:r>
          </w:p>
          <w:p w14:paraId="51DCEFA6" w14:textId="77777777" w:rsidR="00910803" w:rsidRPr="009A59D7" w:rsidRDefault="00910803" w:rsidP="00D63EB0">
            <w:pPr>
              <w:rPr>
                <w:sz w:val="15"/>
                <w:szCs w:val="15"/>
              </w:rPr>
            </w:pPr>
            <w:r w:rsidRPr="009A59D7">
              <w:rPr>
                <w:sz w:val="15"/>
                <w:szCs w:val="15"/>
                <w:vertAlign w:val="superscript"/>
              </w:rPr>
              <w:t>‡</w:t>
            </w:r>
            <w:r w:rsidRPr="009A59D7">
              <w:rPr>
                <w:sz w:val="15"/>
                <w:szCs w:val="15"/>
              </w:rPr>
              <w:t>Estimated effect where cover crops are present in every year of the rotation</w:t>
            </w:r>
          </w:p>
          <w:p w14:paraId="23E2A0A1" w14:textId="77777777" w:rsidR="00910803" w:rsidRPr="009A59D7" w:rsidRDefault="00910803" w:rsidP="00D63EB0">
            <w:pPr>
              <w:rPr>
                <w:sz w:val="15"/>
                <w:szCs w:val="15"/>
              </w:rPr>
            </w:pPr>
            <w:r w:rsidRPr="009A59D7">
              <w:rPr>
                <w:sz w:val="15"/>
                <w:szCs w:val="15"/>
                <w:vertAlign w:val="superscript"/>
              </w:rPr>
              <w:t>††</w:t>
            </w:r>
            <w:r w:rsidRPr="009A59D7">
              <w:rPr>
                <w:sz w:val="15"/>
                <w:szCs w:val="15"/>
              </w:rPr>
              <w:t xml:space="preserve">Estimated effect of one year of ley in a rotation, would increase as multiple of total ley duration within rotation. </w:t>
            </w:r>
          </w:p>
          <w:p w14:paraId="4838F47D" w14:textId="77777777" w:rsidR="00910803" w:rsidRPr="00496515" w:rsidRDefault="00910803" w:rsidP="00D63EB0">
            <w:pPr>
              <w:rPr>
                <w:sz w:val="16"/>
                <w:szCs w:val="16"/>
              </w:rPr>
            </w:pPr>
            <w:r w:rsidRPr="009A59D7">
              <w:rPr>
                <w:sz w:val="15"/>
                <w:szCs w:val="15"/>
                <w:vertAlign w:val="superscript"/>
              </w:rPr>
              <w:t>‡‡</w:t>
            </w:r>
            <w:r w:rsidRPr="009A59D7">
              <w:rPr>
                <w:sz w:val="15"/>
                <w:szCs w:val="15"/>
              </w:rPr>
              <w:t>Absolute latitude.</w:t>
            </w:r>
          </w:p>
        </w:tc>
      </w:tr>
    </w:tbl>
    <w:p w14:paraId="2FBD1789" w14:textId="77777777" w:rsidR="00EA10E9" w:rsidRDefault="007F3B66"/>
    <w:sectPr w:rsidR="00EA10E9" w:rsidSect="00910803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59"/>
    <w:rsid w:val="000024AD"/>
    <w:rsid w:val="00021B0A"/>
    <w:rsid w:val="00034559"/>
    <w:rsid w:val="00041799"/>
    <w:rsid w:val="000831C9"/>
    <w:rsid w:val="0009490E"/>
    <w:rsid w:val="000C495D"/>
    <w:rsid w:val="00110863"/>
    <w:rsid w:val="00144AE4"/>
    <w:rsid w:val="00160B84"/>
    <w:rsid w:val="00183C9F"/>
    <w:rsid w:val="001A4540"/>
    <w:rsid w:val="001F1B8C"/>
    <w:rsid w:val="00244F71"/>
    <w:rsid w:val="002867CB"/>
    <w:rsid w:val="002A4ECB"/>
    <w:rsid w:val="002B79BC"/>
    <w:rsid w:val="002E6C8A"/>
    <w:rsid w:val="00335785"/>
    <w:rsid w:val="00374702"/>
    <w:rsid w:val="0041518C"/>
    <w:rsid w:val="00416B51"/>
    <w:rsid w:val="0044362C"/>
    <w:rsid w:val="004452CD"/>
    <w:rsid w:val="00445978"/>
    <w:rsid w:val="00491AF2"/>
    <w:rsid w:val="004A5636"/>
    <w:rsid w:val="004F7E56"/>
    <w:rsid w:val="00507085"/>
    <w:rsid w:val="005173AA"/>
    <w:rsid w:val="005314A3"/>
    <w:rsid w:val="00567E5C"/>
    <w:rsid w:val="00587830"/>
    <w:rsid w:val="005937CC"/>
    <w:rsid w:val="005E2DB7"/>
    <w:rsid w:val="00606C24"/>
    <w:rsid w:val="00612192"/>
    <w:rsid w:val="006560CB"/>
    <w:rsid w:val="006C1CD1"/>
    <w:rsid w:val="006C4D9E"/>
    <w:rsid w:val="006D2FA4"/>
    <w:rsid w:val="006E02B3"/>
    <w:rsid w:val="006F100F"/>
    <w:rsid w:val="00716248"/>
    <w:rsid w:val="007376CE"/>
    <w:rsid w:val="007458C7"/>
    <w:rsid w:val="007701D8"/>
    <w:rsid w:val="00781A5A"/>
    <w:rsid w:val="00782DE6"/>
    <w:rsid w:val="007B63D8"/>
    <w:rsid w:val="007F3B66"/>
    <w:rsid w:val="0080299B"/>
    <w:rsid w:val="008135A2"/>
    <w:rsid w:val="00855A95"/>
    <w:rsid w:val="00857C91"/>
    <w:rsid w:val="008665C2"/>
    <w:rsid w:val="00881D3D"/>
    <w:rsid w:val="00883EA4"/>
    <w:rsid w:val="00895AB9"/>
    <w:rsid w:val="00895D60"/>
    <w:rsid w:val="008D5E62"/>
    <w:rsid w:val="008E2135"/>
    <w:rsid w:val="00903821"/>
    <w:rsid w:val="00910803"/>
    <w:rsid w:val="00953CDF"/>
    <w:rsid w:val="00967CC9"/>
    <w:rsid w:val="0097041D"/>
    <w:rsid w:val="0097353F"/>
    <w:rsid w:val="009A0AA8"/>
    <w:rsid w:val="009B73B2"/>
    <w:rsid w:val="009B77AF"/>
    <w:rsid w:val="009C07F8"/>
    <w:rsid w:val="009D5CC3"/>
    <w:rsid w:val="00A04928"/>
    <w:rsid w:val="00A05448"/>
    <w:rsid w:val="00A07900"/>
    <w:rsid w:val="00A12970"/>
    <w:rsid w:val="00A17586"/>
    <w:rsid w:val="00A6071B"/>
    <w:rsid w:val="00A91291"/>
    <w:rsid w:val="00AA1F07"/>
    <w:rsid w:val="00AA7DB1"/>
    <w:rsid w:val="00AC74EC"/>
    <w:rsid w:val="00AD2DCA"/>
    <w:rsid w:val="00AE042B"/>
    <w:rsid w:val="00B042C1"/>
    <w:rsid w:val="00B0709D"/>
    <w:rsid w:val="00B4022A"/>
    <w:rsid w:val="00B70A9F"/>
    <w:rsid w:val="00B73C81"/>
    <w:rsid w:val="00B910E2"/>
    <w:rsid w:val="00BC22F3"/>
    <w:rsid w:val="00BE7FBE"/>
    <w:rsid w:val="00C24084"/>
    <w:rsid w:val="00C521EB"/>
    <w:rsid w:val="00C542AC"/>
    <w:rsid w:val="00C61C87"/>
    <w:rsid w:val="00C7278C"/>
    <w:rsid w:val="00CC18FD"/>
    <w:rsid w:val="00CF2106"/>
    <w:rsid w:val="00D12505"/>
    <w:rsid w:val="00D27CD6"/>
    <w:rsid w:val="00D31246"/>
    <w:rsid w:val="00D37A14"/>
    <w:rsid w:val="00D50394"/>
    <w:rsid w:val="00D50C5D"/>
    <w:rsid w:val="00D5439C"/>
    <w:rsid w:val="00D85F19"/>
    <w:rsid w:val="00D90A4F"/>
    <w:rsid w:val="00DB6F83"/>
    <w:rsid w:val="00E02787"/>
    <w:rsid w:val="00E04D64"/>
    <w:rsid w:val="00E45C4A"/>
    <w:rsid w:val="00E52A73"/>
    <w:rsid w:val="00E901A7"/>
    <w:rsid w:val="00EB46F4"/>
    <w:rsid w:val="00F47842"/>
    <w:rsid w:val="00F54517"/>
    <w:rsid w:val="00F56B31"/>
    <w:rsid w:val="00F91E7B"/>
    <w:rsid w:val="00FA5A68"/>
    <w:rsid w:val="00FC14F7"/>
    <w:rsid w:val="00FD2F59"/>
    <w:rsid w:val="00FE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A6FAAB"/>
  <w14:defaultImageDpi w14:val="32767"/>
  <w15:chartTrackingRefBased/>
  <w15:docId w15:val="{7EE89589-D4A3-9A4D-8703-4A9A2E40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08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8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37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Jordon</dc:creator>
  <cp:keywords/>
  <dc:description/>
  <cp:lastModifiedBy>Matthew Jordon</cp:lastModifiedBy>
  <cp:revision>7</cp:revision>
  <dcterms:created xsi:type="dcterms:W3CDTF">2021-10-27T10:56:00Z</dcterms:created>
  <dcterms:modified xsi:type="dcterms:W3CDTF">2021-11-09T10:50:00Z</dcterms:modified>
</cp:coreProperties>
</file>