
<file path=[Content_Types].xml><?xml version="1.0" encoding="utf-8"?>
<Types xmlns="http://schemas.openxmlformats.org/package/2006/content-types">
  <Default Extension="png" ContentType="image/png"/>
  <Default Extension="tiff" ContentType="image/tif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CBB0A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t>Supplementary Table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1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. Baseline </w:t>
      </w:r>
      <w:r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t xml:space="preserve">demographic 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and anthropometric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data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for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 children categorized by left ventricular remodeling geometry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(remodeling vs normal)</w:t>
      </w:r>
      <w:r>
        <w:rPr>
          <w:rFonts w:hint="default" w:ascii="Times New Roman Regular" w:hAnsi="Times New Roman Regular" w:cs="Times New Roman Regular"/>
          <w:sz w:val="22"/>
          <w:szCs w:val="22"/>
        </w:rPr>
        <w:t>.</w:t>
      </w:r>
    </w:p>
    <w:tbl>
      <w:tblPr>
        <w:tblStyle w:val="3"/>
        <w:tblpPr w:leftFromText="180" w:rightFromText="180" w:vertAnchor="page" w:horzAnchor="page" w:tblpX="1815" w:tblpY="2214"/>
        <w:tblOverlap w:val="never"/>
        <w:tblW w:w="863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27"/>
        <w:gridCol w:w="1806"/>
        <w:gridCol w:w="2436"/>
        <w:gridCol w:w="862"/>
        <w:gridCol w:w="1005"/>
      </w:tblGrid>
      <w:tr w14:paraId="794276F0">
        <w:trPr>
          <w:trHeight w:val="334" w:hRule="atLeast"/>
          <w:jc w:val="center"/>
        </w:trPr>
        <w:tc>
          <w:tcPr>
            <w:tcW w:w="252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F2E6931">
            <w:pPr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0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7F509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LVR Group</w:t>
            </w:r>
          </w:p>
          <w:p w14:paraId="615DC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n=63</w:t>
            </w:r>
          </w:p>
        </w:tc>
        <w:tc>
          <w:tcPr>
            <w:tcW w:w="243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948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Normal-geometry Group</w:t>
            </w:r>
          </w:p>
          <w:p w14:paraId="26525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n=63</w:t>
            </w:r>
          </w:p>
        </w:tc>
        <w:tc>
          <w:tcPr>
            <w:tcW w:w="862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2EDB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 value</w:t>
            </w:r>
          </w:p>
        </w:tc>
        <w:tc>
          <w:tcPr>
            <w:tcW w:w="100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3A9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SMD</w:t>
            </w:r>
          </w:p>
        </w:tc>
      </w:tr>
      <w:tr w14:paraId="452C4FC4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844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Age, years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13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 ± 2.00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9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13.00±2.00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95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E62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22944962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70D8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Male sex, n (%)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5E1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 (85.7%)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2E9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 (85.7%)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B37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6C0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</w:t>
            </w:r>
          </w:p>
        </w:tc>
      </w:tr>
      <w:tr w14:paraId="75154EBC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278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Height (cm)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FDC0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169.10±12.55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57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170.86±11.50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C4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0.586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36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-0.146</w:t>
            </w:r>
          </w:p>
        </w:tc>
      </w:tr>
      <w:tr w14:paraId="5E1ECA38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DA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Weight (kg)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06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96.80±17.06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69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98.09±19.51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DD6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0.694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E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-0.070</w:t>
            </w:r>
          </w:p>
        </w:tc>
      </w:tr>
      <w:tr w14:paraId="181BD66E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62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  <w:t>Body mass index (kg/m²)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29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33.62±5.34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E6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33.28±4.65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7BB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BD4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0.068</w:t>
            </w:r>
          </w:p>
        </w:tc>
      </w:tr>
      <w:tr w14:paraId="58A18012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5725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  <w:t>Body surface area (m²)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2B1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2.13±0.24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1D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2.15±0.26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0D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0.621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6B0A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-0.088</w:t>
            </w:r>
          </w:p>
        </w:tc>
      </w:tr>
      <w:tr w14:paraId="67BA331C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AD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Waist Circumference (cm)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7E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106.02±11.34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7A7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107.14±14.53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B1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7AF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-0.086</w:t>
            </w:r>
          </w:p>
        </w:tc>
      </w:tr>
      <w:tr w14:paraId="6DE5666B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E94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Hip Circumference (cm)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FE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112.09±10.96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D63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111.86±9.37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89F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0.899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136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</w:t>
            </w:r>
          </w:p>
        </w:tc>
      </w:tr>
      <w:tr w14:paraId="0D10A75A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44D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W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  <w:t>aist-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T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  <w:t>o-height ratio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B5A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0.63±0.09</w:t>
            </w:r>
          </w:p>
        </w:tc>
        <w:tc>
          <w:tcPr>
            <w:tcW w:w="24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6028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0.63±0.08</w:t>
            </w:r>
          </w:p>
        </w:tc>
        <w:tc>
          <w:tcPr>
            <w:tcW w:w="8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FE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0.955</w:t>
            </w:r>
          </w:p>
        </w:tc>
        <w:tc>
          <w:tcPr>
            <w:tcW w:w="10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643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0.045</w:t>
            </w:r>
          </w:p>
        </w:tc>
      </w:tr>
      <w:tr w14:paraId="33FEB623">
        <w:trPr>
          <w:trHeight w:val="334" w:hRule="atLeast"/>
          <w:jc w:val="center"/>
        </w:trPr>
        <w:tc>
          <w:tcPr>
            <w:tcW w:w="252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EF1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VAI</w:t>
            </w:r>
          </w:p>
        </w:tc>
        <w:tc>
          <w:tcPr>
            <w:tcW w:w="180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EE1D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 (1.37–2.88)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F97B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 (1.37–2.10)</w:t>
            </w:r>
          </w:p>
        </w:tc>
        <w:tc>
          <w:tcPr>
            <w:tcW w:w="86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A22C3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0.222</w:t>
            </w:r>
          </w:p>
        </w:tc>
        <w:tc>
          <w:tcPr>
            <w:tcW w:w="100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FE9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0.364</w:t>
            </w:r>
          </w:p>
        </w:tc>
      </w:tr>
      <w:tr w14:paraId="54762485">
        <w:trPr>
          <w:trHeight w:val="334" w:hRule="atLeast"/>
          <w:jc w:val="center"/>
        </w:trPr>
        <w:tc>
          <w:tcPr>
            <w:tcW w:w="8636" w:type="dxa"/>
            <w:gridSpan w:val="5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290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Data are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reported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as mean ± SD, median with (IQR), or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counts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(percentage),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where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appropriate. Cases and controls were matched at a 1:1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ratio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without replacement, with exact matching on age and sex, and optimal matching to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reduce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overall BMI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discrepancies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. Postmatching balance was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evaluated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via SMDs, with an absolute SMD &lt;0.10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considered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adequate.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Height and VAI exhibited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residual imbalance.</w:t>
            </w:r>
          </w:p>
          <w:p w14:paraId="44EB8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Abbreviations: BMI, body mass index; BSA, body surface area; IQR, interquartile range; LVR, left ventricular remodeling; SD, standard deviation; SMD, standardized mean difference; VAI, visceral adiposity index.</w:t>
            </w:r>
          </w:p>
        </w:tc>
      </w:tr>
    </w:tbl>
    <w:p w14:paraId="5F1C1823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br w:type="page"/>
      </w:r>
    </w:p>
    <w:p w14:paraId="47447070">
      <w:pPr>
        <w:keepNext w:val="0"/>
        <w:keepLines w:val="0"/>
        <w:widowControl/>
        <w:suppressLineNumbers w:val="0"/>
        <w:jc w:val="left"/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</w:pPr>
      <w:r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t>Supplementary Table S2. Complete baseline characteristics for the matched cohort stratified by LV</w:t>
      </w:r>
      <w:r>
        <w:rPr>
          <w:rFonts w:hint="eastAsia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t>R</w:t>
      </w:r>
      <w:r>
        <w:rPr>
          <w:rFonts w:hint="default" w:ascii="Times New Roman Regular" w:hAnsi="Times New Roman Regular" w:eastAsia="宋体" w:cs="Times New Roman Regular"/>
          <w:kern w:val="0"/>
          <w:sz w:val="22"/>
          <w:szCs w:val="22"/>
          <w:lang w:val="en-US" w:eastAsia="zh-CN" w:bidi="ar"/>
        </w:rPr>
        <w:t xml:space="preserve"> presence. </w:t>
      </w:r>
    </w:p>
    <w:tbl>
      <w:tblPr>
        <w:tblStyle w:val="3"/>
        <w:tblW w:w="901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10"/>
        <w:gridCol w:w="2453"/>
        <w:gridCol w:w="2453"/>
        <w:gridCol w:w="903"/>
      </w:tblGrid>
      <w:tr w14:paraId="6C2EA7EA">
        <w:trPr>
          <w:trHeight w:val="336" w:hRule="atLeast"/>
        </w:trPr>
        <w:tc>
          <w:tcPr>
            <w:tcW w:w="321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B77B1B8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84A7E69">
            <w:pP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4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5DA3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LV</w:t>
            </w: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group (n=63)</w:t>
            </w:r>
          </w:p>
        </w:tc>
        <w:tc>
          <w:tcPr>
            <w:tcW w:w="245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1EC9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Normal-geometry Group</w:t>
            </w:r>
          </w:p>
          <w:p w14:paraId="77354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n=63</w:t>
            </w:r>
          </w:p>
        </w:tc>
        <w:tc>
          <w:tcPr>
            <w:tcW w:w="903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672E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 Regular" w:hAnsi="Times New Roman Regular" w:cs="Times New Roman Regular"/>
                <w:i w:val="0"/>
                <w:sz w:val="22"/>
                <w:szCs w:val="22"/>
                <w:lang w:val="en-US"/>
              </w:rPr>
              <w:t>P-value</w:t>
            </w:r>
          </w:p>
        </w:tc>
      </w:tr>
      <w:tr w14:paraId="7E313F0D">
        <w:trPr>
          <w:trHeight w:val="42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56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Ambulatory Blood Pressure (ABPM)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BF62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665A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A32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638FE619">
        <w:trPr>
          <w:trHeight w:val="42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EA09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Mean SBP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292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128.51 ± 7.68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EF1D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126.50 ± 6.23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174C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0.086</w:t>
            </w:r>
          </w:p>
        </w:tc>
      </w:tr>
      <w:tr w14:paraId="7BD3A11E">
        <w:trPr>
          <w:trHeight w:val="90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1C6B2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24-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 Mean DBP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6649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75.00 (70.00–79.45)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D27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73.00 (71.00–77.00)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1CB3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0.173</w:t>
            </w:r>
          </w:p>
        </w:tc>
      </w:tr>
      <w:tr w14:paraId="1F4ECBDF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881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Daytime SBP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E94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131.94 ± 9.11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F41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129.18 ± 6.91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80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0.046</w:t>
            </w:r>
          </w:p>
        </w:tc>
      </w:tr>
      <w:tr w14:paraId="512C306A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02B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Daytime DBP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809E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77.80 (70.42–81.00)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216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76.00 (73.00–79.50)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A0B5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0.693</w:t>
            </w:r>
          </w:p>
        </w:tc>
      </w:tr>
      <w:tr w14:paraId="2B94AB95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927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Nighttime SBP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F341A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122.96 ± 8.12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884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122.05 ± 6.93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6D0C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0.478</w:t>
            </w:r>
          </w:p>
        </w:tc>
      </w:tr>
      <w:tr w14:paraId="35B9A1DB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E4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Nighttime DBP (mmHg)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8E1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71.93 ± 7.19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A936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69.80 ± 6.48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6867B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0.063</w:t>
            </w:r>
          </w:p>
        </w:tc>
      </w:tr>
      <w:tr w14:paraId="4C4B9CE3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EBA7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SBP dipping rate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6601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6.64 ± 5.84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EF5D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5.66 ± 4.10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622B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0.224</w:t>
            </w:r>
          </w:p>
        </w:tc>
      </w:tr>
      <w:tr w14:paraId="016352D6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2658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DBP dipping rate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CE55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6.25 ± 7.28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20CB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6.70 ± 5.58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BC42D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0.674</w:t>
            </w:r>
          </w:p>
        </w:tc>
      </w:tr>
      <w:tr w14:paraId="54D7173F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3D4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Clinical Characteristics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C366A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6F66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3A40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ED31869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020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Hypertension grade,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99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6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98A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</w:t>
            </w:r>
          </w:p>
        </w:tc>
      </w:tr>
      <w:tr w14:paraId="60A12CE7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CAA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 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E7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 (52.4%）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01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 (77.8%)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4AB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030553BD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A6C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Grade 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13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 (47.6%)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3C5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 (22.2%)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27B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  <w:tr w14:paraId="1AB1CC25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54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Parental history of hypertension，n（%）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2BB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 (52.4%)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772C0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 (30.2%)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FDA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</w:t>
            </w:r>
          </w:p>
        </w:tc>
      </w:tr>
      <w:tr w14:paraId="07095AEC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4B1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Maternal gestational hypertension,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BA8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 (11.1%)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2C5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 (7.9%)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90E1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0.774</w:t>
            </w:r>
          </w:p>
        </w:tc>
      </w:tr>
      <w:tr w14:paraId="49F0E13C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B91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Hyperuricemia,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E34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 (71.4%)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A64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 (76.2%)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704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0.678</w:t>
            </w:r>
          </w:p>
        </w:tc>
      </w:tr>
      <w:tr w14:paraId="30639524">
        <w:trPr>
          <w:trHeight w:val="336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493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Hypertriglyceridemia,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ADD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 (33.3%)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515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 (38.1%)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6E2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0.701</w:t>
            </w:r>
          </w:p>
        </w:tc>
      </w:tr>
      <w:tr w14:paraId="2EF81EE7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2D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OSAS,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55E2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 (81.0%)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D97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 (57.1%)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CFBB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</w:t>
            </w:r>
          </w:p>
        </w:tc>
      </w:tr>
      <w:tr w14:paraId="7D07C6B8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CC7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Diabetes mellitus,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9784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(12.7%)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422FF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 (12.7%)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44E0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</w:t>
            </w:r>
          </w:p>
        </w:tc>
      </w:tr>
      <w:tr w14:paraId="6F78627C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EB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Metabolic syndrome, n（%）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2A45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 (61.9%)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0DD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 (68.3%)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155B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0.585</w:t>
            </w:r>
          </w:p>
        </w:tc>
      </w:tr>
      <w:tr w14:paraId="08D6AEED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71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WBC (×10⁹/L)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83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 ± 1.19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EA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7.37 ± 1.27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64B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0.389</w:t>
            </w:r>
          </w:p>
        </w:tc>
      </w:tr>
      <w:tr w14:paraId="6822D8AD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48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RBC (×10¹²/L)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3CD5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 ± 0.41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12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5.18 ± 0.53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AED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0.598</w:t>
            </w:r>
          </w:p>
        </w:tc>
      </w:tr>
      <w:tr w14:paraId="05833CAB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BA21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ANC (×10⁹/L)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A8D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4.58 ± 1.19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7F12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 ± 1.15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4B1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0.197</w:t>
            </w:r>
          </w:p>
        </w:tc>
      </w:tr>
      <w:tr w14:paraId="698B4F0F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0B7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Hb (g/L)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CC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144.00 (136.13–152.00)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C1B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140.00 (127.50–154.97)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B2F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0.333</w:t>
            </w:r>
          </w:p>
        </w:tc>
      </w:tr>
      <w:tr w14:paraId="66C86D55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AE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Hct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D88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42.67 ± 3.17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27B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42.68 ± 4.78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8D1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0.985</w:t>
            </w:r>
          </w:p>
        </w:tc>
      </w:tr>
      <w:tr w14:paraId="14A441B3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CA4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MCV (fL)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292F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82.82 (81.12–85.65)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6D7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82.90 (79.17–85.85)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6F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0.146</w:t>
            </w:r>
          </w:p>
        </w:tc>
      </w:tr>
      <w:tr w14:paraId="0DDBF9BE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18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MCH (pg)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233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28.20 (27.20–29.10)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789CD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28.07 (26.45–29.05)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A4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0.121</w:t>
            </w:r>
          </w:p>
        </w:tc>
      </w:tr>
      <w:tr w14:paraId="02476A6B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1D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MCHC (g/L)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54C38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340.99 (328.00–351.65)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780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334.19 (325.79–343.75)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C3FA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</w:t>
            </w:r>
          </w:p>
        </w:tc>
      </w:tr>
      <w:tr w14:paraId="0F764A02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A9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RDW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7A9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12.71 (12.20–13.37)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C498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13.00 (12.40–13.84)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F6F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0.202</w:t>
            </w:r>
          </w:p>
        </w:tc>
      </w:tr>
      <w:tr w14:paraId="398E5A83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C1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PLT (×10⁹/L)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5655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305.00 ± 85.96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9340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332.29 ± 56.76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24B9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0.027</w:t>
            </w:r>
          </w:p>
        </w:tc>
      </w:tr>
      <w:tr w14:paraId="3A872D79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D2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MPV (fL)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F3A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10.44 ± 0.89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8F53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9.93 ± 0.78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42D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</w:t>
            </w:r>
          </w:p>
        </w:tc>
      </w:tr>
      <w:tr w14:paraId="23216C30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A8C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PDW (fL)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59EA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12.22 ± 1.44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FE4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11.13 ± 1.18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88F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&lt;0.001</w:t>
            </w:r>
          </w:p>
        </w:tc>
      </w:tr>
      <w:tr w14:paraId="4FCEC2A6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FB7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PCT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52F4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 ± 0.08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8754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0.33 ± 0.06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7DD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0.969</w:t>
            </w:r>
          </w:p>
        </w:tc>
      </w:tr>
      <w:tr w14:paraId="39D5862E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CEF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ALC (×10⁹/L)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C552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 ± 0.76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A80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2.70 ± 0.66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F7E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0.131</w:t>
            </w:r>
          </w:p>
        </w:tc>
      </w:tr>
      <w:tr w14:paraId="5612AF7D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85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NEU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D50E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54.84 ± 7.83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CE2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56.01 ± 7.81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BD5A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0.394</w:t>
            </w:r>
          </w:p>
        </w:tc>
      </w:tr>
      <w:tr w14:paraId="2DDB65F2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D4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LYM (%)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1237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34.50 ± 8.28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8C98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35.11 ± 7.38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2226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0.651</w:t>
            </w:r>
          </w:p>
        </w:tc>
      </w:tr>
      <w:tr w14:paraId="595AD44B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059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PLR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24A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117.65 ± 33.11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50F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121.93 ± 31.72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BDC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0.456</w:t>
            </w:r>
          </w:p>
        </w:tc>
      </w:tr>
      <w:tr w14:paraId="326D1FB5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1BD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NLR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8E8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 ± 0.56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F568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 ± 0.54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71B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0.142</w:t>
            </w:r>
          </w:p>
        </w:tc>
      </w:tr>
      <w:tr w14:paraId="4170D4EA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62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ESR (mm/h)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134F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10.35 ± 4.29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CB2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9.06 ± 4.47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176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0.079</w:t>
            </w:r>
          </w:p>
        </w:tc>
      </w:tr>
      <w:tr w14:paraId="1E78E670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51C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Homocysteine (μmol/L)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958CF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 (8.36–14.57)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64C9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10.57 (8.39–19.43)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769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0.091</w:t>
            </w:r>
          </w:p>
        </w:tc>
      </w:tr>
      <w:tr w14:paraId="68556A7C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6D2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Potassium (mmol/L)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4493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4.28 ± 0.36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F2F1B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4.19 ± 0.33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314F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0.206</w:t>
            </w:r>
          </w:p>
        </w:tc>
      </w:tr>
      <w:tr w14:paraId="00A31C4E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B51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Sodium (mmol/L)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B8E1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139.76 ± 1.99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DE11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139.44 ± 2.04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4EC4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0.356</w:t>
            </w:r>
          </w:p>
        </w:tc>
      </w:tr>
      <w:tr w14:paraId="3E993BDE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167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cholesterol (mmol/L)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85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 ± 0.92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22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4.05 ± 0.77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4B11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0.179</w:t>
            </w:r>
          </w:p>
        </w:tc>
      </w:tr>
      <w:tr w14:paraId="53352A5C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009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Uric acid (μmol/L)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2B43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489.88 ± 136.53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FF6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485.59 ± 90.64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297B6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0.816</w:t>
            </w:r>
          </w:p>
        </w:tc>
      </w:tr>
      <w:tr w14:paraId="55B20722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3BF7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Glucose (mmol/L)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79B1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4.81 (4.56–5.15)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0BF5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 (4.50–5.44)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0F4C1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0.477</w:t>
            </w:r>
          </w:p>
        </w:tc>
      </w:tr>
      <w:tr w14:paraId="3810860C">
        <w:trPr>
          <w:trHeight w:val="352" w:hRule="atLeast"/>
        </w:trPr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27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Total calcium (mmol/L)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DB809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 ± 0.13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A6F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 ± 0.13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AE768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0.417</w:t>
            </w:r>
          </w:p>
        </w:tc>
      </w:tr>
      <w:tr w14:paraId="0E35DF4C">
        <w:trPr>
          <w:trHeight w:val="352" w:hRule="atLeast"/>
        </w:trPr>
        <w:tc>
          <w:tcPr>
            <w:tcW w:w="3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2A3A9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Triglycerides (mmol/L)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1A2B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 (1.11–1.90)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5821C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1.23 (0.96–1.54)</w:t>
            </w:r>
          </w:p>
        </w:tc>
        <w:tc>
          <w:tcPr>
            <w:tcW w:w="90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7E651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0.050</w:t>
            </w:r>
          </w:p>
        </w:tc>
      </w:tr>
      <w:tr w14:paraId="40632DF9">
        <w:trPr>
          <w:trHeight w:val="352" w:hRule="atLeast"/>
        </w:trPr>
        <w:tc>
          <w:tcPr>
            <w:tcW w:w="3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12AF6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HDL-C (mmol/L)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C479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 ± 0.20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1BFBE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 ± 0.22</w:t>
            </w:r>
          </w:p>
        </w:tc>
        <w:tc>
          <w:tcPr>
            <w:tcW w:w="90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46DD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0.470</w:t>
            </w:r>
          </w:p>
        </w:tc>
      </w:tr>
      <w:tr w14:paraId="5D4F7FB4">
        <w:trPr>
          <w:trHeight w:val="352" w:hRule="atLeast"/>
        </w:trPr>
        <w:tc>
          <w:tcPr>
            <w:tcW w:w="32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DB00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LDL-C (mmol/L)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24A94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2.63 ± 0.70</w:t>
            </w:r>
          </w:p>
        </w:tc>
        <w:tc>
          <w:tcPr>
            <w:tcW w:w="245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04496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 ± 0.56</w:t>
            </w:r>
          </w:p>
        </w:tc>
        <w:tc>
          <w:tcPr>
            <w:tcW w:w="903" w:type="dxa"/>
            <w:tcBorders>
              <w:top w:val="nil"/>
              <w:bottom w:val="nil"/>
            </w:tcBorders>
            <w:shd w:val="clear" w:color="auto" w:fill="auto"/>
            <w:vAlign w:val="top"/>
          </w:tcPr>
          <w:p w14:paraId="44E39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0.266</w:t>
            </w:r>
          </w:p>
        </w:tc>
      </w:tr>
      <w:tr w14:paraId="453FA939">
        <w:trPr>
          <w:trHeight w:val="352" w:hRule="atLeast"/>
        </w:trPr>
        <w:tc>
          <w:tcPr>
            <w:tcW w:w="3210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</w:tcPr>
          <w:p w14:paraId="6CB22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HOMA-IR</w:t>
            </w:r>
          </w:p>
        </w:tc>
        <w:tc>
          <w:tcPr>
            <w:tcW w:w="2453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</w:tcPr>
          <w:p w14:paraId="1A8D4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7.41 (4.43–10.89)</w:t>
            </w:r>
          </w:p>
        </w:tc>
        <w:tc>
          <w:tcPr>
            <w:tcW w:w="2453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</w:tcPr>
          <w:p w14:paraId="3B90D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6.62 (5.03–8.92)</w:t>
            </w:r>
          </w:p>
        </w:tc>
        <w:tc>
          <w:tcPr>
            <w:tcW w:w="903" w:type="dxa"/>
            <w:tcBorders>
              <w:top w:val="nil"/>
              <w:bottom w:val="single" w:color="auto" w:sz="4" w:space="0"/>
            </w:tcBorders>
            <w:shd w:val="clear" w:color="auto" w:fill="auto"/>
            <w:vAlign w:val="top"/>
          </w:tcPr>
          <w:p w14:paraId="461E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0.913</w:t>
            </w:r>
          </w:p>
        </w:tc>
      </w:tr>
      <w:tr w14:paraId="1A5521C7">
        <w:trPr>
          <w:trHeight w:val="352" w:hRule="atLeast"/>
        </w:trPr>
        <w:tc>
          <w:tcPr>
            <w:tcW w:w="9019" w:type="dxa"/>
            <w:gridSpan w:val="4"/>
            <w:tcBorders>
              <w:top w:val="single" w:color="auto" w:sz="4" w:space="0"/>
            </w:tcBorders>
            <w:shd w:val="clear" w:color="auto" w:fill="auto"/>
            <w:vAlign w:val="top"/>
          </w:tcPr>
          <w:p w14:paraId="670B2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Data are presented as mean ±SD or median interquartile range,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while categorical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variables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are presented as counts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(percentages).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To account for the matched design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,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paired t-tests or Wilcoxon signed-rank tests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were applied to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continuous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measures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, and McNemar’s tests to categorical ones.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Statistically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significant P-values are bolded. </w:t>
            </w:r>
          </w:p>
          <w:p w14:paraId="7CAAC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Abbreviations </w:t>
            </w:r>
            <w:r>
              <w:rPr>
                <w:rFonts w:hint="default" w:ascii="Times New Roman Regular" w:hAnsi="Times New Roman Regular" w:eastAsia="宋体" w:cs="Times New Roman Regular"/>
                <w:color w:val="000000"/>
                <w:kern w:val="0"/>
                <w:sz w:val="22"/>
                <w:szCs w:val="22"/>
                <w:u w:val="none"/>
                <w:lang w:bidi="ar"/>
              </w:rPr>
              <w:t>used</w:t>
            </w: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: SBP, systolic blood pressure; DBP, diastolic blood pressure; OSAS, obstructive sleep apnea syndrome; MCHC, mean corpuscular hemoglobin concentration; PLT, platelet count; MPV, mean platelet volume; PDW, platelet distribution width; ESR, erythrocyte sedimentation rate; HOMA-IR, homeostasis model assessment of insulin resistance.</w:t>
            </w:r>
          </w:p>
        </w:tc>
      </w:tr>
    </w:tbl>
    <w:p w14:paraId="4EB6278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C007218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BACE68E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2D60977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7DB9FDE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1FF7C87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2E4CC4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F337576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5986ACF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B4333B6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A7A23B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A564E2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6A0A41F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62E21F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148C06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8DA120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CD62D5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E19126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BCB8771">
      <w:pPr>
        <w:rPr>
          <w:rFonts w:hint="default" w:ascii="Times New Roman Regular" w:hAnsi="Times New Roman Regular" w:cs="Times New Roman Regular"/>
          <w:sz w:val="22"/>
          <w:szCs w:val="22"/>
        </w:rPr>
      </w:pPr>
      <w:bookmarkStart w:id="0" w:name="_GoBack"/>
      <w:r>
        <w:rPr>
          <w:rFonts w:hint="default" w:ascii="Times New Roman Regular" w:hAnsi="Times New Roman Regular" w:cs="Times New Roman Regular"/>
          <w:sz w:val="22"/>
          <w:szCs w:val="22"/>
        </w:rPr>
        <w:t>Supplementary Table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/>
        </w:rPr>
        <w:t>3</w:t>
      </w:r>
      <w:r>
        <w:rPr>
          <w:rFonts w:hint="default" w:ascii="Times New Roman Regular" w:hAnsi="Times New Roman Regular" w:cs="Times New Roman Regular"/>
          <w:sz w:val="22"/>
          <w:szCs w:val="22"/>
        </w:rPr>
        <w:t>. Predictive accuracy of platelet distribution width (PDW) as a single marker for LV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>R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 in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the </w:t>
      </w:r>
      <w:r>
        <w:rPr>
          <w:rFonts w:hint="default" w:ascii="Times New Roman Regular" w:hAnsi="Times New Roman Regular" w:cs="Times New Roman Regular"/>
          <w:sz w:val="22"/>
          <w:szCs w:val="22"/>
        </w:rPr>
        <w:t>matched study cohort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. </w:t>
      </w:r>
    </w:p>
    <w:tbl>
      <w:tblPr>
        <w:tblStyle w:val="4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1"/>
        <w:gridCol w:w="2429"/>
        <w:gridCol w:w="1495"/>
        <w:gridCol w:w="1558"/>
        <w:gridCol w:w="1566"/>
      </w:tblGrid>
      <w:tr w14:paraId="4DEDE2D2">
        <w:tc>
          <w:tcPr>
            <w:tcW w:w="863" w:type="pct"/>
            <w:tcBorders>
              <w:top w:val="single" w:color="auto" w:sz="4" w:space="0"/>
              <w:bottom w:val="single" w:color="auto" w:sz="4" w:space="0"/>
            </w:tcBorders>
          </w:tcPr>
          <w:p w14:paraId="75F16DF3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Marker</w:t>
            </w: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ab/>
            </w:r>
          </w:p>
        </w:tc>
        <w:tc>
          <w:tcPr>
            <w:tcW w:w="1425" w:type="pct"/>
            <w:tcBorders>
              <w:top w:val="single" w:color="auto" w:sz="4" w:space="0"/>
              <w:bottom w:val="single" w:color="auto" w:sz="4" w:space="0"/>
            </w:tcBorders>
          </w:tcPr>
          <w:p w14:paraId="24AC2805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AUC (95% CI)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</w:tcBorders>
          </w:tcPr>
          <w:p w14:paraId="1F8DB23E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Optimal cutoff (fL)</w:t>
            </w:r>
          </w:p>
        </w:tc>
        <w:tc>
          <w:tcPr>
            <w:tcW w:w="914" w:type="pct"/>
            <w:tcBorders>
              <w:top w:val="single" w:color="auto" w:sz="4" w:space="0"/>
              <w:bottom w:val="single" w:color="auto" w:sz="4" w:space="0"/>
            </w:tcBorders>
          </w:tcPr>
          <w:p w14:paraId="080ABB03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Sensitivity</w:t>
            </w:r>
          </w:p>
        </w:tc>
        <w:tc>
          <w:tcPr>
            <w:tcW w:w="918" w:type="pct"/>
            <w:tcBorders>
              <w:top w:val="single" w:color="auto" w:sz="4" w:space="0"/>
              <w:bottom w:val="single" w:color="auto" w:sz="4" w:space="0"/>
            </w:tcBorders>
          </w:tcPr>
          <w:p w14:paraId="111FA503">
            <w:pPr>
              <w:rPr>
                <w:rFonts w:hint="default" w:ascii="Times New Roman Regular" w:hAnsi="Times New Roman Regular" w:cs="Times New Roman Regular"/>
                <w:sz w:val="22"/>
                <w:szCs w:val="22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Specificity</w:t>
            </w:r>
          </w:p>
          <w:p w14:paraId="33E66EDC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</w:p>
        </w:tc>
      </w:tr>
      <w:tr w14:paraId="3555C7A7">
        <w:tc>
          <w:tcPr>
            <w:tcW w:w="863" w:type="pct"/>
            <w:tcBorders>
              <w:top w:val="single" w:color="auto" w:sz="4" w:space="0"/>
              <w:bottom w:val="single" w:color="auto" w:sz="4" w:space="0"/>
            </w:tcBorders>
          </w:tcPr>
          <w:p w14:paraId="0EF9196D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 xml:space="preserve"> PDW</w:t>
            </w:r>
          </w:p>
        </w:tc>
        <w:tc>
          <w:tcPr>
            <w:tcW w:w="1425" w:type="pct"/>
            <w:tcBorders>
              <w:top w:val="single" w:color="auto" w:sz="4" w:space="0"/>
              <w:bottom w:val="single" w:color="auto" w:sz="4" w:space="0"/>
            </w:tcBorders>
          </w:tcPr>
          <w:p w14:paraId="0162177A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0.696(0.603–0.788)</w:t>
            </w:r>
          </w:p>
        </w:tc>
        <w:tc>
          <w:tcPr>
            <w:tcW w:w="877" w:type="pct"/>
            <w:tcBorders>
              <w:top w:val="single" w:color="auto" w:sz="4" w:space="0"/>
              <w:bottom w:val="single" w:color="auto" w:sz="4" w:space="0"/>
            </w:tcBorders>
          </w:tcPr>
          <w:p w14:paraId="6BCEBC81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11.500</w:t>
            </w:r>
          </w:p>
        </w:tc>
        <w:tc>
          <w:tcPr>
            <w:tcW w:w="914" w:type="pct"/>
            <w:tcBorders>
              <w:top w:val="single" w:color="auto" w:sz="4" w:space="0"/>
              <w:bottom w:val="single" w:color="auto" w:sz="4" w:space="0"/>
            </w:tcBorders>
          </w:tcPr>
          <w:p w14:paraId="65F55798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0.698</w:t>
            </w:r>
          </w:p>
        </w:tc>
        <w:tc>
          <w:tcPr>
            <w:tcW w:w="918" w:type="pct"/>
            <w:tcBorders>
              <w:top w:val="single" w:color="auto" w:sz="4" w:space="0"/>
              <w:bottom w:val="single" w:color="auto" w:sz="4" w:space="0"/>
            </w:tcBorders>
          </w:tcPr>
          <w:p w14:paraId="40B92006">
            <w:pPr>
              <w:rPr>
                <w:rFonts w:hint="default" w:ascii="Times New Roman Regular" w:hAnsi="Times New Roman Regular" w:cs="Times New Roman Regular"/>
                <w:sz w:val="22"/>
                <w:szCs w:val="22"/>
                <w:vertAlign w:val="baseline"/>
              </w:rPr>
            </w:pPr>
            <w:r>
              <w:rPr>
                <w:rFonts w:hint="default" w:ascii="Times New Roman Regular" w:hAnsi="Times New Roman Regular" w:cs="Times New Roman Regular"/>
                <w:sz w:val="22"/>
                <w:szCs w:val="22"/>
              </w:rPr>
              <w:t>0.651</w:t>
            </w:r>
          </w:p>
        </w:tc>
      </w:tr>
    </w:tbl>
    <w:p w14:paraId="05C4F51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1507FBD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N</w:t>
      </w:r>
      <w:r>
        <w:rPr>
          <w:rFonts w:hint="default" w:ascii="Times New Roman Regular" w:hAnsi="Times New Roman Regular" w:cs="Times New Roman Regular"/>
          <w:sz w:val="22"/>
          <w:szCs w:val="22"/>
        </w:rPr>
        <w:t>ote：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The 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area under the receiver operating characteristic curve is denoted by AUC. The Youden index was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us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ed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to 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determine the optimal cutoff value.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B</w:t>
      </w:r>
      <w:r>
        <w:rPr>
          <w:rFonts w:hint="default" w:ascii="Times New Roman Regular" w:hAnsi="Times New Roman Regular" w:cs="Times New Roman Regular"/>
          <w:sz w:val="22"/>
          <w:szCs w:val="22"/>
        </w:rPr>
        <w:t>ootstrap resampling (1,000 iterations)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yielded t</w:t>
      </w:r>
      <w:r>
        <w:rPr>
          <w:rFonts w:hint="default" w:ascii="Times New Roman Regular" w:hAnsi="Times New Roman Regular" w:cs="Times New Roman Regular"/>
          <w:sz w:val="22"/>
          <w:szCs w:val="22"/>
        </w:rPr>
        <w:t>he 95% CI for AUC.</w:t>
      </w:r>
    </w:p>
    <w:p w14:paraId="5AD465CB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bookmarkEnd w:id="0"/>
    <w:p w14:paraId="3A3AF00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C448D8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592F1E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F46B491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5BBDB81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FA56208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0B2E83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234F21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BAEEEF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723A1AE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BB84CC7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BAC0CE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497E2E7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F415A38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1DD229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ECF0A4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63CEE56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A02BF91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FDDF58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3921BB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C1129BE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F568310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D06F1D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2FCFABB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667C6AF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ECE1D6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E24084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99133E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69448C3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196FA4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3C5ED3F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67B061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8E115E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7E50276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9B297A5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Supplementary Figure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1</w:t>
      </w:r>
      <w:r>
        <w:rPr>
          <w:rFonts w:hint="default" w:ascii="Times New Roman Regular" w:hAnsi="Times New Roman Regular" w:cs="Times New Roman Regular"/>
          <w:sz w:val="22"/>
          <w:szCs w:val="22"/>
        </w:rPr>
        <w:t>. Comparison of PDW values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between children with and without 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>LVR</w:t>
      </w:r>
      <w:r>
        <w:rPr>
          <w:rFonts w:hint="default" w:ascii="Times New Roman Regular" w:hAnsi="Times New Roman Regular" w:cs="Times New Roman Regular"/>
          <w:sz w:val="22"/>
          <w:szCs w:val="22"/>
        </w:rPr>
        <w:t>.</w:t>
      </w:r>
    </w:p>
    <w:p w14:paraId="20CFF71E">
      <w:pP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</w:pP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drawing>
          <wp:inline distT="0" distB="0" distL="114300" distR="114300">
            <wp:extent cx="3904615" cy="3538855"/>
            <wp:effectExtent l="0" t="0" r="6985" b="17145"/>
            <wp:docPr id="1" name="图片 1" descr="1F232F94-6087-442B-BA81-84EBAFCCDAB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F232F94-6087-442B-BA81-84EBAFCCDAB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904615" cy="353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4CB81">
      <w:pP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</w:pP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The b</w:t>
      </w: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t>oxplots illustrate the median and interquartile range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s</w:t>
      </w: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t xml:space="preserve">, with individual data points also shown.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T</w:t>
      </w: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t>he Wilcoxon signed-rank test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was used for g</w:t>
      </w: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t>roup comparisons. PDW values were higher in children with LVR than in matched controls with normal left ventricular geometry</w:t>
      </w:r>
    </w:p>
    <w:p w14:paraId="2A929B4F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A6004D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1C085A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F265D16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1B39488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8EDFBE4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E26A6E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48EF6C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DC24CA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3768F7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9978A4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2087824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82B6DE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0CA789FD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1331C15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4BF4130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5590EE58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67F0EC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7FB022A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15884C0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71D7C35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AC80663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Supplementary Figure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2</w:t>
      </w:r>
      <w:r>
        <w:rPr>
          <w:rFonts w:hint="default" w:ascii="Times New Roman Regular" w:hAnsi="Times New Roman Regular" w:cs="Times New Roman Regular"/>
          <w:sz w:val="22"/>
          <w:szCs w:val="22"/>
        </w:rPr>
        <w:t xml:space="preserve">. 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P</w:t>
      </w:r>
      <w:r>
        <w:rPr>
          <w:rFonts w:hint="default" w:ascii="Times New Roman Regular" w:hAnsi="Times New Roman Regular" w:cs="Times New Roman Regular"/>
          <w:sz w:val="22"/>
          <w:szCs w:val="22"/>
        </w:rPr>
        <w:t>latelet distribution width (PDW) in relation to left ventricular mass index (LVMI).</w:t>
      </w:r>
    </w:p>
    <w:p w14:paraId="0DE942DC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3C7E888C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drawing>
          <wp:inline distT="0" distB="0" distL="114300" distR="114300">
            <wp:extent cx="3548380" cy="2540635"/>
            <wp:effectExtent l="0" t="0" r="7620" b="24765"/>
            <wp:docPr id="5" name="图片 5" descr="0D750299-61E7-4DA1-B193-3E2019D773D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D750299-61E7-4DA1-B193-3E2019D773D9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48380" cy="254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Times New Roman Regular" w:hAnsi="Times New Roman Regular" w:cs="Times New Roman Regular"/>
          <w:sz w:val="22"/>
          <w:szCs w:val="22"/>
        </w:rPr>
        <w:drawing>
          <wp:inline distT="0" distB="0" distL="114300" distR="114300">
            <wp:extent cx="3497580" cy="2682875"/>
            <wp:effectExtent l="0" t="0" r="7620" b="9525"/>
            <wp:docPr id="3" name="图片 3" descr="798F4E9E-0FBF-4CA9-947F-F045E9FC3F24_1_105_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798F4E9E-0FBF-4CA9-947F-F045E9FC3F24_1_105_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97580" cy="268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3EE17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Supplementary Figure S2. Association between platelet distribution width (PDW) and left ventricular mass index (LVMI).</w:t>
      </w:r>
    </w:p>
    <w:p w14:paraId="15A20B7E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(A) Scatter plot showing the association between PDW and LVMI. The solid line represents the fitted linear regression line, and the shaded area represents its 95% confidence interval.</w:t>
      </w:r>
    </w:p>
    <w:p w14:paraId="0269EACD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(B) Distribution of LVMI across PDW quartiles (Q1–Q4). The P value for trend was derived from a linear regression model treating PDW quartiles as an ordinal variable.</w:t>
      </w:r>
    </w:p>
    <w:p w14:paraId="33E123A6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In the continuous analysis, higher PDW was associated with higher LVMI (β = 1.77, P = 0.002; Supplementary Figure S2A). When PDW was categorized into quartiles, LVMI increased progressively across PDW quartiles (P for trend = 0.028; Supplementary Figure S2B).</w:t>
      </w:r>
    </w:p>
    <w:p w14:paraId="31C8FD19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557F240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66CDBD90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4E9EE4D7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2C127CBA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Supplementary Figure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sz w:val="22"/>
          <w:szCs w:val="22"/>
        </w:rPr>
        <w:t>. Receiver operating characteristic (ROC) curve of PDW for left ventricular remodeling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prediction</w:t>
      </w:r>
      <w:r>
        <w:rPr>
          <w:rFonts w:hint="default" w:ascii="Times New Roman Regular" w:hAnsi="Times New Roman Regular" w:cs="Times New Roman Regular"/>
          <w:sz w:val="22"/>
          <w:szCs w:val="22"/>
        </w:rPr>
        <w:t>.</w:t>
      </w:r>
    </w:p>
    <w:p w14:paraId="2D677512">
      <w:pPr>
        <w:rPr>
          <w:rFonts w:hint="default" w:ascii="Times New Roman Regular" w:hAnsi="Times New Roman Regular" w:cs="Times New Roman Regular"/>
          <w:sz w:val="22"/>
          <w:szCs w:val="22"/>
        </w:rPr>
      </w:pPr>
    </w:p>
    <w:p w14:paraId="19FA8FCA">
      <w:pP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</w:pPr>
      <w:r>
        <w:rPr>
          <w:rFonts w:hint="default" w:ascii="Times New Roman Regular" w:hAnsi="Times New Roman Regular" w:cs="Times New Roman Regular" w:eastAsiaTheme="minorEastAsia"/>
          <w:sz w:val="22"/>
          <w:szCs w:val="22"/>
          <w:lang w:eastAsia="zh-CN"/>
        </w:rPr>
        <w:drawing>
          <wp:inline distT="0" distB="0" distL="114300" distR="114300">
            <wp:extent cx="5269230" cy="4396740"/>
            <wp:effectExtent l="0" t="0" r="13970" b="22860"/>
            <wp:docPr id="2" name="图片 2" descr="4B253554-E166-4669-BBE5-DD738F731CB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B253554-E166-4669-BBE5-DD738F731CB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39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8E26DA">
      <w:pPr>
        <w:rPr>
          <w:rFonts w:hint="default" w:ascii="Times New Roman Regular" w:hAnsi="Times New Roman Regular" w:cs="Times New Roman Regular"/>
          <w:sz w:val="22"/>
          <w:szCs w:val="22"/>
        </w:rPr>
      </w:pPr>
      <w:r>
        <w:rPr>
          <w:rFonts w:hint="default" w:ascii="Times New Roman Regular" w:hAnsi="Times New Roman Regular" w:cs="Times New Roman Regular"/>
          <w:sz w:val="22"/>
          <w:szCs w:val="22"/>
        </w:rPr>
        <w:t>Supplementary Figure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sz w:val="22"/>
          <w:szCs w:val="22"/>
        </w:rPr>
        <w:t>. Receiver operating characteristic (ROC) curve showing the discrimination capacity of platelet distribution width (PDW) for predicting left ventricular remodeling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>(</w:t>
      </w:r>
      <w:r>
        <w:rPr>
          <w:rFonts w:hint="default" w:ascii="Times New Roman Regular" w:hAnsi="Times New Roman Regular" w:cs="Times New Roman Regular"/>
          <w:sz w:val="22"/>
          <w:szCs w:val="22"/>
        </w:rPr>
        <w:t>LVR</w:t>
      </w:r>
      <w:r>
        <w:rPr>
          <w:rFonts w:hint="eastAsia" w:ascii="Times New Roman Regular" w:hAnsi="Times New Roman Regular" w:cs="Times New Roman Regular"/>
          <w:sz w:val="22"/>
          <w:szCs w:val="22"/>
          <w:lang w:val="en-US" w:eastAsia="zh-CN"/>
        </w:rPr>
        <w:t>)</w:t>
      </w:r>
      <w:r>
        <w:rPr>
          <w:rFonts w:hint="default" w:ascii="Times New Roman Regular" w:hAnsi="Times New Roman Regular" w:cs="Times New Roman Regular"/>
          <w:sz w:val="22"/>
          <w:szCs w:val="22"/>
        </w:rPr>
        <w:t>in the matched study population. The AUC value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2"/>
          <w:szCs w:val="22"/>
        </w:rPr>
        <w:t>was 0.69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 xml:space="preserve">6 </w:t>
      </w:r>
      <w:r>
        <w:rPr>
          <w:rFonts w:hint="default" w:ascii="Times New Roman Regular" w:hAnsi="Times New Roman Regular" w:cs="Times New Roman Regular"/>
          <w:sz w:val="22"/>
          <w:szCs w:val="22"/>
        </w:rPr>
        <w:t>(95% CI presented in Supplementary Table S</w:t>
      </w:r>
      <w:r>
        <w:rPr>
          <w:rFonts w:hint="default" w:ascii="Times New Roman Regular" w:hAnsi="Times New Roman Regular" w:cs="Times New Roman Regular"/>
          <w:sz w:val="22"/>
          <w:szCs w:val="22"/>
          <w:lang w:val="en-US" w:eastAsia="zh-CN"/>
        </w:rPr>
        <w:t>3</w:t>
      </w:r>
      <w:r>
        <w:rPr>
          <w:rFonts w:hint="default" w:ascii="Times New Roman Regular" w:hAnsi="Times New Roman Regular" w:cs="Times New Roman Regular"/>
          <w:sz w:val="22"/>
          <w:szCs w:val="22"/>
        </w:rPr>
        <w:t>).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F78F68"/>
    <w:rsid w:val="372A4537"/>
    <w:rsid w:val="663B1484"/>
    <w:rsid w:val="75FB6A37"/>
    <w:rsid w:val="75FF543F"/>
    <w:rsid w:val="7FFD0E3B"/>
    <w:rsid w:val="9578E1ED"/>
    <w:rsid w:val="9CFDFDC5"/>
    <w:rsid w:val="B7EB5518"/>
    <w:rsid w:val="E6EDBD6F"/>
    <w:rsid w:val="FAC9C926"/>
    <w:rsid w:val="FBF78F68"/>
    <w:rsid w:val="FE3BF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tiff"/><Relationship Id="rId6" Type="http://schemas.openxmlformats.org/officeDocument/2006/relationships/image" Target="media/image3.jpeg"/><Relationship Id="rId5" Type="http://schemas.openxmlformats.org/officeDocument/2006/relationships/image" Target="media/image2.tiff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845</Words>
  <Characters>4497</Characters>
  <Lines>0</Lines>
  <Paragraphs>0</Paragraphs>
  <TotalTime>167</TotalTime>
  <ScaleCrop>false</ScaleCrop>
  <LinksUpToDate>false</LinksUpToDate>
  <CharactersWithSpaces>5071</CharactersWithSpaces>
  <Application>WPS Office_12.1.26046.26046_F1E327BC-269C-435d-A152-05C5408002CA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2026-02-23T08:30:00Z</dcterms:created>
  <dc:creator>Cor</dc:creator>
  <cp:lastModifiedBy>Cor</cp:lastModifiedBy>
  <dcterms:modified xsi:type="dcterms:W3CDTF">2026-08-07T23:34:43Z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2052-12.1.26046.26046</vt:lpwstr>
  </property>
  <property fmtid="{D5CDD505-2E9C-101B-9397-08002B2CF9AE}" pid="3" name="ICV">
    <vt:lpwstr>47B5E927819B87D913FB756A32AAC145_43</vt:lpwstr>
  </property>
  <property fmtid="{D5CDD505-2E9C-101B-9397-08002B2CF9AE}" pid="4" name="KSOTemplateDocerSaveRecord">
    <vt:lpwstr>eyJoZGlkIjoiNTBjNmM4Njc2ZWVjNTQxYzMwNDU5NjZlNmRlODUxZTgiLCJ1c2VySWQiOiIxMTA0NjkzODMxIn0=</vt:lpwstr>
  </property>
</Properties>
</file>