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855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Highlights</w:t>
      </w:r>
    </w:p>
    <w:p w14:paraId="5A78A7C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hospital-based clinician–technologist collaborative proactive follow-up management model was developed to address gaps across the HBV/HCV care cascade. </w:t>
      </w:r>
    </w:p>
    <w:p w14:paraId="031B9F1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 a real-world before-and-after controlled study, the intervention significantly improved care cascade completion among individuals with HBV and HCV infection. </w:t>
      </w:r>
    </w:p>
    <w:p w14:paraId="6AD6C05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management model increased linkage to care, diagnostic confirmation, antiviral treatment initiation, and virological outcomes through coordinated multidisciplinary follow-up. </w:t>
      </w:r>
    </w:p>
    <w:p w14:paraId="0E483D4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Implementation of this model was independently associated with substantially higher odds of completing the HBV/HCV care cascade. </w:t>
      </w:r>
    </w:p>
    <w:p w14:paraId="7E5433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420" w:leftChars="0" w:hanging="42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scalable healthcare delivery strategy provides a practical approach to improving hepatitis elimination efforts in routine clinical settings.</w:t>
      </w:r>
    </w:p>
    <w:p w14:paraId="5065A3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FC4137"/>
    <w:multiLevelType w:val="singleLevel"/>
    <w:tmpl w:val="E1FC4137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7400F"/>
    <w:rsid w:val="5117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2026-08-09T10:35:00Z</dcterms:created>
  <dc:creator>值得</dc:creator>
  <cp:lastModifiedBy>值得</cp:lastModifiedBy>
  <dcterms:modified xsi:type="dcterms:W3CDTF">2026-08-09T10:38:49Z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47B5A300C41A4FB3ADC5313DEFBAAD73_11</vt:lpwstr>
  </property>
  <property fmtid="{D5CDD505-2E9C-101B-9397-08002B2CF9AE}" pid="4" name="KSOTemplateDocerSaveRecord">
    <vt:lpwstr>eyJoZGlkIjoiNmNmMDMxY2QzMmFlZTAzNjE3MTk0NjEyNTI1OTcwYjYiLCJ1c2VySWQiOiI2ODMyMjk3MDkifQ==</vt:lpwstr>
  </property>
</Properties>
</file>