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2DF4D">
      <w:pPr>
        <w:spacing w:line="480" w:lineRule="auto"/>
        <w:jc w:val="center"/>
        <w:rPr>
          <w:rFonts w:hint="default" w:ascii="Times New Roman" w:hAnsi="Times New Roman" w:cs="Times New Roman"/>
          <w:b/>
          <w:i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>Supporting Information</w:t>
      </w:r>
    </w:p>
    <w:p w14:paraId="2EF7B152">
      <w:pPr>
        <w:widowControl/>
        <w:spacing w:line="274" w:lineRule="auto"/>
        <w:ind w:right="62"/>
        <w:jc w:val="left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</w:pPr>
    </w:p>
    <w:p w14:paraId="0A5CF127">
      <w:pPr>
        <w:widowControl/>
        <w:spacing w:line="274" w:lineRule="auto"/>
        <w:ind w:right="62"/>
        <w:jc w:val="center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  <w:t>Novel phosphodiesterase-4 inhibitor mufemilast protects against smoke inhalation-induced lung injury</w:t>
      </w:r>
    </w:p>
    <w:p w14:paraId="2A9C2C0D">
      <w:pPr>
        <w:widowControl/>
        <w:spacing w:line="274" w:lineRule="auto"/>
        <w:ind w:right="62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</w:pPr>
    </w:p>
    <w:p w14:paraId="79A14628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3B0D65D7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45345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This Supporting Information contains: </w:t>
      </w:r>
    </w:p>
    <w:p w14:paraId="662CFCCA">
      <w:pPr>
        <w:spacing w:line="360" w:lineRule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Tables: </w:t>
      </w:r>
    </w:p>
    <w:p w14:paraId="74C2B561">
      <w:pPr>
        <w:spacing w:line="360" w:lineRule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/>
        </w:rPr>
        <w:t xml:space="preserve">Table </w:t>
      </w:r>
      <w:r>
        <w:rPr>
          <w:rFonts w:hint="default" w:ascii="Times New Roman" w:hAnsi="Times New Roman" w:cs="Times New Roman"/>
          <w:b/>
          <w:lang w:val="en-US" w:eastAsia="zh-CN"/>
        </w:rPr>
        <w:t>S</w:t>
      </w:r>
      <w:r>
        <w:rPr>
          <w:rFonts w:hint="default" w:ascii="Times New Roman" w:hAnsi="Times New Roman" w:cs="Times New Roman"/>
          <w:b/>
        </w:rPr>
        <w:t>1</w:t>
      </w:r>
      <w:r>
        <w:rPr>
          <w:rFonts w:hint="default" w:ascii="Times New Roman" w:hAnsi="Times New Roman" w:cs="Times New Roman"/>
          <w:b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Cs/>
        </w:rPr>
        <w:t>Primer sequences for RT-qPCR.</w:t>
      </w:r>
    </w:p>
    <w:p w14:paraId="0A0C228D">
      <w:pPr>
        <w:spacing w:line="360" w:lineRule="auto"/>
        <w:rPr>
          <w:rFonts w:hint="eastAsia" w:ascii="Times New Roman" w:hAnsi="Times New Roman" w:cs="Times New Roman" w:eastAsiaTheme="minorEastAsia"/>
          <w:bCs/>
          <w:lang w:val="en-US" w:eastAsia="zh-CN"/>
        </w:rPr>
      </w:pPr>
      <w:r>
        <w:rPr>
          <w:rFonts w:hint="default" w:ascii="Times New Roman" w:hAnsi="Times New Roman" w:cs="Times New Roman"/>
          <w:b/>
        </w:rPr>
        <w:t xml:space="preserve">Table </w:t>
      </w:r>
      <w:r>
        <w:rPr>
          <w:rFonts w:hint="default" w:ascii="Times New Roman" w:hAnsi="Times New Roman" w:cs="Times New Roman"/>
          <w:b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</w:rPr>
        <w:t>Detailed information of human subjects.</w:t>
      </w:r>
    </w:p>
    <w:p w14:paraId="0817DF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Figures：</w:t>
      </w:r>
    </w:p>
    <w:p w14:paraId="4F9D16A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S1.</w:t>
      </w:r>
      <w:r>
        <w:rPr>
          <w:rFonts w:ascii="Times New Roman" w:hAnsi="Times New Roman" w:cs="Times New Roman"/>
        </w:rPr>
        <w:t xml:space="preserve"> </w:t>
      </w:r>
    </w:p>
    <w:p w14:paraId="06D7BE4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S2. </w:t>
      </w:r>
      <w:r>
        <w:rPr>
          <w:rFonts w:hint="eastAsia" w:ascii="Times New Roman" w:hAnsi="Times New Roman" w:cs="Times New Roman"/>
        </w:rPr>
        <w:t>Mufemilast alleviates systemic inflammation in a dose-dependent manner</w:t>
      </w:r>
    </w:p>
    <w:p w14:paraId="2A71BB0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S3. </w:t>
      </w:r>
      <w:r>
        <w:rPr>
          <w:rFonts w:hint="eastAsia" w:ascii="Times New Roman" w:hAnsi="Times New Roman" w:cs="Times New Roman"/>
        </w:rPr>
        <w:t>Mufemilast alleviates systemic inflammation.</w:t>
      </w:r>
    </w:p>
    <w:p w14:paraId="592F28F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S4.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Mufemilast Inhibited ferroptosis in a chronic murine model of SII</w:t>
      </w:r>
    </w:p>
    <w:p w14:paraId="0F5D46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S5. </w:t>
      </w:r>
      <w:r>
        <w:rPr>
          <w:rFonts w:hint="eastAsia" w:ascii="Times New Roman" w:hAnsi="Times New Roman" w:cs="Times New Roman"/>
        </w:rPr>
        <w:t>Mufemalist ameliorates oxidative stress and cell death in A549 cells</w:t>
      </w:r>
    </w:p>
    <w:p w14:paraId="4A6B20BC">
      <w:pPr>
        <w:spacing w:line="360" w:lineRule="auto"/>
        <w:rPr>
          <w:rFonts w:hint="eastAsia" w:ascii="Times New Roman" w:hAnsi="Times New Roman" w:cs="Times New Roman"/>
          <w:b/>
          <w:bCs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986177B">
      <w:pPr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Table </w:t>
      </w:r>
      <w:r>
        <w:rPr>
          <w:rFonts w:hint="default" w:ascii="Times New Roman" w:hAnsi="Times New Roman" w:cs="Times New Roman"/>
          <w:b/>
          <w:lang w:val="en-US" w:eastAsia="zh-CN"/>
        </w:rPr>
        <w:t>S</w:t>
      </w:r>
      <w:r>
        <w:rPr>
          <w:rFonts w:hint="default" w:ascii="Times New Roman" w:hAnsi="Times New Roman" w:cs="Times New Roman"/>
          <w:b/>
        </w:rPr>
        <w:t xml:space="preserve">1 </w:t>
      </w:r>
      <w:r>
        <w:rPr>
          <w:rFonts w:hint="default" w:ascii="Times New Roman" w:hAnsi="Times New Roman" w:cs="Times New Roman"/>
          <w:bCs/>
        </w:rPr>
        <w:t>Primer sequences for RT-qPCR.</w:t>
      </w:r>
    </w:p>
    <w:tbl>
      <w:tblPr>
        <w:tblStyle w:val="18"/>
        <w:tblW w:w="8843" w:type="dxa"/>
        <w:tblInd w:w="1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928"/>
        <w:gridCol w:w="3665"/>
        <w:gridCol w:w="3695"/>
      </w:tblGrid>
      <w:tr w14:paraId="2FDE1A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9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83FBA27">
            <w:pPr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</w:rPr>
              <w:t>Host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FD5365F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</w:rPr>
              <w:t>Gene</w:t>
            </w:r>
          </w:p>
        </w:tc>
        <w:tc>
          <w:tcPr>
            <w:tcW w:w="33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193A9F0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</w:rPr>
              <w:t>Forward (5’-3’)</w:t>
            </w:r>
          </w:p>
        </w:tc>
        <w:tc>
          <w:tcPr>
            <w:tcW w:w="368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38EB2458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</w:rPr>
              <w:t>Reverse (5’-3’)</w:t>
            </w:r>
          </w:p>
        </w:tc>
      </w:tr>
      <w:tr w14:paraId="0532DA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76B4852C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Mouse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665D1E3">
            <w:pPr>
              <w:jc w:val="center"/>
              <w:rPr>
                <w:rFonts w:hint="default" w:ascii="Times New Roman" w:hAnsi="Times New Roman" w:cs="Times New Roman"/>
                <w:bCs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Tnf</w:t>
            </w:r>
            <w:r>
              <w:rPr>
                <w:rFonts w:hint="eastAsia" w:ascii="Times New Roman" w:hAnsi="Times New Roman" w:cs="Times New Roman"/>
                <w:i/>
                <w:lang w:val="en-US" w:eastAsia="zh-CN"/>
              </w:rPr>
              <w:t>-</w:t>
            </w:r>
            <w:bookmarkStart w:id="2" w:name="_GoBack"/>
            <w:bookmarkEnd w:id="2"/>
            <w:r>
              <w:rPr>
                <w:rFonts w:hint="default" w:ascii="Times New Roman" w:hAnsi="Times New Roman" w:cs="Times New Roman"/>
                <w:i/>
              </w:rPr>
              <w:t>a</w:t>
            </w:r>
          </w:p>
        </w:tc>
        <w:tc>
          <w:tcPr>
            <w:tcW w:w="330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B31B055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ATGAGAAGTTCCCAAATGGC</w:t>
            </w:r>
          </w:p>
        </w:tc>
        <w:tc>
          <w:tcPr>
            <w:tcW w:w="3682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C466F92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CTCCACTTGGTGGTTTGCTA</w:t>
            </w:r>
          </w:p>
        </w:tc>
      </w:tr>
      <w:tr w14:paraId="39B7C0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0AF45B2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B58CE8A">
            <w:pPr>
              <w:jc w:val="center"/>
              <w:rPr>
                <w:rFonts w:hint="default" w:ascii="Times New Roman" w:hAnsi="Times New Roman" w:cs="Times New Roman"/>
                <w:bCs/>
                <w:i/>
              </w:rPr>
            </w:pPr>
            <w:r>
              <w:rPr>
                <w:rFonts w:hint="default" w:ascii="Times New Roman" w:hAnsi="Times New Roman" w:cs="Times New Roman"/>
                <w:bCs/>
                <w:i/>
              </w:rPr>
              <w:t>Il-1b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78F85DE5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CACAGCAGCACATCAACAAG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6B370B42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CACAGCAGCACATCAACAAG</w:t>
            </w:r>
          </w:p>
        </w:tc>
      </w:tr>
      <w:tr w14:paraId="4CC727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963293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C30A860">
            <w:pPr>
              <w:jc w:val="center"/>
              <w:rPr>
                <w:rFonts w:hint="default" w:ascii="Times New Roman" w:hAnsi="Times New Roman" w:cs="Times New Roman"/>
                <w:bCs/>
                <w:i/>
              </w:rPr>
            </w:pPr>
            <w:r>
              <w:rPr>
                <w:rFonts w:hint="default" w:ascii="Times New Roman" w:hAnsi="Times New Roman" w:cs="Times New Roman"/>
                <w:bCs/>
                <w:i/>
              </w:rPr>
              <w:t>Il-6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01B847B7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CTCTGGGAAATCGTGGAAAT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15A3ECFB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CCAGTTTGGTAGCATCCATC</w:t>
            </w:r>
          </w:p>
        </w:tc>
      </w:tr>
      <w:tr w14:paraId="331794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0F372A4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25E2828">
            <w:pPr>
              <w:jc w:val="center"/>
              <w:rPr>
                <w:rFonts w:hint="default" w:ascii="Times New Roman" w:hAnsi="Times New Roman" w:cs="Times New Roman"/>
                <w:bCs/>
                <w:i/>
              </w:rPr>
            </w:pPr>
            <w:r>
              <w:rPr>
                <w:rFonts w:hint="default" w:ascii="Times New Roman" w:hAnsi="Times New Roman" w:cs="Times New Roman"/>
                <w:bCs/>
                <w:i/>
              </w:rPr>
              <w:t>Il-8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0137671E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ACCCGCTCGCTTCTCTGT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457BA28B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AAGGGAGCTTCAGGGTCAAG</w:t>
            </w:r>
          </w:p>
        </w:tc>
      </w:tr>
      <w:tr w14:paraId="4A5BE8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AAD932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FF3B8AD">
            <w:pPr>
              <w:jc w:val="center"/>
              <w:rPr>
                <w:rFonts w:hint="default" w:ascii="Times New Roman" w:hAnsi="Times New Roman" w:cs="Times New Roman"/>
                <w:bCs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Col1a1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400BFCF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GGGGCAAGACAGTCATCGAA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4BCB1E72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GTCCGAATTCCTGGTCTGGG</w:t>
            </w:r>
          </w:p>
        </w:tc>
      </w:tr>
      <w:tr w14:paraId="200611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2FC4EA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462857B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Col3a1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2A7A297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GTCCAGGGATACGGGGTATG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64154BB4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GAGCACCGACTTCACCCTTT</w:t>
            </w:r>
          </w:p>
        </w:tc>
      </w:tr>
      <w:tr w14:paraId="6D78DB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3E7D3C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FB35ABF">
            <w:pPr>
              <w:jc w:val="center"/>
              <w:rPr>
                <w:rFonts w:hint="default" w:ascii="Times New Roman" w:hAnsi="Times New Roman" w:cs="Times New Roman"/>
                <w:bCs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Acta2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6EAD1DBC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TGGAGAAGCCCAGCCAGTCG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25AB906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CCAGCGAAGCCGGCCTTACA</w:t>
            </w:r>
          </w:p>
        </w:tc>
      </w:tr>
      <w:tr w14:paraId="07130D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07FBEF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FCE6B7D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Fn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CFE7F1D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ATAAGCCTCTGCTCTTGGGG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A5F5A2C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CTCACACCCTGGGCTCCTTT</w:t>
            </w:r>
          </w:p>
        </w:tc>
      </w:tr>
      <w:tr w14:paraId="464834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00F0EE41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5F0F374">
            <w:pPr>
              <w:jc w:val="center"/>
              <w:rPr>
                <w:rFonts w:hint="default" w:ascii="Times New Roman" w:hAnsi="Times New Roman" w:cs="Times New Roman"/>
                <w:b/>
                <w:bCs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Acsl4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77B879B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GCACCTTCGACTCAGATCACA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7B21445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GAAGCCAGCAATAAAGTACACAGA</w:t>
            </w:r>
          </w:p>
        </w:tc>
      </w:tr>
      <w:tr w14:paraId="4FD490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B1E3293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08721A5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Ncoa4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B22948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TATCCAGGTGCCAGAGCAGA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8A8D3D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GGCATCGCTGAAGAAACTGC</w:t>
            </w:r>
          </w:p>
        </w:tc>
      </w:tr>
      <w:tr w14:paraId="43838B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8B5F9A5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8370A6D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Gpx4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297EF7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CCGTCTGAGCCGCTTACTTA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39CB338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GTGACGATGCACACGAAACC</w:t>
            </w:r>
          </w:p>
        </w:tc>
      </w:tr>
      <w:tr w14:paraId="4593C9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89D7419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B7BB61A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Slc7a11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1405E72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AATACGGAGCCTTCCACGAG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41827A1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CTCCAGGGGCAGTCAGTTAG</w:t>
            </w:r>
          </w:p>
        </w:tc>
      </w:tr>
      <w:tr w14:paraId="574A05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1AFF0C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5B56300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Gapdh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7AA3ED3C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CTGGAAAGCTGTGGCGTGAT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7DD108C2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GACGGACACATTGGGGGTAG</w:t>
            </w:r>
          </w:p>
        </w:tc>
      </w:tr>
      <w:tr w14:paraId="408EC4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DBAE49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5E071D7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Pde4a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E7BF7AE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CAGACGATGTAACCAGGGCT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54D9BF5A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GGCACACAGAGAAAGGAGGT</w:t>
            </w:r>
          </w:p>
        </w:tc>
      </w:tr>
      <w:tr w14:paraId="7E9571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008BC1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A241AEB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Pde4b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6296012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GAAAGACACACTGCTCTACAGTGC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3C575CF2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CTGTCTGATTAGAGAAGCCCAGC</w:t>
            </w:r>
          </w:p>
        </w:tc>
      </w:tr>
      <w:tr w14:paraId="2B6A1E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6320C8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91897CE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Pde4c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0F8462C0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CTTACCCCCTCCTCCAGTCC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64CD19F8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GCTGTGAGTGTGCTCTGTGA</w:t>
            </w:r>
          </w:p>
        </w:tc>
      </w:tr>
      <w:tr w14:paraId="1DE696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111B19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ED61DFB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Pde4d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7490E43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AACAGTTGCAGCGAGAGCA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8B4DF49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GATAGGGCTCCATTCCACGA</w:t>
            </w:r>
          </w:p>
        </w:tc>
      </w:tr>
      <w:tr w14:paraId="18915F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3234723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Human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10F95B5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PDE4A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6DEF0AC8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TCACTCCTGACCAATGTGCC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67D862F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CGTTTCTTCTGACAGCGTGG</w:t>
            </w:r>
          </w:p>
        </w:tc>
      </w:tr>
      <w:tr w14:paraId="363D00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1C0445A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AF113D2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PDE4B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D925EAB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GACGGTGATGGCTGATGATGTA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334697DE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ACATCGCCTTTGGTGACAAGT</w:t>
            </w:r>
          </w:p>
        </w:tc>
      </w:tr>
      <w:tr w14:paraId="45C056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D3616D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F16B581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PDE4C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53E04AF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CGACTATGAACTCTCGCCCA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574679ED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CCCCGTGTCCTTTGGCT</w:t>
            </w:r>
          </w:p>
        </w:tc>
      </w:tr>
      <w:tr w14:paraId="473745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EC1ACC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70E4C2C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PDE4D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A8D13D2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AGGAAATGCCCTCACTCAGC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13E1EFB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CCAAGATCCCCAGGAACCAC</w:t>
            </w:r>
          </w:p>
        </w:tc>
      </w:tr>
      <w:tr w14:paraId="00C865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3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2E7D68F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1C2FD5F2">
            <w:pPr>
              <w:jc w:val="center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GAPDH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722F6A12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ACCAGGGCTGCTTTTAACTCT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2005277B">
            <w:pPr>
              <w:jc w:val="center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</w:rPr>
              <w:t>CCGTTCTCAGCCATGTAGTT</w:t>
            </w:r>
          </w:p>
        </w:tc>
      </w:tr>
    </w:tbl>
    <w:p w14:paraId="22F3C526">
      <w:pPr>
        <w:rPr>
          <w:rFonts w:hint="default" w:ascii="Times New Roman" w:hAnsi="Times New Roman" w:cs="Times New Roman"/>
          <w:b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CDF133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 xml:space="preserve">Table </w:t>
      </w:r>
      <w:r>
        <w:rPr>
          <w:rFonts w:hint="eastAsia" w:ascii="Times New Roman" w:hAnsi="Times New Roman" w:cs="Times New Roman"/>
          <w:b/>
          <w:lang w:val="en-US" w:eastAsia="zh-CN"/>
        </w:rPr>
        <w:t>S</w:t>
      </w:r>
      <w:r>
        <w:rPr>
          <w:rFonts w:hint="default" w:ascii="Times New Roman" w:hAnsi="Times New Roman" w:cs="Times New Roman"/>
          <w:b/>
        </w:rPr>
        <w:t xml:space="preserve">2 </w:t>
      </w:r>
      <w:r>
        <w:rPr>
          <w:rFonts w:hint="default" w:ascii="Times New Roman" w:hAnsi="Times New Roman" w:cs="Times New Roman"/>
        </w:rPr>
        <w:t>Detailed information of human subjects.</w:t>
      </w:r>
    </w:p>
    <w:tbl>
      <w:tblPr>
        <w:tblStyle w:val="17"/>
        <w:tblW w:w="9049" w:type="dxa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586"/>
        <w:gridCol w:w="1273"/>
        <w:gridCol w:w="1908"/>
        <w:gridCol w:w="1397"/>
        <w:gridCol w:w="1397"/>
      </w:tblGrid>
      <w:tr w14:paraId="25E0B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4F0936A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SII Patients</w:t>
            </w:r>
          </w:p>
        </w:tc>
        <w:tc>
          <w:tcPr>
            <w:tcW w:w="1586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C53F962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Age(years)</w:t>
            </w:r>
          </w:p>
        </w:tc>
        <w:tc>
          <w:tcPr>
            <w:tcW w:w="1273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C93276D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Gender</w:t>
            </w:r>
          </w:p>
        </w:tc>
        <w:tc>
          <w:tcPr>
            <w:tcW w:w="1908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45C6021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Healthy control</w:t>
            </w:r>
          </w:p>
        </w:tc>
        <w:tc>
          <w:tcPr>
            <w:tcW w:w="1397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6E0C29B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Age(years)</w:t>
            </w:r>
          </w:p>
        </w:tc>
        <w:tc>
          <w:tcPr>
            <w:tcW w:w="1397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7968E60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Gender</w:t>
            </w:r>
          </w:p>
        </w:tc>
      </w:tr>
      <w:tr w14:paraId="39F6F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tcBorders>
              <w:top w:val="single" w:color="auto" w:sz="8" w:space="0"/>
            </w:tcBorders>
            <w:noWrap/>
            <w:vAlign w:val="center"/>
          </w:tcPr>
          <w:p w14:paraId="39297462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86" w:type="dxa"/>
            <w:tcBorders>
              <w:top w:val="single" w:color="auto" w:sz="8" w:space="0"/>
            </w:tcBorders>
            <w:noWrap/>
            <w:vAlign w:val="bottom"/>
          </w:tcPr>
          <w:p w14:paraId="0662A2F4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273" w:type="dxa"/>
            <w:tcBorders>
              <w:top w:val="single" w:color="auto" w:sz="8" w:space="0"/>
            </w:tcBorders>
            <w:noWrap/>
            <w:vAlign w:val="center"/>
          </w:tcPr>
          <w:p w14:paraId="11122BD5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tcBorders>
              <w:top w:val="single" w:color="auto" w:sz="8" w:space="0"/>
            </w:tcBorders>
            <w:noWrap/>
            <w:vAlign w:val="center"/>
          </w:tcPr>
          <w:p w14:paraId="01283EE8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97" w:type="dxa"/>
            <w:tcBorders>
              <w:top w:val="single" w:color="auto" w:sz="8" w:space="0"/>
            </w:tcBorders>
            <w:noWrap/>
            <w:vAlign w:val="center"/>
          </w:tcPr>
          <w:p w14:paraId="00020A6D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397" w:type="dxa"/>
            <w:tcBorders>
              <w:top w:val="single" w:color="auto" w:sz="8" w:space="0"/>
            </w:tcBorders>
            <w:noWrap/>
            <w:vAlign w:val="center"/>
          </w:tcPr>
          <w:p w14:paraId="6956974B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41C3C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5276DA29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586" w:type="dxa"/>
            <w:noWrap/>
            <w:vAlign w:val="bottom"/>
          </w:tcPr>
          <w:p w14:paraId="349C474A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1273" w:type="dxa"/>
            <w:noWrap/>
            <w:vAlign w:val="center"/>
          </w:tcPr>
          <w:p w14:paraId="6A67A70A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  <w:tc>
          <w:tcPr>
            <w:tcW w:w="1908" w:type="dxa"/>
            <w:noWrap/>
            <w:vAlign w:val="center"/>
          </w:tcPr>
          <w:p w14:paraId="25801D93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97" w:type="dxa"/>
            <w:noWrap/>
            <w:vAlign w:val="center"/>
          </w:tcPr>
          <w:p w14:paraId="3EFB5C4E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397" w:type="dxa"/>
            <w:noWrap/>
            <w:vAlign w:val="center"/>
          </w:tcPr>
          <w:p w14:paraId="4C10F640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</w:tr>
      <w:tr w14:paraId="356D7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0FBE791A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586" w:type="dxa"/>
            <w:noWrap/>
            <w:vAlign w:val="bottom"/>
          </w:tcPr>
          <w:p w14:paraId="193882AF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273" w:type="dxa"/>
            <w:noWrap/>
            <w:vAlign w:val="center"/>
          </w:tcPr>
          <w:p w14:paraId="27FA3BCF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45D52B92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97" w:type="dxa"/>
            <w:noWrap/>
            <w:vAlign w:val="center"/>
          </w:tcPr>
          <w:p w14:paraId="1DF562CC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397" w:type="dxa"/>
            <w:noWrap/>
            <w:vAlign w:val="center"/>
          </w:tcPr>
          <w:p w14:paraId="69DBEF05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05DFD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431C0D20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586" w:type="dxa"/>
            <w:noWrap/>
            <w:vAlign w:val="bottom"/>
          </w:tcPr>
          <w:p w14:paraId="2630534D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1273" w:type="dxa"/>
            <w:noWrap/>
            <w:vAlign w:val="center"/>
          </w:tcPr>
          <w:p w14:paraId="26F8802C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2659F19A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97" w:type="dxa"/>
            <w:noWrap/>
            <w:vAlign w:val="center"/>
          </w:tcPr>
          <w:p w14:paraId="63965DB6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1397" w:type="dxa"/>
            <w:noWrap/>
            <w:vAlign w:val="center"/>
          </w:tcPr>
          <w:p w14:paraId="1A95F4DF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73618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780C1AD9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586" w:type="dxa"/>
            <w:noWrap/>
            <w:vAlign w:val="bottom"/>
          </w:tcPr>
          <w:p w14:paraId="036F00A1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1273" w:type="dxa"/>
            <w:noWrap/>
            <w:vAlign w:val="center"/>
          </w:tcPr>
          <w:p w14:paraId="5477D576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1444F9D2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97" w:type="dxa"/>
            <w:noWrap/>
            <w:vAlign w:val="center"/>
          </w:tcPr>
          <w:p w14:paraId="35309A9F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397" w:type="dxa"/>
            <w:noWrap/>
            <w:vAlign w:val="center"/>
          </w:tcPr>
          <w:p w14:paraId="24A89B7B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32BE2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00D3CECE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586" w:type="dxa"/>
            <w:noWrap/>
            <w:vAlign w:val="bottom"/>
          </w:tcPr>
          <w:p w14:paraId="58B16E9B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273" w:type="dxa"/>
            <w:noWrap/>
            <w:vAlign w:val="center"/>
          </w:tcPr>
          <w:p w14:paraId="29ED0BE0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05ED4DF8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97" w:type="dxa"/>
            <w:noWrap/>
            <w:vAlign w:val="center"/>
          </w:tcPr>
          <w:p w14:paraId="7BD4E268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1397" w:type="dxa"/>
            <w:noWrap/>
            <w:vAlign w:val="center"/>
          </w:tcPr>
          <w:p w14:paraId="30FE9C47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4DE5B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4466FC7D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586" w:type="dxa"/>
            <w:noWrap/>
            <w:vAlign w:val="bottom"/>
          </w:tcPr>
          <w:p w14:paraId="3DF12632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273" w:type="dxa"/>
            <w:noWrap/>
            <w:vAlign w:val="center"/>
          </w:tcPr>
          <w:p w14:paraId="67531D62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7A9B34E8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397" w:type="dxa"/>
            <w:noWrap/>
            <w:vAlign w:val="center"/>
          </w:tcPr>
          <w:p w14:paraId="2F498F3C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397" w:type="dxa"/>
            <w:noWrap/>
            <w:vAlign w:val="center"/>
          </w:tcPr>
          <w:p w14:paraId="3408BA74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</w:tr>
      <w:tr w14:paraId="253A2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0189A57A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586" w:type="dxa"/>
            <w:noWrap/>
            <w:vAlign w:val="bottom"/>
          </w:tcPr>
          <w:p w14:paraId="189DDCFD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273" w:type="dxa"/>
            <w:noWrap/>
            <w:vAlign w:val="center"/>
          </w:tcPr>
          <w:p w14:paraId="7B339B11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05D0D99F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97" w:type="dxa"/>
            <w:noWrap/>
            <w:vAlign w:val="center"/>
          </w:tcPr>
          <w:p w14:paraId="38395CFD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397" w:type="dxa"/>
            <w:noWrap/>
            <w:vAlign w:val="center"/>
          </w:tcPr>
          <w:p w14:paraId="0BB1208B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50D99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429DD2D2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586" w:type="dxa"/>
            <w:noWrap/>
            <w:vAlign w:val="bottom"/>
          </w:tcPr>
          <w:p w14:paraId="3BAD9130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273" w:type="dxa"/>
            <w:noWrap/>
            <w:vAlign w:val="center"/>
          </w:tcPr>
          <w:p w14:paraId="0CA7C28C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1ADF1BC0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397" w:type="dxa"/>
            <w:noWrap/>
            <w:vAlign w:val="center"/>
          </w:tcPr>
          <w:p w14:paraId="7C3852A3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397" w:type="dxa"/>
            <w:noWrap/>
            <w:vAlign w:val="center"/>
          </w:tcPr>
          <w:p w14:paraId="17C738C5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</w:tr>
      <w:tr w14:paraId="33E1B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45F460CA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586" w:type="dxa"/>
            <w:noWrap/>
            <w:vAlign w:val="bottom"/>
          </w:tcPr>
          <w:p w14:paraId="4B31F63B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1273" w:type="dxa"/>
            <w:noWrap/>
            <w:vAlign w:val="center"/>
          </w:tcPr>
          <w:p w14:paraId="56C00EE6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  <w:tc>
          <w:tcPr>
            <w:tcW w:w="1908" w:type="dxa"/>
            <w:noWrap/>
            <w:vAlign w:val="center"/>
          </w:tcPr>
          <w:p w14:paraId="210862C0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397" w:type="dxa"/>
            <w:noWrap/>
            <w:vAlign w:val="center"/>
          </w:tcPr>
          <w:p w14:paraId="59C12761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1397" w:type="dxa"/>
            <w:noWrap/>
            <w:vAlign w:val="center"/>
          </w:tcPr>
          <w:p w14:paraId="6210A6F4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</w:tr>
      <w:tr w14:paraId="1AFC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75F63246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586" w:type="dxa"/>
            <w:noWrap/>
            <w:vAlign w:val="bottom"/>
          </w:tcPr>
          <w:p w14:paraId="00F3A550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1273" w:type="dxa"/>
            <w:noWrap/>
            <w:vAlign w:val="center"/>
          </w:tcPr>
          <w:p w14:paraId="1E19A789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593CF275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397" w:type="dxa"/>
            <w:noWrap/>
            <w:vAlign w:val="center"/>
          </w:tcPr>
          <w:p w14:paraId="122E66FC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397" w:type="dxa"/>
            <w:noWrap/>
            <w:vAlign w:val="center"/>
          </w:tcPr>
          <w:p w14:paraId="19317FB5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4C5F9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74DE0E58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586" w:type="dxa"/>
            <w:noWrap/>
            <w:vAlign w:val="bottom"/>
          </w:tcPr>
          <w:p w14:paraId="05D94653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273" w:type="dxa"/>
            <w:noWrap/>
            <w:vAlign w:val="center"/>
          </w:tcPr>
          <w:p w14:paraId="7B6B9778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  <w:tc>
          <w:tcPr>
            <w:tcW w:w="1908" w:type="dxa"/>
            <w:noWrap/>
            <w:vAlign w:val="center"/>
          </w:tcPr>
          <w:p w14:paraId="699ED512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397" w:type="dxa"/>
            <w:noWrap/>
            <w:vAlign w:val="center"/>
          </w:tcPr>
          <w:p w14:paraId="0D6104C2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397" w:type="dxa"/>
            <w:noWrap/>
            <w:vAlign w:val="center"/>
          </w:tcPr>
          <w:p w14:paraId="5E004B8F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</w:tr>
      <w:tr w14:paraId="4C300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0A7A65C3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586" w:type="dxa"/>
            <w:noWrap/>
            <w:vAlign w:val="bottom"/>
          </w:tcPr>
          <w:p w14:paraId="149E9D05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1273" w:type="dxa"/>
            <w:noWrap/>
            <w:vAlign w:val="center"/>
          </w:tcPr>
          <w:p w14:paraId="23FA7E9E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5BD836E8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397" w:type="dxa"/>
            <w:noWrap/>
            <w:vAlign w:val="center"/>
          </w:tcPr>
          <w:p w14:paraId="10BF5560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1397" w:type="dxa"/>
            <w:noWrap/>
            <w:vAlign w:val="center"/>
          </w:tcPr>
          <w:p w14:paraId="173AF75B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</w:tr>
      <w:tr w14:paraId="326A9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69E43489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586" w:type="dxa"/>
            <w:noWrap/>
            <w:vAlign w:val="bottom"/>
          </w:tcPr>
          <w:p w14:paraId="72C0605B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273" w:type="dxa"/>
            <w:noWrap/>
            <w:vAlign w:val="center"/>
          </w:tcPr>
          <w:p w14:paraId="593D752C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  <w:tc>
          <w:tcPr>
            <w:tcW w:w="1908" w:type="dxa"/>
            <w:noWrap/>
            <w:vAlign w:val="center"/>
          </w:tcPr>
          <w:p w14:paraId="25C50B67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397" w:type="dxa"/>
            <w:noWrap/>
            <w:vAlign w:val="center"/>
          </w:tcPr>
          <w:p w14:paraId="13532FE9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1397" w:type="dxa"/>
            <w:noWrap/>
            <w:vAlign w:val="center"/>
          </w:tcPr>
          <w:p w14:paraId="7961A7AD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08FB3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3DC562FE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586" w:type="dxa"/>
            <w:noWrap/>
            <w:vAlign w:val="bottom"/>
          </w:tcPr>
          <w:p w14:paraId="58736FA8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1273" w:type="dxa"/>
            <w:noWrap/>
            <w:vAlign w:val="center"/>
          </w:tcPr>
          <w:p w14:paraId="5F8F6183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  <w:tc>
          <w:tcPr>
            <w:tcW w:w="1908" w:type="dxa"/>
            <w:noWrap/>
            <w:vAlign w:val="center"/>
          </w:tcPr>
          <w:p w14:paraId="1A9CC47F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397" w:type="dxa"/>
            <w:noWrap/>
            <w:vAlign w:val="center"/>
          </w:tcPr>
          <w:p w14:paraId="0B2AF0D1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1397" w:type="dxa"/>
            <w:noWrap/>
            <w:vAlign w:val="center"/>
          </w:tcPr>
          <w:p w14:paraId="096529A4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42DF9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286294EA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586" w:type="dxa"/>
            <w:noWrap/>
            <w:vAlign w:val="bottom"/>
          </w:tcPr>
          <w:p w14:paraId="68F78EC6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273" w:type="dxa"/>
            <w:noWrap/>
            <w:vAlign w:val="center"/>
          </w:tcPr>
          <w:p w14:paraId="7C2D43DA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  <w:tc>
          <w:tcPr>
            <w:tcW w:w="1908" w:type="dxa"/>
            <w:noWrap/>
            <w:vAlign w:val="center"/>
          </w:tcPr>
          <w:p w14:paraId="6F91010C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397" w:type="dxa"/>
            <w:noWrap/>
            <w:vAlign w:val="center"/>
          </w:tcPr>
          <w:p w14:paraId="28E21722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397" w:type="dxa"/>
            <w:noWrap/>
            <w:vAlign w:val="center"/>
          </w:tcPr>
          <w:p w14:paraId="049E2AE1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15908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17B1E36D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586" w:type="dxa"/>
            <w:noWrap/>
            <w:vAlign w:val="bottom"/>
          </w:tcPr>
          <w:p w14:paraId="1E6E88B1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1273" w:type="dxa"/>
            <w:noWrap/>
            <w:vAlign w:val="center"/>
          </w:tcPr>
          <w:p w14:paraId="117EBBB4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45F3B438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397" w:type="dxa"/>
            <w:noWrap/>
            <w:vAlign w:val="center"/>
          </w:tcPr>
          <w:p w14:paraId="31559B4A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397" w:type="dxa"/>
            <w:noWrap/>
            <w:vAlign w:val="center"/>
          </w:tcPr>
          <w:p w14:paraId="3C3342A5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</w:tr>
      <w:tr w14:paraId="4C81F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64DE4BDD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586" w:type="dxa"/>
            <w:noWrap/>
            <w:vAlign w:val="bottom"/>
          </w:tcPr>
          <w:p w14:paraId="3F113A1F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1273" w:type="dxa"/>
            <w:noWrap/>
            <w:vAlign w:val="center"/>
          </w:tcPr>
          <w:p w14:paraId="12EF9320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0BEC00A1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397" w:type="dxa"/>
            <w:noWrap/>
            <w:vAlign w:val="center"/>
          </w:tcPr>
          <w:p w14:paraId="77E0D755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397" w:type="dxa"/>
            <w:noWrap/>
            <w:vAlign w:val="center"/>
          </w:tcPr>
          <w:p w14:paraId="07B1D696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</w:tr>
      <w:tr w14:paraId="4F968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noWrap/>
            <w:vAlign w:val="center"/>
          </w:tcPr>
          <w:p w14:paraId="302C506C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586" w:type="dxa"/>
            <w:noWrap/>
            <w:vAlign w:val="bottom"/>
          </w:tcPr>
          <w:p w14:paraId="2F1601D9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1273" w:type="dxa"/>
            <w:noWrap/>
            <w:vAlign w:val="center"/>
          </w:tcPr>
          <w:p w14:paraId="7A51A7A9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1908" w:type="dxa"/>
            <w:noWrap/>
            <w:vAlign w:val="center"/>
          </w:tcPr>
          <w:p w14:paraId="299A09B0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397" w:type="dxa"/>
            <w:noWrap/>
            <w:vAlign w:val="center"/>
          </w:tcPr>
          <w:p w14:paraId="15727231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1397" w:type="dxa"/>
            <w:noWrap/>
            <w:vAlign w:val="center"/>
          </w:tcPr>
          <w:p w14:paraId="62937FB1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</w:tr>
      <w:tr w14:paraId="5F247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88" w:type="dxa"/>
            <w:tcBorders>
              <w:bottom w:val="single" w:color="000000" w:sz="8" w:space="0"/>
            </w:tcBorders>
            <w:noWrap/>
            <w:vAlign w:val="center"/>
          </w:tcPr>
          <w:p w14:paraId="5C658B6C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586" w:type="dxa"/>
            <w:tcBorders>
              <w:bottom w:val="single" w:color="000000" w:sz="8" w:space="0"/>
            </w:tcBorders>
            <w:noWrap/>
            <w:vAlign w:val="bottom"/>
          </w:tcPr>
          <w:p w14:paraId="3EA28A2C"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273" w:type="dxa"/>
            <w:tcBorders>
              <w:bottom w:val="single" w:color="000000" w:sz="8" w:space="0"/>
            </w:tcBorders>
            <w:noWrap/>
            <w:vAlign w:val="center"/>
          </w:tcPr>
          <w:p w14:paraId="7C9B8EF3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Female</w:t>
            </w:r>
          </w:p>
        </w:tc>
        <w:tc>
          <w:tcPr>
            <w:tcW w:w="1908" w:type="dxa"/>
            <w:tcBorders>
              <w:bottom w:val="single" w:color="000000" w:sz="8" w:space="0"/>
            </w:tcBorders>
            <w:noWrap/>
            <w:vAlign w:val="center"/>
          </w:tcPr>
          <w:p w14:paraId="76C7FFBA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397" w:type="dxa"/>
            <w:tcBorders>
              <w:bottom w:val="single" w:color="000000" w:sz="8" w:space="0"/>
            </w:tcBorders>
            <w:noWrap/>
            <w:vAlign w:val="center"/>
          </w:tcPr>
          <w:p w14:paraId="71AA81B9">
            <w:pPr>
              <w:widowControl/>
              <w:jc w:val="righ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397" w:type="dxa"/>
            <w:tcBorders>
              <w:bottom w:val="single" w:color="000000" w:sz="8" w:space="0"/>
            </w:tcBorders>
            <w:noWrap/>
            <w:vAlign w:val="center"/>
          </w:tcPr>
          <w:p w14:paraId="353F797D">
            <w:pPr>
              <w:widowControl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Male</w:t>
            </w:r>
          </w:p>
        </w:tc>
      </w:tr>
    </w:tbl>
    <w:p w14:paraId="15FB6065">
      <w:pPr>
        <w:rPr>
          <w:rFonts w:hint="default" w:ascii="Times New Roman" w:hAnsi="Times New Roman" w:cs="Times New Roman"/>
        </w:rPr>
      </w:pPr>
    </w:p>
    <w:p w14:paraId="67ADAF46">
      <w:pPr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D29ED32">
      <w:pPr>
        <w:widowControl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14:ligatures w14:val="none"/>
        </w:rPr>
        <w:drawing>
          <wp:inline distT="0" distB="0" distL="0" distR="0">
            <wp:extent cx="5274310" cy="5285105"/>
            <wp:effectExtent l="0" t="0" r="2540" b="0"/>
            <wp:docPr id="16205262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52629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D45B2">
      <w:pPr>
        <w:widowControl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sz w:val="16"/>
          <w:szCs w:val="16"/>
        </w:rPr>
        <w:t>Fig. S1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(A) </w:t>
      </w:r>
      <w:r>
        <w:rPr>
          <w:rFonts w:hint="default" w:ascii="Times New Roman" w:hAnsi="Times New Roman" w:cs="Times New Roman"/>
          <w:sz w:val="16"/>
          <w:szCs w:val="16"/>
        </w:rPr>
        <w:t xml:space="preserve">Custom-designed.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(B) </w:t>
      </w:r>
      <w:r>
        <w:rPr>
          <w:rFonts w:hint="default" w:ascii="Times New Roman" w:hAnsi="Times New Roman" w:cs="Times New Roman"/>
          <w:sz w:val="16"/>
          <w:szCs w:val="16"/>
        </w:rPr>
        <w:t>Chord diagram of differential metabolites in mice serum.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C</w:t>
      </w:r>
      <w:r>
        <w:rPr>
          <w:rFonts w:hint="default" w:ascii="Times New Roman" w:hAnsi="Times New Roman" w:cs="Times New Roman"/>
          <w:sz w:val="16"/>
          <w:szCs w:val="16"/>
        </w:rPr>
        <w:t>) Chord diagram of differential metabolites in human serum.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D-G</w:t>
      </w:r>
      <w:r>
        <w:rPr>
          <w:rFonts w:hint="default" w:ascii="Times New Roman" w:hAnsi="Times New Roman" w:cs="Times New Roman"/>
          <w:sz w:val="16"/>
          <w:szCs w:val="16"/>
        </w:rPr>
        <w:t xml:space="preserve">) </w:t>
      </w:r>
      <w:r>
        <w:rPr>
          <w:rFonts w:hint="default" w:ascii="Times New Roman" w:hAnsi="Times New Roman" w:cs="Times New Roman"/>
          <w:bCs/>
          <w:sz w:val="16"/>
          <w:szCs w:val="16"/>
        </w:rPr>
        <w:t>Boxplot of D-Pinitol levels (</w:t>
      </w:r>
      <w:r>
        <w:rPr>
          <w:rFonts w:hint="default" w:ascii="Times New Roman" w:hAnsi="Times New Roman" w:cs="Times New Roman"/>
          <w:b/>
          <w:sz w:val="16"/>
          <w:szCs w:val="16"/>
        </w:rPr>
        <w:t>D</w:t>
      </w:r>
      <w:r>
        <w:rPr>
          <w:rFonts w:hint="default" w:ascii="Times New Roman" w:hAnsi="Times New Roman" w:cs="Times New Roman"/>
          <w:bCs/>
          <w:sz w:val="16"/>
          <w:szCs w:val="16"/>
        </w:rPr>
        <w:t xml:space="preserve">, human n=20/group; </w:t>
      </w:r>
      <w:r>
        <w:rPr>
          <w:rFonts w:hint="default" w:ascii="Times New Roman" w:hAnsi="Times New Roman" w:cs="Times New Roman"/>
          <w:b/>
          <w:sz w:val="16"/>
          <w:szCs w:val="16"/>
        </w:rPr>
        <w:t>E</w:t>
      </w:r>
      <w:r>
        <w:rPr>
          <w:rFonts w:hint="default" w:ascii="Times New Roman" w:hAnsi="Times New Roman" w:cs="Times New Roman"/>
          <w:bCs/>
          <w:sz w:val="16"/>
          <w:szCs w:val="16"/>
        </w:rPr>
        <w:t>, mice,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Cs/>
          <w:sz w:val="16"/>
          <w:szCs w:val="16"/>
        </w:rPr>
        <w:t>n=7/group), ROC curve analysis of serum D-Pinitol levels, with an AUC &gt; 0.7 (</w:t>
      </w:r>
      <w:r>
        <w:rPr>
          <w:rFonts w:hint="default" w:ascii="Times New Roman" w:hAnsi="Times New Roman" w:cs="Times New Roman"/>
          <w:b/>
          <w:sz w:val="16"/>
          <w:szCs w:val="16"/>
        </w:rPr>
        <w:t>F</w:t>
      </w:r>
      <w:r>
        <w:rPr>
          <w:rFonts w:hint="default" w:ascii="Times New Roman" w:hAnsi="Times New Roman" w:cs="Times New Roman"/>
          <w:bCs/>
          <w:sz w:val="16"/>
          <w:szCs w:val="16"/>
        </w:rPr>
        <w:t xml:space="preserve">, human; </w:t>
      </w:r>
      <w:r>
        <w:rPr>
          <w:rFonts w:hint="default" w:ascii="Times New Roman" w:hAnsi="Times New Roman" w:cs="Times New Roman"/>
          <w:b/>
          <w:sz w:val="16"/>
          <w:szCs w:val="16"/>
        </w:rPr>
        <w:t>G</w:t>
      </w:r>
      <w:r>
        <w:rPr>
          <w:rFonts w:hint="default" w:ascii="Times New Roman" w:hAnsi="Times New Roman" w:cs="Times New Roman"/>
          <w:bCs/>
          <w:sz w:val="16"/>
          <w:szCs w:val="16"/>
        </w:rPr>
        <w:t>, mice)</w:t>
      </w:r>
      <w:r>
        <w:rPr>
          <w:rFonts w:hint="default" w:ascii="Times New Roman" w:hAnsi="Times New Roman" w:cs="Times New Roman"/>
          <w:sz w:val="16"/>
          <w:szCs w:val="16"/>
        </w:rPr>
        <w:t>.</w:t>
      </w:r>
    </w:p>
    <w:p w14:paraId="0CE78FCA">
      <w:pPr>
        <w:widowControl/>
        <w:jc w:val="lef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br w:type="page"/>
      </w:r>
    </w:p>
    <w:p w14:paraId="2A83EEDB">
      <w:pPr>
        <w:widowControl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14:ligatures w14:val="none"/>
        </w:rPr>
        <w:drawing>
          <wp:inline distT="0" distB="0" distL="0" distR="0">
            <wp:extent cx="5274310" cy="6331585"/>
            <wp:effectExtent l="0" t="0" r="2540" b="0"/>
            <wp:docPr id="16825430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43037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F236C">
      <w:pPr>
        <w:widowControl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Fig. S2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Mufemilast alleviates systemic inflammation in a dose-dependent manner. </w:t>
      </w:r>
      <w:r>
        <w:rPr>
          <w:rFonts w:hint="default" w:ascii="Times New Roman" w:hAnsi="Times New Roman" w:cs="Times New Roman"/>
          <w:sz w:val="16"/>
          <w:szCs w:val="16"/>
        </w:rPr>
        <w:t xml:space="preserve">Representative H&amp;E images of lungs, livers, kidneys, spleen, brains and heart (Scale bars: 100 and 200 µm). </w:t>
      </w:r>
    </w:p>
    <w:p w14:paraId="1CAEB43D">
      <w:pPr>
        <w:widowControl/>
        <w:jc w:val="left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br w:type="page"/>
      </w:r>
    </w:p>
    <w:p w14:paraId="75453F01">
      <w:pPr>
        <w:widowControl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14:ligatures w14:val="none"/>
        </w:rPr>
        <w:drawing>
          <wp:inline distT="0" distB="0" distL="0" distR="0">
            <wp:extent cx="5274310" cy="4924425"/>
            <wp:effectExtent l="0" t="0" r="2540" b="9525"/>
            <wp:docPr id="13605310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3109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F0810">
      <w:pPr>
        <w:widowControl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Fig. S3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Mufemilast alleviates systemic inflammation. (A) </w:t>
      </w:r>
      <w:r>
        <w:rPr>
          <w:rFonts w:hint="default" w:ascii="Times New Roman" w:hAnsi="Times New Roman" w:cs="Times New Roman"/>
          <w:sz w:val="16"/>
          <w:szCs w:val="16"/>
        </w:rPr>
        <w:t xml:space="preserve">Representative H&amp;E images of livers, kidneys (Scale bars: 100 µm).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(B) </w:t>
      </w:r>
      <w:r>
        <w:rPr>
          <w:rFonts w:hint="default" w:ascii="Times New Roman" w:hAnsi="Times New Roman" w:cs="Times New Roman"/>
          <w:sz w:val="16"/>
          <w:szCs w:val="16"/>
        </w:rPr>
        <w:t>Heatmap of key inflammatory genes expression in liver and kidney.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C</w:t>
      </w:r>
      <w:r>
        <w:rPr>
          <w:rFonts w:hint="default" w:ascii="Times New Roman" w:hAnsi="Times New Roman" w:cs="Times New Roman"/>
          <w:sz w:val="16"/>
          <w:szCs w:val="16"/>
        </w:rPr>
        <w:t>) Liver damage markers in serum of mice.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D</w:t>
      </w:r>
      <w:r>
        <w:rPr>
          <w:rFonts w:hint="default" w:ascii="Times New Roman" w:hAnsi="Times New Roman" w:cs="Times New Roman"/>
          <w:sz w:val="16"/>
          <w:szCs w:val="16"/>
        </w:rPr>
        <w:t>) Kidney damage markers in serum of mice.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E</w:t>
      </w:r>
      <w:r>
        <w:rPr>
          <w:rFonts w:hint="default" w:ascii="Times New Roman" w:hAnsi="Times New Roman" w:cs="Times New Roman"/>
          <w:sz w:val="16"/>
          <w:szCs w:val="16"/>
        </w:rPr>
        <w:t>) Liver damage markers in human serum samples.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F</w:t>
      </w:r>
      <w:r>
        <w:rPr>
          <w:rFonts w:hint="default" w:ascii="Times New Roman" w:hAnsi="Times New Roman" w:cs="Times New Roman"/>
          <w:sz w:val="16"/>
          <w:szCs w:val="16"/>
        </w:rPr>
        <w:t>) Kidney damage markers in human serum samples.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G</w:t>
      </w:r>
      <w:r>
        <w:rPr>
          <w:rFonts w:hint="default" w:ascii="Times New Roman" w:hAnsi="Times New Roman" w:cs="Times New Roman"/>
          <w:sz w:val="16"/>
          <w:szCs w:val="16"/>
        </w:rPr>
        <w:t xml:space="preserve">) RT-qPCR analysis of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Pde4 </w:t>
      </w:r>
      <w:r>
        <w:rPr>
          <w:rFonts w:hint="default" w:ascii="Times New Roman" w:hAnsi="Times New Roman" w:cs="Times New Roman"/>
          <w:sz w:val="16"/>
          <w:szCs w:val="16"/>
        </w:rPr>
        <w:t>isoforms (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Pde4a</w:t>
      </w:r>
      <w:r>
        <w:rPr>
          <w:rFonts w:hint="default" w:ascii="Times New Roman" w:hAnsi="Times New Roman" w:cs="Times New Roman"/>
          <w:sz w:val="16"/>
          <w:szCs w:val="16"/>
        </w:rPr>
        <w:t xml:space="preserve">,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Pde4b</w:t>
      </w:r>
      <w:r>
        <w:rPr>
          <w:rFonts w:hint="default" w:ascii="Times New Roman" w:hAnsi="Times New Roman" w:cs="Times New Roman"/>
          <w:sz w:val="16"/>
          <w:szCs w:val="16"/>
        </w:rPr>
        <w:t xml:space="preserve">,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Pde4c</w:t>
      </w:r>
      <w:r>
        <w:rPr>
          <w:rFonts w:hint="default" w:ascii="Times New Roman" w:hAnsi="Times New Roman" w:cs="Times New Roman"/>
          <w:sz w:val="16"/>
          <w:szCs w:val="16"/>
        </w:rPr>
        <w:t xml:space="preserve">, and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Pde4d</w:t>
      </w:r>
      <w:r>
        <w:rPr>
          <w:rFonts w:hint="default" w:ascii="Times New Roman" w:hAnsi="Times New Roman" w:cs="Times New Roman"/>
          <w:sz w:val="16"/>
          <w:szCs w:val="16"/>
        </w:rPr>
        <w:t>) in liver.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H</w:t>
      </w:r>
      <w:r>
        <w:rPr>
          <w:rFonts w:hint="default" w:ascii="Times New Roman" w:hAnsi="Times New Roman" w:cs="Times New Roman"/>
          <w:sz w:val="16"/>
          <w:szCs w:val="16"/>
        </w:rPr>
        <w:t xml:space="preserve">) RT-qPCR analysis of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</w:t>
      </w:r>
      <w:r>
        <w:rPr>
          <w:rFonts w:hint="default" w:ascii="Times New Roman" w:hAnsi="Times New Roman" w:cs="Times New Roman"/>
          <w:sz w:val="16"/>
          <w:szCs w:val="16"/>
        </w:rPr>
        <w:t xml:space="preserve"> isoforms (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Pde4a</w:t>
      </w:r>
      <w:r>
        <w:rPr>
          <w:rFonts w:hint="default" w:ascii="Times New Roman" w:hAnsi="Times New Roman" w:cs="Times New Roman"/>
          <w:sz w:val="16"/>
          <w:szCs w:val="16"/>
        </w:rPr>
        <w:t xml:space="preserve">,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Pde4b</w:t>
      </w:r>
      <w:r>
        <w:rPr>
          <w:rFonts w:hint="default" w:ascii="Times New Roman" w:hAnsi="Times New Roman" w:cs="Times New Roman"/>
          <w:sz w:val="16"/>
          <w:szCs w:val="16"/>
        </w:rPr>
        <w:t xml:space="preserve">,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Pde4c</w:t>
      </w:r>
      <w:r>
        <w:rPr>
          <w:rFonts w:hint="default" w:ascii="Times New Roman" w:hAnsi="Times New Roman" w:cs="Times New Roman"/>
          <w:sz w:val="16"/>
          <w:szCs w:val="16"/>
        </w:rPr>
        <w:t xml:space="preserve">, and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Pde4d</w:t>
      </w:r>
      <w:r>
        <w:rPr>
          <w:rFonts w:hint="default" w:ascii="Times New Roman" w:hAnsi="Times New Roman" w:cs="Times New Roman"/>
          <w:sz w:val="16"/>
          <w:szCs w:val="16"/>
        </w:rPr>
        <w:t>) in kidney.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I</w:t>
      </w:r>
      <w:r>
        <w:rPr>
          <w:rFonts w:hint="default" w:ascii="Times New Roman" w:hAnsi="Times New Roman" w:cs="Times New Roman"/>
          <w:sz w:val="16"/>
          <w:szCs w:val="16"/>
        </w:rPr>
        <w:t>)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</w:rPr>
        <w:t>Western blot images of PDE4B in liver and kidney tissues.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J</w:t>
      </w:r>
      <w:r>
        <w:rPr>
          <w:rFonts w:hint="default" w:ascii="Times New Roman" w:hAnsi="Times New Roman" w:cs="Times New Roman"/>
          <w:sz w:val="16"/>
          <w:szCs w:val="16"/>
        </w:rPr>
        <w:t>) Differential cells count in blood.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K</w:t>
      </w:r>
      <w:r>
        <w:rPr>
          <w:rFonts w:hint="default" w:ascii="Times New Roman" w:hAnsi="Times New Roman" w:cs="Times New Roman"/>
          <w:sz w:val="16"/>
          <w:szCs w:val="16"/>
        </w:rPr>
        <w:t>)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</w:rPr>
        <w:t xml:space="preserve">ELISA-based cytokine analysis in the serum. </w:t>
      </w:r>
      <w:bookmarkStart w:id="0" w:name="OLE_LINK1"/>
      <w:r>
        <w:rPr>
          <w:rFonts w:hint="default" w:ascii="Times New Roman" w:hAnsi="Times New Roman" w:cs="Times New Roman"/>
          <w:sz w:val="16"/>
          <w:szCs w:val="16"/>
        </w:rPr>
        <w:t>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0.05, **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0.01, ***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0.001, and ****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0.0001. Statistics obtained from 1-way ANOVA. </w:t>
      </w:r>
      <w:bookmarkEnd w:id="0"/>
      <w:r>
        <w:rPr>
          <w:rFonts w:hint="default" w:ascii="Times New Roman" w:hAnsi="Times New Roman" w:cs="Times New Roman"/>
          <w:sz w:val="16"/>
          <w:szCs w:val="16"/>
        </w:rPr>
        <w:t>(Alanine aminotransferase: ALT, aspartate aminotransferase: AST, alkaline phosphatase: ALP, Gamma-glutamyl transpeptidase: g-GT, uric acid: UA, creatinine: CRE, blood urea nitrogen: BUN, white blood cells: WBC, neutrophils: NEU, lymphocytes: LYM, monocytes: MONO, eosinophils: ESO)</w:t>
      </w:r>
    </w:p>
    <w:p w14:paraId="16355403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16E4B6DB">
      <w:pPr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90170</wp:posOffset>
            </wp:positionV>
            <wp:extent cx="3568700" cy="3249930"/>
            <wp:effectExtent l="0" t="0" r="0" b="7620"/>
            <wp:wrapTopAndBottom/>
            <wp:docPr id="10710801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8013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16"/>
          <w:szCs w:val="16"/>
          <w14:ligatures w14:val="none"/>
        </w:rPr>
        <w:t xml:space="preserve">Fig. S4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Mufemilast Inhibited ferroptosis in a chronic murine model of SII. </w:t>
      </w:r>
      <w:r>
        <w:rPr>
          <w:rFonts w:hint="default" w:ascii="Times New Roman" w:hAnsi="Times New Roman" w:cs="Times New Roman"/>
          <w:sz w:val="16"/>
          <w:szCs w:val="16"/>
        </w:rPr>
        <w:t>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A</w:t>
      </w:r>
      <w:r>
        <w:rPr>
          <w:rFonts w:hint="default" w:ascii="Times New Roman" w:hAnsi="Times New Roman" w:cs="Times New Roman"/>
          <w:sz w:val="16"/>
          <w:szCs w:val="16"/>
        </w:rPr>
        <w:t>) Representative Prussian blue staining (scale bar: 00 µm) images of the lungs.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B</w:t>
      </w:r>
      <w:r>
        <w:rPr>
          <w:rFonts w:hint="default" w:ascii="Times New Roman" w:hAnsi="Times New Roman" w:cs="Times New Roman"/>
          <w:sz w:val="16"/>
          <w:szCs w:val="16"/>
        </w:rPr>
        <w:t xml:space="preserve">) Heatmap of the expression of key ferroptosis genes in the lung. </w:t>
      </w:r>
      <w:bookmarkStart w:id="1" w:name="_Hlk210042587"/>
      <w:r>
        <w:rPr>
          <w:rFonts w:hint="default" w:ascii="Times New Roman" w:hAnsi="Times New Roman" w:cs="Times New Roman"/>
          <w:sz w:val="16"/>
          <w:szCs w:val="16"/>
        </w:rPr>
        <w:t>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C-E</w:t>
      </w:r>
      <w:r>
        <w:rPr>
          <w:rFonts w:hint="default" w:ascii="Times New Roman" w:hAnsi="Times New Roman" w:cs="Times New Roman"/>
          <w:sz w:val="16"/>
          <w:szCs w:val="16"/>
        </w:rPr>
        <w:t>) Lung iron levels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C</w:t>
      </w:r>
      <w:r>
        <w:rPr>
          <w:rFonts w:hint="default" w:ascii="Times New Roman" w:hAnsi="Times New Roman" w:cs="Times New Roman"/>
          <w:sz w:val="16"/>
          <w:szCs w:val="16"/>
        </w:rPr>
        <w:t>), lung GSH content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D</w:t>
      </w:r>
      <w:r>
        <w:rPr>
          <w:rFonts w:hint="default" w:ascii="Times New Roman" w:hAnsi="Times New Roman" w:cs="Times New Roman"/>
          <w:sz w:val="16"/>
          <w:szCs w:val="16"/>
        </w:rPr>
        <w:t>), and lung LPO content (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>E</w:t>
      </w:r>
      <w:r>
        <w:rPr>
          <w:rFonts w:hint="default" w:ascii="Times New Roman" w:hAnsi="Times New Roman" w:cs="Times New Roman"/>
          <w:sz w:val="16"/>
          <w:szCs w:val="16"/>
        </w:rPr>
        <w:t>).</w:t>
      </w:r>
      <w:bookmarkEnd w:id="1"/>
      <w:r>
        <w:rPr>
          <w:rFonts w:hint="default" w:ascii="Times New Roman" w:hAnsi="Times New Roman" w:cs="Times New Roman"/>
          <w:sz w:val="16"/>
          <w:szCs w:val="16"/>
        </w:rPr>
        <w:t xml:space="preserve"> 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0.05, ***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0.001, and ****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0.0001. Statistics obtained from 1-way ANOVA.</w:t>
      </w:r>
    </w:p>
    <w:p w14:paraId="5F47B923">
      <w:pPr>
        <w:widowControl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br w:type="page"/>
      </w:r>
      <w:r>
        <w:rPr>
          <w:rFonts w:hint="default" w:ascii="Times New Roman" w:hAnsi="Times New Roman" w:cs="Times New Roman"/>
          <w:sz w:val="16"/>
          <w:szCs w:val="16"/>
          <w14:ligatures w14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038090" cy="7166610"/>
            <wp:effectExtent l="0" t="0" r="0" b="0"/>
            <wp:wrapTopAndBottom/>
            <wp:docPr id="19475961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9615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716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 xml:space="preserve">Fig. S5 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Mufemalist ameliorates oxidative stress and cell death in A549 cells. </w:t>
      </w:r>
      <w:r>
        <w:rPr>
          <w:rFonts w:hint="default" w:ascii="Times New Roman" w:hAnsi="Times New Roman" w:cs="Times New Roman"/>
          <w:bCs/>
          <w:sz w:val="16"/>
          <w:szCs w:val="16"/>
        </w:rPr>
        <w:t xml:space="preserve"> (</w:t>
      </w:r>
      <w:r>
        <w:rPr>
          <w:rFonts w:hint="default" w:ascii="Times New Roman" w:hAnsi="Times New Roman" w:cs="Times New Roman"/>
          <w:b/>
          <w:sz w:val="16"/>
          <w:szCs w:val="16"/>
        </w:rPr>
        <w:t>A, B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)</w:t>
      </w:r>
      <w:r>
        <w:rPr>
          <w:rFonts w:hint="default" w:ascii="Times New Roman" w:hAnsi="Times New Roman" w:cs="Times New Roman"/>
          <w:bCs/>
          <w:sz w:val="16"/>
          <w:szCs w:val="16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Effects of AWE stimulation and dose-dependent treatment with mufemilast on A549 cell viability, assessed by CCK8 assay.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>B, C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)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Effects of AWE stimulation and treatment with mufemilast or Dex on A549 cell viability, evaluated by CCK8 assay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B,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n = 4) and LDH assay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C,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n = 4).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>D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)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RT-qPCR analysis of</w:t>
      </w:r>
      <w:r>
        <w:rPr>
          <w:rFonts w:hint="default" w:ascii="Times New Roman" w:hAnsi="Times New Roman" w:eastAsia="等线" w:cs="Times New Roman"/>
          <w:i/>
          <w:iCs/>
          <w:color w:val="000000"/>
          <w:kern w:val="24"/>
          <w:sz w:val="16"/>
          <w:szCs w:val="16"/>
        </w:rPr>
        <w:t xml:space="preserve"> PDE4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 xml:space="preserve"> isoforms (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PDE4A</w:t>
      </w:r>
      <w:r>
        <w:rPr>
          <w:rFonts w:hint="default" w:ascii="Times New Roman" w:hAnsi="Times New Roman" w:cs="Times New Roman"/>
          <w:sz w:val="16"/>
          <w:szCs w:val="16"/>
        </w:rPr>
        <w:t xml:space="preserve">,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PDE4B</w:t>
      </w:r>
      <w:r>
        <w:rPr>
          <w:rFonts w:hint="default" w:ascii="Times New Roman" w:hAnsi="Times New Roman" w:cs="Times New Roman"/>
          <w:sz w:val="16"/>
          <w:szCs w:val="16"/>
        </w:rPr>
        <w:t xml:space="preserve">,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PDE4C</w:t>
      </w:r>
      <w:r>
        <w:rPr>
          <w:rFonts w:hint="default" w:ascii="Times New Roman" w:hAnsi="Times New Roman" w:cs="Times New Roman"/>
          <w:sz w:val="16"/>
          <w:szCs w:val="16"/>
        </w:rPr>
        <w:t xml:space="preserve">, and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PDE4D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).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>E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)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Cell death analysis using Annexin V/PI staining (n = 4).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>F, G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)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Flow cytometry analysis of lipid peroxidation by Liperfluo staining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F,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n = 4) and cellular Fe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  <w:vertAlign w:val="superscript"/>
        </w:rPr>
        <w:t xml:space="preserve">2+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levels by FerroOrange staining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G,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n = 4).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>H, I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)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Representative fluorescent images and quantification of DCFDA (2’,7’-dichlorofluorescein diacetate)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H,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n = 4) and Mito-Tracker Red CMXRos (</w:t>
      </w:r>
      <w:r>
        <w:rPr>
          <w:rFonts w:hint="default" w:ascii="Times New Roman" w:hAnsi="Times New Roman" w:eastAsia="等线" w:cs="Times New Roman"/>
          <w:b/>
          <w:bCs/>
          <w:color w:val="000000"/>
          <w:kern w:val="24"/>
          <w:sz w:val="16"/>
          <w:szCs w:val="16"/>
        </w:rPr>
        <w:t xml:space="preserve">I, </w:t>
      </w:r>
      <w:r>
        <w:rPr>
          <w:rFonts w:hint="default" w:ascii="Times New Roman" w:hAnsi="Times New Roman" w:eastAsia="等线" w:cs="Times New Roman"/>
          <w:color w:val="000000"/>
          <w:kern w:val="24"/>
          <w:sz w:val="16"/>
          <w:szCs w:val="16"/>
        </w:rPr>
        <w:t>n = 4)（Scar bar: 100 µm).</w:t>
      </w:r>
      <w:r>
        <w:rPr>
          <w:rFonts w:hint="default" w:ascii="Times New Roman" w:hAnsi="Times New Roman" w:cs="Times New Roman"/>
          <w:sz w:val="16"/>
          <w:szCs w:val="16"/>
        </w:rPr>
        <w:t xml:space="preserve"> **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0.01, ***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0.001, and ****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P</w:t>
      </w:r>
      <w:r>
        <w:rPr>
          <w:rFonts w:hint="default" w:ascii="Times New Roman" w:hAnsi="Times New Roman" w:cs="Times New Roman"/>
          <w:sz w:val="16"/>
          <w:szCs w:val="16"/>
        </w:rPr>
        <w:t xml:space="preserve"> &lt; 0.0001. Statistics obtained from 1-way ANOVA.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11D2CD2-9F6A-4E7E-9C58-C54CF63A2A7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88D337EC-263F-4681-A6F4-05261663731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CEBFEBE3-B75E-484C-998D-5A97BC1C164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B280E29-DF82-4E98-9FA1-6DAD5A368B15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FF64552B-258A-4533-9D6B-54885E3948F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90F6B8CA-5D40-4EF6-879C-BC57E537DB1C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D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dfrp9sdssez9e2ts5vraxkw0ezrv9ev2wf&quot;&gt;My EndNote Library&lt;record-ids&gt;&lt;item&gt;154&lt;/item&gt;&lt;/record-ids&gt;&lt;/item&gt;&lt;/Libraries&gt;"/>
  </w:docVars>
  <w:rsids>
    <w:rsidRoot w:val="00767F0C"/>
    <w:rsid w:val="00007CD4"/>
    <w:rsid w:val="00042446"/>
    <w:rsid w:val="000B7F21"/>
    <w:rsid w:val="000C0EC6"/>
    <w:rsid w:val="000D2B52"/>
    <w:rsid w:val="000D4354"/>
    <w:rsid w:val="001421B1"/>
    <w:rsid w:val="00167671"/>
    <w:rsid w:val="00170CF5"/>
    <w:rsid w:val="0017597E"/>
    <w:rsid w:val="001A0EB5"/>
    <w:rsid w:val="00237F23"/>
    <w:rsid w:val="002C1195"/>
    <w:rsid w:val="002F69E0"/>
    <w:rsid w:val="00350A02"/>
    <w:rsid w:val="003B49EB"/>
    <w:rsid w:val="004171B3"/>
    <w:rsid w:val="00461C19"/>
    <w:rsid w:val="00491013"/>
    <w:rsid w:val="004A4D71"/>
    <w:rsid w:val="004B08A6"/>
    <w:rsid w:val="0052568B"/>
    <w:rsid w:val="00581ED7"/>
    <w:rsid w:val="00600D3A"/>
    <w:rsid w:val="006239DD"/>
    <w:rsid w:val="00674C3A"/>
    <w:rsid w:val="006A0BAA"/>
    <w:rsid w:val="00711018"/>
    <w:rsid w:val="00745FA0"/>
    <w:rsid w:val="00767F0C"/>
    <w:rsid w:val="00786EFA"/>
    <w:rsid w:val="0079763B"/>
    <w:rsid w:val="007B3AB4"/>
    <w:rsid w:val="008638F6"/>
    <w:rsid w:val="00926FFC"/>
    <w:rsid w:val="00943F71"/>
    <w:rsid w:val="00970228"/>
    <w:rsid w:val="00980192"/>
    <w:rsid w:val="00985A1A"/>
    <w:rsid w:val="00997095"/>
    <w:rsid w:val="009B068F"/>
    <w:rsid w:val="009B2646"/>
    <w:rsid w:val="009C6AE9"/>
    <w:rsid w:val="009C7B8D"/>
    <w:rsid w:val="009E321A"/>
    <w:rsid w:val="00A018AF"/>
    <w:rsid w:val="00A072B5"/>
    <w:rsid w:val="00A37D11"/>
    <w:rsid w:val="00A8007B"/>
    <w:rsid w:val="00A8101B"/>
    <w:rsid w:val="00A92998"/>
    <w:rsid w:val="00A93B2D"/>
    <w:rsid w:val="00AB475D"/>
    <w:rsid w:val="00AD60D7"/>
    <w:rsid w:val="00AD7ECD"/>
    <w:rsid w:val="00AF2927"/>
    <w:rsid w:val="00B12928"/>
    <w:rsid w:val="00B23877"/>
    <w:rsid w:val="00B54E1D"/>
    <w:rsid w:val="00BF13D4"/>
    <w:rsid w:val="00C27B2A"/>
    <w:rsid w:val="00C4757C"/>
    <w:rsid w:val="00CA028D"/>
    <w:rsid w:val="00CA0F57"/>
    <w:rsid w:val="00D115A1"/>
    <w:rsid w:val="00D7260A"/>
    <w:rsid w:val="00D86E61"/>
    <w:rsid w:val="00DC7BDC"/>
    <w:rsid w:val="00DD6360"/>
    <w:rsid w:val="00E12E44"/>
    <w:rsid w:val="00E839B2"/>
    <w:rsid w:val="00EA0088"/>
    <w:rsid w:val="00EB0CBE"/>
    <w:rsid w:val="00EC4063"/>
    <w:rsid w:val="00ED5E18"/>
    <w:rsid w:val="00EE4CB9"/>
    <w:rsid w:val="00F06DE4"/>
    <w:rsid w:val="00F114AF"/>
    <w:rsid w:val="00F665D2"/>
    <w:rsid w:val="00FF2285"/>
    <w:rsid w:val="025373B1"/>
    <w:rsid w:val="0303051A"/>
    <w:rsid w:val="0B006FFD"/>
    <w:rsid w:val="0E3762A4"/>
    <w:rsid w:val="1A87793C"/>
    <w:rsid w:val="1A8A257C"/>
    <w:rsid w:val="2B44571F"/>
    <w:rsid w:val="2E1851FD"/>
    <w:rsid w:val="2F9D49D1"/>
    <w:rsid w:val="3D9E1ED7"/>
    <w:rsid w:val="42E50842"/>
    <w:rsid w:val="4F9765CC"/>
    <w:rsid w:val="539DE8DE"/>
    <w:rsid w:val="590E4F6C"/>
    <w:rsid w:val="59694816"/>
    <w:rsid w:val="6C871487"/>
    <w:rsid w:val="6D5B7E21"/>
    <w:rsid w:val="6F385868"/>
    <w:rsid w:val="70C56B39"/>
    <w:rsid w:val="7797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1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9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页眉 字符"/>
    <w:basedOn w:val="19"/>
    <w:link w:val="13"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40">
    <w:name w:val="页脚 字符"/>
    <w:basedOn w:val="19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customStyle="1" w:styleId="41">
    <w:name w:val="EndNote Bibliography Title"/>
    <w:basedOn w:val="1"/>
    <w:link w:val="42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42">
    <w:name w:val="EndNote Bibliography Title 字符"/>
    <w:basedOn w:val="19"/>
    <w:link w:val="41"/>
    <w:qFormat/>
    <w:uiPriority w:val="0"/>
    <w:rPr>
      <w:rFonts w:ascii="等线" w:hAnsi="等线" w:eastAsia="等线" w:cstheme="minorBidi"/>
      <w:kern w:val="2"/>
      <w:szCs w:val="22"/>
      <w14:ligatures w14:val="standardContextual"/>
    </w:rPr>
  </w:style>
  <w:style w:type="paragraph" w:customStyle="1" w:styleId="43">
    <w:name w:val="EndNote Bibliography"/>
    <w:basedOn w:val="1"/>
    <w:link w:val="44"/>
    <w:qFormat/>
    <w:uiPriority w:val="0"/>
    <w:rPr>
      <w:rFonts w:ascii="等线" w:hAnsi="等线" w:eastAsia="等线"/>
      <w:sz w:val="20"/>
    </w:rPr>
  </w:style>
  <w:style w:type="character" w:customStyle="1" w:styleId="44">
    <w:name w:val="EndNote Bibliography 字符"/>
    <w:basedOn w:val="19"/>
    <w:link w:val="43"/>
    <w:qFormat/>
    <w:uiPriority w:val="0"/>
    <w:rPr>
      <w:rFonts w:ascii="等线" w:hAnsi="等线" w:eastAsia="等线" w:cstheme="minorBidi"/>
      <w:kern w:val="2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745</Words>
  <Characters>4417</Characters>
  <Lines>131</Lines>
  <Paragraphs>36</Paragraphs>
  <TotalTime>4</TotalTime>
  <ScaleCrop>false</ScaleCrop>
  <LinksUpToDate>false</LinksUpToDate>
  <CharactersWithSpaces>4947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2025-10-21T04:30:00Z</dcterms:created>
  <dc:creator>Long Yang</dc:creator>
  <cp:lastModifiedBy>杨龙</cp:lastModifiedBy>
  <dcterms:modified xsi:type="dcterms:W3CDTF">2026-08-03T12:44:22Z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eyJoZGlkIjoiNTU0ZmIwYTQ3NzlmZGUxZmU3Zjk0M2IyZTNmM2IxNjAiLCJ1c2VySWQiOiIxNzQyNzkwNjQ0In0=</vt:lpwstr>
  </property>
  <property fmtid="{D5CDD505-2E9C-101B-9397-08002B2CF9AE}" pid="3" name="KSOProductBuildVer">
    <vt:lpwstr>2052-12.1.0.26375</vt:lpwstr>
  </property>
  <property fmtid="{D5CDD505-2E9C-101B-9397-08002B2CF9AE}" pid="4" name="ICV">
    <vt:lpwstr>D1DDAAD5814644C69F857E27A3E88EB4_13</vt:lpwstr>
  </property>
</Properties>
</file>