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F6453" w14:textId="7D72887D" w:rsidR="00373B9A" w:rsidRDefault="00871C02" w:rsidP="00DC06ED">
      <w:pPr>
        <w:pStyle w:val="berschrift1"/>
      </w:pPr>
      <w:r>
        <w:t>Supplemental Methods</w:t>
      </w:r>
    </w:p>
    <w:p w14:paraId="006216F7" w14:textId="77777777" w:rsidR="003325D5" w:rsidRPr="007B4597" w:rsidRDefault="003325D5" w:rsidP="00323455">
      <w:pPr>
        <w:pStyle w:val="berschrift2"/>
      </w:pPr>
      <w:r w:rsidRPr="007B4597">
        <w:t>Flow cytometry analysis of NK-, tumor- and mouse cells</w:t>
      </w:r>
    </w:p>
    <w:p w14:paraId="4E17A70B" w14:textId="77777777" w:rsidR="003325D5" w:rsidRPr="007B4597" w:rsidRDefault="003325D5" w:rsidP="00E77D72">
      <w:pPr>
        <w:jc w:val="both"/>
      </w:pPr>
      <w:r w:rsidRPr="007B4597">
        <w:t xml:space="preserve">Analysis of Flow cytometry data was performed using the </w:t>
      </w:r>
      <w:proofErr w:type="spellStart"/>
      <w:r w:rsidRPr="007B4597">
        <w:t>FlowJo</w:t>
      </w:r>
      <w:proofErr w:type="spellEnd"/>
      <w:r w:rsidRPr="007B4597">
        <w:t xml:space="preserve"> software (BD Biosciences). </w:t>
      </w:r>
    </w:p>
    <w:p w14:paraId="7C703C5E" w14:textId="77777777" w:rsidR="003325D5" w:rsidRPr="007B4597" w:rsidRDefault="003325D5" w:rsidP="00B177A1">
      <w:pPr>
        <w:pStyle w:val="berschrift3"/>
      </w:pPr>
      <w:r w:rsidRPr="007B4597">
        <w:t>Purity check &amp; quality control of NK cells</w:t>
      </w:r>
    </w:p>
    <w:p w14:paraId="78C8D589" w14:textId="25AE7F54" w:rsidR="003325D5" w:rsidRPr="007B4597" w:rsidRDefault="003325D5" w:rsidP="00E77D72">
      <w:pPr>
        <w:jc w:val="both"/>
        <w:rPr>
          <w:highlight w:val="red"/>
        </w:rPr>
      </w:pPr>
      <w:r w:rsidRPr="007B4597">
        <w:t>The purity</w:t>
      </w:r>
      <w:r w:rsidR="007B533D">
        <w:t xml:space="preserve"> and phenotype</w:t>
      </w:r>
      <w:r w:rsidRPr="007B4597">
        <w:t xml:space="preserve"> of </w:t>
      </w:r>
      <w:r w:rsidR="00C66758">
        <w:t xml:space="preserve">(CAR-) </w:t>
      </w:r>
      <w:r w:rsidRPr="007B4597">
        <w:t xml:space="preserve">NK cells after </w:t>
      </w:r>
      <w:r w:rsidR="007A3EBD">
        <w:t xml:space="preserve">manual- and </w:t>
      </w:r>
      <w:proofErr w:type="spellStart"/>
      <w:r w:rsidR="007A3EBD">
        <w:t>CliniMACS</w:t>
      </w:r>
      <w:proofErr w:type="spellEnd"/>
      <w:r w:rsidR="007A3EBD">
        <w:t xml:space="preserve"> Prodigy production</w:t>
      </w:r>
      <w:r w:rsidRPr="007B4597">
        <w:t xml:space="preserve"> </w:t>
      </w:r>
      <w:r w:rsidR="007A3EBD">
        <w:t>were</w:t>
      </w:r>
      <w:r w:rsidRPr="007B4597">
        <w:t xml:space="preserve"> </w:t>
      </w:r>
      <w:r w:rsidR="007B533D">
        <w:t>assessed</w:t>
      </w:r>
      <w:r w:rsidR="00C66758">
        <w:t xml:space="preserve"> biweekly a</w:t>
      </w:r>
      <w:r w:rsidRPr="007B4597">
        <w:t>fter transduction</w:t>
      </w:r>
      <w:r w:rsidR="00C66758">
        <w:t xml:space="preserve">. </w:t>
      </w:r>
      <w:r w:rsidRPr="007B4597">
        <w:t xml:space="preserve">T cell </w:t>
      </w:r>
      <w:r w:rsidRPr="00702D4C">
        <w:t>contamination (</w:t>
      </w:r>
      <w:proofErr w:type="spellStart"/>
      <w:r w:rsidR="00B05139" w:rsidRPr="00702D4C">
        <w:t>PerCP</w:t>
      </w:r>
      <w:proofErr w:type="spellEnd"/>
      <w:r w:rsidR="00B05139" w:rsidRPr="00702D4C">
        <w:t>, UCHT1</w:t>
      </w:r>
      <w:r w:rsidR="00702D4C" w:rsidRPr="00702D4C">
        <w:t xml:space="preserve">, </w:t>
      </w:r>
      <w:proofErr w:type="spellStart"/>
      <w:r w:rsidR="00702D4C" w:rsidRPr="00702D4C">
        <w:t>Biolegend</w:t>
      </w:r>
      <w:proofErr w:type="spellEnd"/>
      <w:r w:rsidRPr="00702D4C">
        <w:t>), CD16 (</w:t>
      </w:r>
      <w:r w:rsidR="00B05139" w:rsidRPr="00702D4C">
        <w:t>BUV395, 3G8</w:t>
      </w:r>
      <w:r w:rsidR="00702D4C" w:rsidRPr="00702D4C">
        <w:t>, BD Horizon</w:t>
      </w:r>
      <w:r w:rsidRPr="00702D4C">
        <w:t>), CD56 (</w:t>
      </w:r>
      <w:r w:rsidR="00B05139" w:rsidRPr="00702D4C">
        <w:t>BV786, NCAM16.2</w:t>
      </w:r>
      <w:r w:rsidR="00702D4C" w:rsidRPr="00702D4C">
        <w:t>, BD Horizon</w:t>
      </w:r>
      <w:r w:rsidRPr="00702D4C">
        <w:t>) and</w:t>
      </w:r>
      <w:r w:rsidRPr="007B4597">
        <w:t xml:space="preserve"> CAR expression (CD33-/CD123-Biotin detection reagent, </w:t>
      </w:r>
      <w:proofErr w:type="spellStart"/>
      <w:r w:rsidRPr="007B4597">
        <w:t>Miltenyi</w:t>
      </w:r>
      <w:proofErr w:type="spellEnd"/>
      <w:r w:rsidRPr="007B4597">
        <w:t xml:space="preserve"> Biotec) combined with Biotin (PE, REA746 | Bio3-18E7, </w:t>
      </w:r>
      <w:proofErr w:type="spellStart"/>
      <w:r w:rsidRPr="007B4597">
        <w:t>Miltenyi</w:t>
      </w:r>
      <w:proofErr w:type="spellEnd"/>
      <w:r w:rsidRPr="007B4597">
        <w:t xml:space="preserve"> Biotec),</w:t>
      </w:r>
      <w:r w:rsidR="00B970B9">
        <w:t xml:space="preserve"> were </w:t>
      </w:r>
      <w:r w:rsidR="007B533D">
        <w:t>measured</w:t>
      </w:r>
      <w:r w:rsidRPr="007B4597">
        <w:t xml:space="preserve"> by using a BD </w:t>
      </w:r>
      <w:proofErr w:type="spellStart"/>
      <w:r w:rsidRPr="007B4597">
        <w:t>FACSCelesta</w:t>
      </w:r>
      <w:proofErr w:type="spellEnd"/>
      <w:r w:rsidRPr="007B4597">
        <w:t xml:space="preserve"> (BD Biosciences).</w:t>
      </w:r>
    </w:p>
    <w:p w14:paraId="4BB4DE7B" w14:textId="77777777" w:rsidR="003325D5" w:rsidRPr="007B4597" w:rsidRDefault="003325D5" w:rsidP="00E77D72">
      <w:pPr>
        <w:jc w:val="both"/>
      </w:pPr>
      <w:r w:rsidRPr="007B4597">
        <w:t xml:space="preserve">As part of the quality control after transport, large-scale CAR-NK cells were checked for Viability (7-AAD, Viability-dye, Beckman Coulter), CAR-, CD69- (BV650, FN50, BD Horizon), CD57-(FITC, NC1, Beckman Coulter) and NKG2A- (APC, Z199, Beckman Coulter) expression.  </w:t>
      </w:r>
    </w:p>
    <w:p w14:paraId="74C7FC4E" w14:textId="77777777" w:rsidR="003325D5" w:rsidRPr="007B4597" w:rsidRDefault="003325D5" w:rsidP="00B177A1">
      <w:pPr>
        <w:pStyle w:val="berschrift3"/>
      </w:pPr>
      <w:r w:rsidRPr="007B4597">
        <w:t>NK and tumor cells in PDX model</w:t>
      </w:r>
    </w:p>
    <w:p w14:paraId="3727448E" w14:textId="23189C8C" w:rsidR="003325D5" w:rsidRPr="007B4597" w:rsidRDefault="003325D5" w:rsidP="00E77D72">
      <w:pPr>
        <w:jc w:val="both"/>
      </w:pPr>
      <w:r w:rsidRPr="007B4597">
        <w:t xml:space="preserve">For analysis of residual tumor and NK cells in NSG mice, Fluorochrome-conjugated antibodies specific for human CD123 (REA918 | 6H6, </w:t>
      </w:r>
      <w:proofErr w:type="spellStart"/>
      <w:r w:rsidRPr="007B4597">
        <w:t>Miltenyi</w:t>
      </w:r>
      <w:proofErr w:type="spellEnd"/>
      <w:r w:rsidRPr="007B4597">
        <w:t xml:space="preserve"> Biotec), CD33 (WM53, BD Horizon), CD45 (2D1, </w:t>
      </w:r>
      <w:proofErr w:type="spellStart"/>
      <w:r w:rsidRPr="007B4597">
        <w:t>Bioloegend</w:t>
      </w:r>
      <w:proofErr w:type="spellEnd"/>
      <w:r w:rsidRPr="007B4597">
        <w:t xml:space="preserve">), and CD56 (NCAM16.2, BD Horizon), as well as mouse CD45 (A20, </w:t>
      </w:r>
      <w:proofErr w:type="spellStart"/>
      <w:r w:rsidRPr="007B4597">
        <w:t>Biolegend</w:t>
      </w:r>
      <w:proofErr w:type="spellEnd"/>
      <w:r w:rsidRPr="007B4597">
        <w:t xml:space="preserve">), were used. Cell viability was assessed using the LIVE/DEAD Fixable Aqua Dead Cell Stain (Invitrogen). Data acquisition was conducted on a BD </w:t>
      </w:r>
      <w:proofErr w:type="spellStart"/>
      <w:r w:rsidRPr="007B4597">
        <w:t>LSRFortessa</w:t>
      </w:r>
      <w:proofErr w:type="spellEnd"/>
      <w:r w:rsidRPr="007B4597">
        <w:t xml:space="preserve"> flow cytometer (BD Biosciences). Appropriate gating strategies were applied to distinguish human leukemic and immune cell populations from mouse background cells, based on human CD45 and mouse CD45 expression </w:t>
      </w:r>
      <w:r w:rsidRPr="007B533D">
        <w:t>(</w:t>
      </w:r>
      <w:r w:rsidRPr="008C53F8">
        <w:rPr>
          <w:b/>
          <w:bCs/>
        </w:rPr>
        <w:t>S</w:t>
      </w:r>
      <w:r w:rsidR="007B533D" w:rsidRPr="008C53F8">
        <w:rPr>
          <w:b/>
          <w:bCs/>
        </w:rPr>
        <w:t>3A</w:t>
      </w:r>
      <w:r w:rsidRPr="007B4597">
        <w:t>).</w:t>
      </w:r>
    </w:p>
    <w:p w14:paraId="787DDE1D" w14:textId="0CFDA898" w:rsidR="003325D5" w:rsidRPr="007B4597" w:rsidRDefault="003325D5" w:rsidP="00B177A1">
      <w:pPr>
        <w:pStyle w:val="berschrift3"/>
      </w:pPr>
      <w:r w:rsidRPr="007B4597">
        <w:t>Tumor marker expression on OCI-AML2</w:t>
      </w:r>
      <w:r w:rsidR="008C53F8">
        <w:rPr>
          <w:vertAlign w:val="superscript"/>
        </w:rPr>
        <w:t>(CD123+)</w:t>
      </w:r>
      <w:r w:rsidRPr="007B4597">
        <w:t xml:space="preserve"> and primary AML cells</w:t>
      </w:r>
    </w:p>
    <w:p w14:paraId="0FBEF945" w14:textId="07BD1C70" w:rsidR="003325D5" w:rsidRPr="007B4597" w:rsidRDefault="008C53F8" w:rsidP="00E77D72">
      <w:pPr>
        <w:jc w:val="both"/>
      </w:pPr>
      <w:r>
        <w:t>Target</w:t>
      </w:r>
      <w:r w:rsidR="003325D5" w:rsidRPr="007B4597">
        <w:t xml:space="preserve"> expression on AML cell lines as well as primary AML and NK cells </w:t>
      </w:r>
      <w:r>
        <w:t>was</w:t>
      </w:r>
      <w:r w:rsidR="003325D5" w:rsidRPr="007B4597">
        <w:t xml:space="preserve"> analyzed by flow cytometry using CD33 (</w:t>
      </w:r>
      <w:r w:rsidR="00FD47D3">
        <w:t xml:space="preserve">BV421, </w:t>
      </w:r>
      <w:r w:rsidR="003325D5" w:rsidRPr="007B4597">
        <w:t>WM53, BD Bioscience) and CD123</w:t>
      </w:r>
      <w:r w:rsidR="00FD47D3">
        <w:t xml:space="preserve"> </w:t>
      </w:r>
      <w:r w:rsidR="003325D5" w:rsidRPr="007B4597">
        <w:t>(</w:t>
      </w:r>
      <w:r w:rsidR="00FD47D3">
        <w:t xml:space="preserve">BV421, </w:t>
      </w:r>
      <w:r w:rsidR="003325D5" w:rsidRPr="007B4597">
        <w:t xml:space="preserve">9F5, BD </w:t>
      </w:r>
      <w:r w:rsidR="00FD47D3">
        <w:t>Horizon</w:t>
      </w:r>
      <w:r w:rsidR="003325D5" w:rsidRPr="007B4597">
        <w:t>).</w:t>
      </w:r>
    </w:p>
    <w:p w14:paraId="125F0380" w14:textId="605AC769" w:rsidR="00836B39" w:rsidRPr="00323455" w:rsidRDefault="00836B39" w:rsidP="00B177A1">
      <w:pPr>
        <w:pStyle w:val="berschrift3"/>
      </w:pPr>
      <w:r w:rsidRPr="00323455">
        <w:t xml:space="preserve">Analysis of tumor load in bone marrow </w:t>
      </w:r>
      <w:r w:rsidR="00806259">
        <w:t>of xenograft model mice</w:t>
      </w:r>
    </w:p>
    <w:p w14:paraId="64270869" w14:textId="3CDAECB8" w:rsidR="00111F79" w:rsidRPr="007B4597" w:rsidRDefault="00836B39" w:rsidP="00B36944">
      <w:pPr>
        <w:jc w:val="both"/>
      </w:pPr>
      <w:r w:rsidRPr="00361AAD">
        <w:t>Tumor load in the bone marrow was analyzed on day 21 post tumor cell injection by using full spectrum flow cytometry. Bone marrow cells were isolated from the femur by flushing with MACS Buffer (DPBS (-Ca/-Mg), 0.5 mM EDTA, BSA 0.5%) and disaggregated through 100 µm strainer. Red blood cells were lysed by adding 2 mL ACK lysis buffer (0.15 M NH</w:t>
      </w:r>
      <w:r w:rsidRPr="009B1DB6">
        <w:rPr>
          <w:vertAlign w:val="subscript"/>
        </w:rPr>
        <w:t>4</w:t>
      </w:r>
      <w:r w:rsidRPr="00361AAD">
        <w:t>C</w:t>
      </w:r>
      <w:r w:rsidR="009B1DB6">
        <w:t>l</w:t>
      </w:r>
      <w:r w:rsidRPr="00361AAD">
        <w:t>, 1 mM KHCO</w:t>
      </w:r>
      <w:r w:rsidRPr="007D3F96">
        <w:rPr>
          <w:vertAlign w:val="subscript"/>
        </w:rPr>
        <w:t>3</w:t>
      </w:r>
      <w:r w:rsidRPr="00361AAD">
        <w:t xml:space="preserve">, 0.1 mM Na2 EDTA, pH 7.2-7.4) for 5-10 min at RT. Cells were washed in 5 mL MACS Buffer and adjusted to a final concentration of 80,000 cells/µL for staining. Cells were then stained </w:t>
      </w:r>
      <w:r w:rsidR="00BF54C8" w:rsidRPr="00361AAD">
        <w:t xml:space="preserve">with the </w:t>
      </w:r>
      <w:r w:rsidR="00361AAD">
        <w:t>anti</w:t>
      </w:r>
      <w:r w:rsidR="00BF54C8" w:rsidRPr="00361AAD">
        <w:t>bodies</w:t>
      </w:r>
      <w:r w:rsidR="00361AAD">
        <w:t xml:space="preserve"> in </w:t>
      </w:r>
      <w:r w:rsidR="00361AAD" w:rsidRPr="00FA0F0D">
        <w:rPr>
          <w:b/>
          <w:bCs/>
        </w:rPr>
        <w:t xml:space="preserve">table </w:t>
      </w:r>
      <w:r w:rsidR="00B36944">
        <w:rPr>
          <w:b/>
          <w:bCs/>
        </w:rPr>
        <w:t>S</w:t>
      </w:r>
      <w:r w:rsidR="00041EA0">
        <w:rPr>
          <w:b/>
          <w:bCs/>
        </w:rPr>
        <w:t>7</w:t>
      </w:r>
      <w:r w:rsidR="00361AAD">
        <w:t xml:space="preserve"> for</w:t>
      </w:r>
      <w:r w:rsidR="00BF54C8" w:rsidRPr="00361AAD">
        <w:t xml:space="preserve"> </w:t>
      </w:r>
      <w:r w:rsidR="00971D9A" w:rsidRPr="00361AAD">
        <w:rPr>
          <w:rFonts w:cstheme="majorBidi"/>
          <w:color w:val="000000" w:themeColor="text1"/>
        </w:rPr>
        <w:t xml:space="preserve">20 minutes at </w:t>
      </w:r>
      <w:r w:rsidR="00971D9A" w:rsidRPr="00361AAD">
        <w:rPr>
          <w:rFonts w:cs="Times New Roman"/>
        </w:rPr>
        <w:t>4</w:t>
      </w:r>
      <w:r w:rsidR="00971D9A" w:rsidRPr="00361AAD">
        <w:rPr>
          <w:rFonts w:cs="Times New Roman"/>
          <w:vertAlign w:val="superscript"/>
        </w:rPr>
        <w:t>0</w:t>
      </w:r>
      <w:r w:rsidR="00971D9A" w:rsidRPr="00361AAD">
        <w:rPr>
          <w:rFonts w:cs="Times New Roman"/>
        </w:rPr>
        <w:t xml:space="preserve">C in the dark. </w:t>
      </w:r>
      <w:r w:rsidR="00971D9A" w:rsidRPr="00361AAD">
        <w:rPr>
          <w:rFonts w:cs="Times New Roman"/>
        </w:rPr>
        <w:lastRenderedPageBreak/>
        <w:t>Samples were washed with 1-2 mL MACS Buffer</w:t>
      </w:r>
      <w:r w:rsidR="00CF4BC5">
        <w:rPr>
          <w:rFonts w:cs="Times New Roman"/>
        </w:rPr>
        <w:t xml:space="preserve"> and</w:t>
      </w:r>
      <w:r w:rsidR="00971D9A" w:rsidRPr="00361AAD">
        <w:rPr>
          <w:rFonts w:cs="Times New Roman"/>
        </w:rPr>
        <w:t xml:space="preserve"> fixed with 4% PFA in PBS</w:t>
      </w:r>
      <w:r w:rsidR="00CF4BC5">
        <w:rPr>
          <w:rFonts w:cs="Times New Roman"/>
        </w:rPr>
        <w:t xml:space="preserve"> </w:t>
      </w:r>
      <w:r w:rsidR="00971D9A" w:rsidRPr="00361AAD">
        <w:rPr>
          <w:rFonts w:cs="Times New Roman"/>
        </w:rPr>
        <w:t>for 10 min at 4</w:t>
      </w:r>
      <w:r w:rsidR="00971D9A" w:rsidRPr="00361AAD">
        <w:rPr>
          <w:rFonts w:cs="Times New Roman"/>
          <w:vertAlign w:val="superscript"/>
        </w:rPr>
        <w:t>0</w:t>
      </w:r>
      <w:r w:rsidR="00971D9A" w:rsidRPr="00361AAD">
        <w:rPr>
          <w:rFonts w:cs="Times New Roman"/>
        </w:rPr>
        <w:t xml:space="preserve">C. </w:t>
      </w:r>
      <w:r w:rsidR="00CF4BC5" w:rsidRPr="007B4597">
        <w:t xml:space="preserve">Data acquisition was conducted on a </w:t>
      </w:r>
      <w:r w:rsidR="00971D9A" w:rsidRPr="00361AAD">
        <w:rPr>
          <w:rFonts w:cs="Times New Roman"/>
        </w:rPr>
        <w:t xml:space="preserve">Laser </w:t>
      </w:r>
      <w:proofErr w:type="spellStart"/>
      <w:r w:rsidR="00971D9A" w:rsidRPr="00361AAD">
        <w:rPr>
          <w:rFonts w:cs="Times New Roman"/>
        </w:rPr>
        <w:t>Cytek</w:t>
      </w:r>
      <w:proofErr w:type="spellEnd"/>
      <w:r w:rsidR="00971D9A" w:rsidRPr="00361AAD">
        <w:rPr>
          <w:rFonts w:cs="Times New Roman"/>
        </w:rPr>
        <w:t xml:space="preserve"> Aurora (</w:t>
      </w:r>
      <w:proofErr w:type="spellStart"/>
      <w:r w:rsidR="00971D9A" w:rsidRPr="00361AAD">
        <w:rPr>
          <w:rFonts w:cs="Times New Roman"/>
        </w:rPr>
        <w:t>Cytek</w:t>
      </w:r>
      <w:proofErr w:type="spellEnd"/>
      <w:r w:rsidR="00971D9A" w:rsidRPr="00361AAD">
        <w:rPr>
          <w:rFonts w:cs="Times New Roman"/>
        </w:rPr>
        <w:t>® Biosciences).</w:t>
      </w:r>
    </w:p>
    <w:p w14:paraId="05D99345" w14:textId="77777777" w:rsidR="003325D5" w:rsidRPr="007B4597" w:rsidRDefault="003325D5" w:rsidP="00323455">
      <w:pPr>
        <w:pStyle w:val="berschrift2"/>
      </w:pPr>
      <w:r w:rsidRPr="007B4597">
        <w:t>Primary AML samples for in vitro and in vivo studies</w:t>
      </w:r>
    </w:p>
    <w:p w14:paraId="06F37225" w14:textId="7F3C30DE" w:rsidR="003325D5" w:rsidRPr="007B4597" w:rsidRDefault="003325D5" w:rsidP="00BC21D1">
      <w:pPr>
        <w:jc w:val="both"/>
      </w:pPr>
      <w:r w:rsidRPr="007B4597">
        <w:t xml:space="preserve">Frozen primary AML cells from patient F1-F3, used for </w:t>
      </w:r>
      <w:r w:rsidRPr="007B4597">
        <w:rPr>
          <w:i/>
          <w:iCs/>
        </w:rPr>
        <w:t>in vitro</w:t>
      </w:r>
      <w:r w:rsidRPr="007B4597">
        <w:t xml:space="preserve"> analysis, were thawed and incubated at 37°C in IMDM (L-</w:t>
      </w:r>
      <w:proofErr w:type="gramStart"/>
      <w:r w:rsidRPr="007B4597">
        <w:t>Glut./</w:t>
      </w:r>
      <w:proofErr w:type="gramEnd"/>
      <w:r w:rsidRPr="007B4597">
        <w:t>HEPES+), supplemented with 20% FCS (</w:t>
      </w:r>
      <w:proofErr w:type="spellStart"/>
      <w:r w:rsidRPr="007B4597">
        <w:t>Thermo</w:t>
      </w:r>
      <w:proofErr w:type="spellEnd"/>
      <w:r w:rsidRPr="007B4597">
        <w:t xml:space="preserve"> Fisher Scientific) and 1% Pen/Strep (</w:t>
      </w:r>
      <w:proofErr w:type="spellStart"/>
      <w:r w:rsidRPr="007B4597">
        <w:t>Thermo</w:t>
      </w:r>
      <w:proofErr w:type="spellEnd"/>
      <w:r w:rsidRPr="007B4597">
        <w:t xml:space="preserve"> Fisher Scientific) with 100</w:t>
      </w:r>
      <w:r w:rsidRPr="007B4597">
        <w:rPr>
          <w:rFonts w:ascii="Arial" w:hAnsi="Arial" w:cs="Arial"/>
        </w:rPr>
        <w:t> </w:t>
      </w:r>
      <w:r w:rsidRPr="007B4597">
        <w:rPr>
          <w:rFonts w:ascii="Aptos" w:hAnsi="Aptos" w:cs="Aptos"/>
        </w:rPr>
        <w:t>µ</w:t>
      </w:r>
      <w:r w:rsidRPr="007B4597">
        <w:t xml:space="preserve">g/ml </w:t>
      </w:r>
      <w:proofErr w:type="spellStart"/>
      <w:r w:rsidRPr="007B4597">
        <w:t>DNAse</w:t>
      </w:r>
      <w:proofErr w:type="spellEnd"/>
      <w:r w:rsidRPr="007B4597">
        <w:t xml:space="preserve"> I for 10 minutes. Cells were then cultured in IMDM (L-Glut./HEPES+) supplemented with 1% Pen/Strep (</w:t>
      </w:r>
      <w:proofErr w:type="spellStart"/>
      <w:r w:rsidRPr="007B4597">
        <w:t>Thermo</w:t>
      </w:r>
      <w:proofErr w:type="spellEnd"/>
      <w:r w:rsidRPr="007B4597">
        <w:t xml:space="preserve"> Fisher Scientific), 100 ng/mL stem cell factor (SCF, </w:t>
      </w:r>
      <w:proofErr w:type="spellStart"/>
      <w:r w:rsidRPr="007B4597">
        <w:t>Peprotech</w:t>
      </w:r>
      <w:proofErr w:type="spellEnd"/>
      <w:r w:rsidRPr="007B4597">
        <w:t>), 20ng/mL IL-3 (</w:t>
      </w:r>
      <w:proofErr w:type="spellStart"/>
      <w:r w:rsidRPr="007B4597">
        <w:t>Peprotech</w:t>
      </w:r>
      <w:proofErr w:type="spellEnd"/>
      <w:r w:rsidRPr="007B4597">
        <w:t>), 20 ng/mL IL-6 (</w:t>
      </w:r>
      <w:proofErr w:type="spellStart"/>
      <w:r w:rsidRPr="007B4597">
        <w:t>Peprotech</w:t>
      </w:r>
      <w:proofErr w:type="spellEnd"/>
      <w:r w:rsidRPr="007B4597">
        <w:t xml:space="preserve">), and 100 ng/mL FMS-like tyrosine kinase 3 ligand (FLT3L, </w:t>
      </w:r>
      <w:proofErr w:type="spellStart"/>
      <w:r w:rsidRPr="007B4597">
        <w:t>Peprotech</w:t>
      </w:r>
      <w:proofErr w:type="spellEnd"/>
      <w:r w:rsidRPr="007B4597">
        <w:t>), at a concentration of 2x10</w:t>
      </w:r>
      <w:r w:rsidRPr="007B4597">
        <w:rPr>
          <w:vertAlign w:val="superscript"/>
        </w:rPr>
        <w:t>6</w:t>
      </w:r>
      <w:r w:rsidRPr="007B4597">
        <w:t xml:space="preserve"> in a 24-well plate. </w:t>
      </w:r>
    </w:p>
    <w:p w14:paraId="65B4A122" w14:textId="32FB4F27" w:rsidR="003325D5" w:rsidRPr="007B4597" w:rsidRDefault="00E71C3D" w:rsidP="00E42AED">
      <w:pPr>
        <w:pStyle w:val="berschrift2"/>
      </w:pPr>
      <w:r>
        <w:t xml:space="preserve">Histological analysis of organs acquired from </w:t>
      </w:r>
      <w:r w:rsidR="003325D5" w:rsidRPr="007B4597">
        <w:t xml:space="preserve">PDX </w:t>
      </w:r>
      <w:r>
        <w:t>mouse m</w:t>
      </w:r>
      <w:r w:rsidR="003325D5" w:rsidRPr="007B4597">
        <w:t xml:space="preserve">odel </w:t>
      </w:r>
    </w:p>
    <w:p w14:paraId="47B54EF1" w14:textId="23050B10" w:rsidR="00836B39" w:rsidRPr="007B4597" w:rsidRDefault="00836B39" w:rsidP="00D32D2E">
      <w:pPr>
        <w:spacing w:line="276" w:lineRule="auto"/>
        <w:jc w:val="both"/>
      </w:pPr>
      <w:r w:rsidRPr="00836B39">
        <w:t xml:space="preserve">All tissues were fixed in 4% formalin and paraffin embedded. For histology 3-5 µm-thick sections were cut and stained with </w:t>
      </w:r>
      <w:proofErr w:type="spellStart"/>
      <w:r w:rsidRPr="00836B39">
        <w:t>haematoxylin</w:t>
      </w:r>
      <w:proofErr w:type="spellEnd"/>
      <w:r w:rsidRPr="00836B39">
        <w:t xml:space="preserve"> and eosin (H&amp;E). Immunohistochemistry was performed on an automated </w:t>
      </w:r>
      <w:proofErr w:type="spellStart"/>
      <w:r w:rsidRPr="00836B39">
        <w:t>immunostainer</w:t>
      </w:r>
      <w:proofErr w:type="spellEnd"/>
      <w:r w:rsidRPr="00836B39">
        <w:t xml:space="preserve"> (Ventana Discovery Ultra, Ventana Medical Systems, Inc.) according to the company’s protocols for open procedures. All samples were stained with antibodies </w:t>
      </w:r>
      <w:r w:rsidR="008C6B6E">
        <w:t xml:space="preserve">for </w:t>
      </w:r>
      <w:r w:rsidRPr="00836B39">
        <w:t>CD33 (</w:t>
      </w:r>
      <w:proofErr w:type="spellStart"/>
      <w:r w:rsidRPr="00836B39">
        <w:t>Novocastra</w:t>
      </w:r>
      <w:proofErr w:type="spellEnd"/>
      <w:r w:rsidRPr="00836B39">
        <w:t>)</w:t>
      </w:r>
      <w:r w:rsidR="004F7CA0">
        <w:t xml:space="preserve"> </w:t>
      </w:r>
      <w:r w:rsidRPr="00836B39">
        <w:t xml:space="preserve">and CD123 (BD Bioscience). Appropriate positive and negative controls were used to confirm the adequacy of the staining. The immune cell infiltration was scored </w:t>
      </w:r>
      <w:r w:rsidR="008C6B6E">
        <w:t xml:space="preserve">blindly </w:t>
      </w:r>
      <w:r w:rsidRPr="00836B39">
        <w:t xml:space="preserve">as </w:t>
      </w:r>
      <w:r w:rsidR="004F7CA0" w:rsidRPr="004F7CA0">
        <w:t>negative or minimal</w:t>
      </w:r>
      <w:r w:rsidR="004F7CA0">
        <w:t xml:space="preserve"> (0)</w:t>
      </w:r>
      <w:r w:rsidR="004F7CA0" w:rsidRPr="004F7CA0">
        <w:t>, low</w:t>
      </w:r>
      <w:r w:rsidR="004F7CA0">
        <w:t xml:space="preserve"> (1)</w:t>
      </w:r>
      <w:r w:rsidR="004F7CA0" w:rsidRPr="004F7CA0">
        <w:t>, mild</w:t>
      </w:r>
      <w:r w:rsidR="004F7CA0">
        <w:t xml:space="preserve"> (2)</w:t>
      </w:r>
      <w:r w:rsidR="004F7CA0" w:rsidRPr="004F7CA0">
        <w:t>, moderate</w:t>
      </w:r>
      <w:r w:rsidR="004F7CA0">
        <w:t xml:space="preserve"> (3)</w:t>
      </w:r>
      <w:r w:rsidR="004F7CA0" w:rsidRPr="004F7CA0">
        <w:t>, prominent</w:t>
      </w:r>
      <w:r w:rsidR="004F7CA0">
        <w:t xml:space="preserve"> (4)</w:t>
      </w:r>
      <w:r w:rsidRPr="00836B39">
        <w:t>. All samples were scanned with the Ventana DP200 (Roche, Basel, Switzerland) and processed with the Image Viewer MFC Application. Final image preparation was performed with Adobe Photoshop 2025.</w:t>
      </w:r>
    </w:p>
    <w:p w14:paraId="3FB71035" w14:textId="77777777" w:rsidR="003325D5" w:rsidRPr="007B4597" w:rsidRDefault="003325D5" w:rsidP="00E42AED">
      <w:pPr>
        <w:pStyle w:val="berschrift2"/>
      </w:pPr>
      <w:r w:rsidRPr="007B4597">
        <w:t>Chromium single-cell RNA-sequencing</w:t>
      </w:r>
    </w:p>
    <w:p w14:paraId="58600300" w14:textId="77777777" w:rsidR="009650BA" w:rsidRDefault="009650BA" w:rsidP="004F7CA0">
      <w:pPr>
        <w:jc w:val="both"/>
        <w:rPr>
          <w:b/>
        </w:rPr>
      </w:pPr>
      <w:r w:rsidRPr="00D85A7E">
        <w:t xml:space="preserve">After four hours of co-culture of (CAR-) NK cells with OCI-AML2CD123+ at an </w:t>
      </w:r>
      <w:proofErr w:type="gramStart"/>
      <w:r w:rsidRPr="00D85A7E">
        <w:t>E:T</w:t>
      </w:r>
      <w:proofErr w:type="gramEnd"/>
      <w:r w:rsidRPr="00D85A7E">
        <w:t xml:space="preserve"> of 1:1, cells were fixed with the GEM-X Flex Gene Fixation kit (10x Genomics, Pleasanton, California). </w:t>
      </w:r>
    </w:p>
    <w:p w14:paraId="5CB236BB" w14:textId="6028542B" w:rsidR="009650BA" w:rsidRPr="00FF64F3" w:rsidRDefault="009650BA" w:rsidP="004F7CA0">
      <w:pPr>
        <w:jc w:val="both"/>
      </w:pPr>
      <w:r w:rsidRPr="00236E4F">
        <w:t>Single-cell analyses were performed using the GEM-x Flex Gene Expression Reagent Kit</w:t>
      </w:r>
      <w:r>
        <w:t xml:space="preserve"> and the Chromium </w:t>
      </w:r>
      <w:proofErr w:type="spellStart"/>
      <w:r>
        <w:t>controler</w:t>
      </w:r>
      <w:proofErr w:type="spellEnd"/>
      <w:r w:rsidRPr="00236E4F">
        <w:t xml:space="preserve"> (10x Genomics</w:t>
      </w:r>
      <w:r>
        <w:t>,</w:t>
      </w:r>
      <w:r w:rsidRPr="00474B0C">
        <w:t xml:space="preserve"> </w:t>
      </w:r>
      <w:r w:rsidRPr="00D85A7E">
        <w:t>Pleasanton, California</w:t>
      </w:r>
      <w:r w:rsidRPr="00236E4F">
        <w:t>)</w:t>
      </w:r>
      <w:r>
        <w:t>.</w:t>
      </w:r>
      <w:r w:rsidRPr="00474B0C">
        <w:t xml:space="preserve"> Briefly, the cells </w:t>
      </w:r>
      <w:r>
        <w:t xml:space="preserve">were </w:t>
      </w:r>
      <w:r w:rsidRPr="00474B0C">
        <w:t xml:space="preserve">thawed and counted. </w:t>
      </w:r>
      <w:r>
        <w:t xml:space="preserve">Up to </w:t>
      </w:r>
      <w:r w:rsidRPr="00474B0C">
        <w:t xml:space="preserve">300,000 cells each were used for overnight hybridization (18 h) with the barcoded human WTA probe set. Custom probes, designed for the detection of the transduced CAR </w:t>
      </w:r>
      <w:proofErr w:type="gramStart"/>
      <w:r w:rsidRPr="00474B0C">
        <w:t>constructs</w:t>
      </w:r>
      <w:proofErr w:type="gramEnd"/>
      <w:r w:rsidRPr="00474B0C">
        <w:t xml:space="preserve"> were spiked in. Next day, the cells were washed, counted again, and an equal number of cells from each sample was combined into a single pool. Subsequently, </w:t>
      </w:r>
      <w:r>
        <w:t>up to 11000</w:t>
      </w:r>
      <w:r w:rsidRPr="00474B0C">
        <w:t xml:space="preserve"> cells per sample were used for cell partitioning using </w:t>
      </w:r>
      <w:proofErr w:type="gramStart"/>
      <w:r w:rsidRPr="00474B0C">
        <w:t>the Chromium</w:t>
      </w:r>
      <w:proofErr w:type="gramEnd"/>
      <w:r w:rsidRPr="00474B0C">
        <w:t xml:space="preserve">, followed by the preparation of the sequencing library. The created library was quantified (dsDNA HS Kit, </w:t>
      </w:r>
      <w:proofErr w:type="spellStart"/>
      <w:r w:rsidRPr="00474B0C">
        <w:t>ThermoFisher</w:t>
      </w:r>
      <w:proofErr w:type="spellEnd"/>
      <w:r w:rsidRPr="00474B0C">
        <w:t xml:space="preserve">) and the molarity was calculated. Sequencing was performed on a </w:t>
      </w:r>
      <w:proofErr w:type="spellStart"/>
      <w:r w:rsidRPr="00474B0C">
        <w:t>NextSeq</w:t>
      </w:r>
      <w:proofErr w:type="spellEnd"/>
      <w:r w:rsidRPr="00474B0C">
        <w:t xml:space="preserve"> 2000 instrument (Illumina</w:t>
      </w:r>
      <w:r>
        <w:t>, San Diego, California</w:t>
      </w:r>
      <w:r w:rsidRPr="00474B0C">
        <w:t>) using P</w:t>
      </w:r>
      <w:r>
        <w:t>3</w:t>
      </w:r>
      <w:r w:rsidRPr="00474B0C">
        <w:t xml:space="preserve"> XLEAP SBS reagent kits (100 cycles) with a 28-10-10-90 read setup. The target was a mean coverage of at least </w:t>
      </w:r>
      <w:r>
        <w:t>18</w:t>
      </w:r>
      <w:r w:rsidRPr="00474B0C">
        <w:t>,000 reads per cell.</w:t>
      </w:r>
      <w:r>
        <w:t xml:space="preserve"> </w:t>
      </w:r>
      <w:r w:rsidRPr="00474B0C">
        <w:t xml:space="preserve">The final molarity of the library pool on the sequencing flow cell was 650 </w:t>
      </w:r>
      <w:proofErr w:type="spellStart"/>
      <w:r w:rsidRPr="00474B0C">
        <w:t>pM</w:t>
      </w:r>
      <w:proofErr w:type="spellEnd"/>
      <w:r w:rsidRPr="00474B0C">
        <w:t xml:space="preserve"> including 5% </w:t>
      </w:r>
      <w:proofErr w:type="spellStart"/>
      <w:r w:rsidRPr="00474B0C">
        <w:t>PhiX</w:t>
      </w:r>
      <w:proofErr w:type="spellEnd"/>
      <w:r w:rsidRPr="00474B0C">
        <w:t xml:space="preserve"> library.</w:t>
      </w:r>
    </w:p>
    <w:p w14:paraId="4842AAB6" w14:textId="3D6E173C" w:rsidR="000C0C00" w:rsidRDefault="00D85A7E" w:rsidP="00E42AED">
      <w:pPr>
        <w:pStyle w:val="berschrift2"/>
      </w:pPr>
      <w:r w:rsidRPr="000B70CE">
        <w:lastRenderedPageBreak/>
        <w:t>Single-cell transcriptomics data analysis</w:t>
      </w:r>
    </w:p>
    <w:p w14:paraId="6CB7B68A" w14:textId="5FEE72FB" w:rsidR="001E11CC" w:rsidRPr="00B177A1" w:rsidRDefault="001E11CC" w:rsidP="00B177A1">
      <w:pPr>
        <w:pStyle w:val="berschrift3"/>
      </w:pPr>
      <w:r w:rsidRPr="00B177A1">
        <w:t xml:space="preserve">Preprocessing and </w:t>
      </w:r>
      <w:r w:rsidR="001D1BBD">
        <w:t xml:space="preserve">cell </w:t>
      </w:r>
      <w:r w:rsidRPr="00B177A1">
        <w:t>annotation</w:t>
      </w:r>
    </w:p>
    <w:p w14:paraId="59415B7E" w14:textId="77777777" w:rsidR="000E40F5" w:rsidRPr="0089339D" w:rsidRDefault="000E40F5" w:rsidP="000E40F5">
      <w:pPr>
        <w:keepNext/>
        <w:keepLines/>
        <w:spacing w:before="240" w:after="240" w:line="276" w:lineRule="auto"/>
        <w:jc w:val="both"/>
        <w:rPr>
          <w:rFonts w:eastAsia="Calibri" w:cs="Calibri"/>
        </w:rPr>
      </w:pPr>
      <w:r w:rsidRPr="0089339D">
        <w:rPr>
          <w:rFonts w:eastAsia="Calibri" w:cs="Calibri"/>
        </w:rPr>
        <w:t xml:space="preserve">Single-cell gene expression data were processed using </w:t>
      </w:r>
      <w:proofErr w:type="spellStart"/>
      <w:r w:rsidRPr="0089339D">
        <w:rPr>
          <w:rFonts w:eastAsia="Calibri" w:cs="Calibri"/>
        </w:rPr>
        <w:t>CellRanger</w:t>
      </w:r>
      <w:proofErr w:type="spellEnd"/>
      <w:r w:rsidRPr="0089339D">
        <w:rPr>
          <w:rFonts w:eastAsia="Calibri" w:cs="Calibri"/>
        </w:rPr>
        <w:t xml:space="preserve"> v9.0.1 with the </w:t>
      </w:r>
      <w:proofErr w:type="spellStart"/>
      <w:r w:rsidRPr="0089339D">
        <w:rPr>
          <w:rFonts w:eastAsia="Consolas" w:cs="Consolas"/>
        </w:rPr>
        <w:t>cellranger</w:t>
      </w:r>
      <w:proofErr w:type="spellEnd"/>
      <w:r w:rsidRPr="0089339D">
        <w:rPr>
          <w:rFonts w:eastAsia="Consolas" w:cs="Consolas"/>
        </w:rPr>
        <w:t xml:space="preserve"> multi</w:t>
      </w:r>
      <w:r w:rsidRPr="0089339D">
        <w:rPr>
          <w:rFonts w:eastAsia="Calibri" w:cs="Calibri"/>
        </w:rPr>
        <w:t xml:space="preserve"> pipeline</w:t>
      </w:r>
      <w:r>
        <w:rPr>
          <w:rFonts w:eastAsia="Calibri" w:cs="Calibri"/>
        </w:rPr>
        <w:fldChar w:fldCharType="begin" w:fldLock="1"/>
      </w:r>
      <w:r>
        <w:rPr>
          <w:rFonts w:eastAsia="Calibri" w:cs="Calibri"/>
        </w:rPr>
        <w:instrText xml:space="preserve">ADDIN CSL_CITATION {"citationItems":[{"id":"ITEM-1","itemData":{"DOI":"10.1038/ncomms14049","ISSN":"2041-1723","PMID":"28091601","abstract":"Characterizing the transcriptome of individual cells is fundamental to understanding complex biological systems. We describe a droplet-based system that enables 3′ mRNA counting of tens of thousands of single cells per sample. Cell encapsulation, of up to 8 samples at a time, takes place in </w:instrText>
      </w:r>
      <w:r>
        <w:rPr>
          <w:rFonts w:ascii="Cambria Math" w:eastAsia="Calibri" w:hAnsi="Cambria Math" w:cs="Cambria Math"/>
        </w:rPr>
        <w:instrText>∼</w:instrText>
      </w:r>
      <w:r>
        <w:rPr>
          <w:rFonts w:eastAsia="Calibri" w:cs="Calibri"/>
        </w:rPr>
        <w:instrText>6</w:instrText>
      </w:r>
      <w:r>
        <w:rPr>
          <w:rFonts w:ascii="Arial" w:eastAsia="Calibri" w:hAnsi="Arial" w:cs="Arial"/>
        </w:rPr>
        <w:instrText> </w:instrText>
      </w:r>
      <w:r>
        <w:rPr>
          <w:rFonts w:eastAsia="Calibri" w:cs="Calibri"/>
        </w:rPr>
        <w:instrText xml:space="preserve">min, with </w:instrText>
      </w:r>
      <w:r>
        <w:rPr>
          <w:rFonts w:ascii="Cambria Math" w:eastAsia="Calibri" w:hAnsi="Cambria Math" w:cs="Cambria Math"/>
        </w:rPr>
        <w:instrText>∼</w:instrText>
      </w:r>
      <w:r>
        <w:rPr>
          <w:rFonts w:eastAsia="Calibri" w:cs="Calibri"/>
        </w:rPr>
        <w:instrText>50% cell capture efficiency. To demonstrate the system</w:instrText>
      </w:r>
      <w:r>
        <w:rPr>
          <w:rFonts w:ascii="Aptos" w:eastAsia="Calibri" w:hAnsi="Aptos" w:cs="Aptos"/>
        </w:rPr>
        <w:instrText>’</w:instrText>
      </w:r>
      <w:r>
        <w:rPr>
          <w:rFonts w:eastAsia="Calibri" w:cs="Calibri"/>
        </w:rPr>
        <w:instrText xml:space="preserve">s technical performance, we collected transcriptome data from </w:instrText>
      </w:r>
      <w:r>
        <w:rPr>
          <w:rFonts w:ascii="Cambria Math" w:eastAsia="Calibri" w:hAnsi="Cambria Math" w:cs="Cambria Math"/>
        </w:rPr>
        <w:instrText>∼</w:instrText>
      </w:r>
      <w:r>
        <w:rPr>
          <w:rFonts w:eastAsia="Calibri" w:cs="Calibri"/>
        </w:rPr>
        <w:instrText>250k single cells across 29 samples. We validated the sensitivity of the system and its ability to detect rare populations using cell lines and synthetic RNAs. We profiled 68k peripheral blood mononuclear cells to demonstrate the system</w:instrText>
      </w:r>
      <w:r>
        <w:rPr>
          <w:rFonts w:ascii="Aptos" w:eastAsia="Calibri" w:hAnsi="Aptos" w:cs="Aptos"/>
        </w:rPr>
        <w:instrText>’</w:instrText>
      </w:r>
      <w:r>
        <w:rPr>
          <w:rFonts w:eastAsia="Calibri" w:cs="Calibri"/>
        </w:rPr>
        <w:instrText>s ability to characterize large immune populations. Finally, we used sequence variation in the transcriptome data to determine host and donor chimerism at single-cell resolution from bone marrow mononuclear cells isolated from transplant patients. Single-cell gene expression analysis is challenging. This work describes a new droplet-based single cell RNA-seq platform capable of processing tens of thousands of cells across 8 independent samples in minutes, and demonstrates cellular subtypes and host–donor chimerism in transplant patients.","author":[{"dropping-particle":"","family":"Zheng","given":"Grace X.Y.","non-dropping-particle":"","parse-names":false,"suffix":""},{"dropping-particle":"","family":"Terry","given":"Jessica M.","non-dropping-particle":"","parse-names":false,"suffix":""},{"dropping-particle":"","family":"Belgrader","given":"Phillip","non-dropping-particle":"","parse-names":false,"suffix":""},{"dropping-particle":"","family":"Ryvkin","given":"Paul","non-dropping-particle":"","parse-names":false,"suffix":""},{"dropping-particle":"","family":"Bent","given":"Zachary W.","non-dropping-particle":"","parse-names":false,"suffix":""},{"dropping-particle":"","family":"Wilson","given":"Ryan","non-dropping-particle":"","parse-names":false,"suffix":""},{"dropping-particle":"","family":"Ziraldo","given":"Solongo B.","non-dropping-particle":"","parse-names":false,"suffix":""},{"dropping-particle":"","family":"Wheeler","given":"Tobias D.","non-dropping-particle":"","parse-names":false,"suffix":""},{"dropping-particle":"","family":"McDermott","given":"Geoff P.","non-dropping-particle":"","parse-names":false,"suffix":""},{"dropping-particle":"","family":"Zhu","given":"Junjie","non-dropping-particle":"","parse-names":false,"suffix":""},{"dropping-particle":"","family":"Gregory","given":"Mark T.","non-dropping-particle":"","parse-names":false,"suffix":""},{"dropping-particle":"","family":"Shuga","given":"Joe","non-dropping-particle":"","parse-names":false,"suffix":""},{"dropping-particle":"","family":"Montesclaros","given":"Luz","non-dropping-particle":"","parse-names":false,"suffix":""},{"dropping-particle":"","family":"Underwood","given":"Jason G.","non-dropping-particle":"","parse-names":false,"suffix":""},{"dropping-particle":"","family":"Masquelier","given":"Donald A.","non-dropping-particle":"","parse-names":false,"suffix":""},{"dropping-particle":"","family":"Nishimura","given":"Stefanie Y.","non-dropping-particle":"","parse-names":false,"suffix":""},{"dropping-particle":"","family":"Schnall-Levin","given":"Michael","non-dropping-particle":"","parse-names":false,"suffix":""},{"dropping-particle":"","family":"Wyatt","given":"Paul W.","non-dropping-particle":"","parse-names":false,"suffix":""},{"dropping-particle":"","family":"Hindson","given":"Christopher M.","non-dropping-particle":"","parse-names":false,"suffix":""},{"dropping-particle":"","family":"Bharadwaj","given":"Rajiv","non-dropping-particle":"","parse-names":false,"suffix":""},{"dropping-particle":"","family":"Wong","given":"Alexander","non-dropping-particle":"","parse-names":false,"suffix":""},{"dropping-particle":"","family":"Ness","given":"Kevin D.","non-dropping-particle":"","parse-names":false,"suffix":""},{"dropping-particle":"","family":"Beppu","given":"Lan W.","non-dropping-particle":"","parse-names":false,"suffix":""},{"dropping-particle":"","family":"Deeg","given":"H. Joachim","non-dropping-particle":"","parse-names":false,"suffix":""},{"dropping-particle":"","family":"McFarland","given":"Christopher","non-dropping-particle":"","parse-names":false,"suffix":""},{"dropping-particle":"","family":"Loeb","given":"Keith R.","non-dropping-particle":"","parse-names":false,"suffix":""},{"dropping-particle":"","family":"Valente","given":"William J.","non-dropping-particle":"","parse-names":false,"suffix":""},{"dropping-particle":"","family":"Ericson","given":"Nolan G.","non-dropping-particle":"","parse-names":false,"suffix":""},{"dropping-particle":"","family":"Stevens","given":"Emily A.","non-dropping-particle":"","parse-names":false,"suffix":""},{"dropping-particle":"","family":"Radich","given":"Jerald P.","non-dropping-particle":"","parse-names":false,"suffix":""},{"dropping-particle":"","family":"Mikkelsen","given":"Tarjei S.","non-dropping-particle":"","parse-names":false,"suffix":""},{"dropping-particle":"","family":"Hindson","given":"Benjamin J.","non-dropping-particle":"","parse-names":false,"suffix":""},{"dropping-particle":"","family":"Bielas","given":"Jason H.","non-dropping-particle":"","parse-names":false,"suffix":""}],"container-title":"Nature Communications 2017 8:1","id":"ITEM-1","issue":"1","issued":{"date-parts":[["2017","1","16"]]},"page":"14049-","publisher":"Nature Publishing Group","title":"Massively parallel digital transcriptional profiling of single cells","type":"article-journal","volume":"8"},"uris":["http://www.mendeley.com/documents/?uuid=362ef4c7-758d-3602-a617-9ca2621335b5"]}],"mendeley":{"formattedCitation":"&lt;sup&gt;1&lt;/sup&gt;","plainTextFormattedCitation":"1","previouslyFormattedCitation":"&lt;sup&gt;1&lt;/sup&gt;"},"properties":{"noteIndex":0},"schema":"https://github.com/citation-style-language/schema/raw/master/csl-citation.json"}</w:instrText>
      </w:r>
      <w:r>
        <w:rPr>
          <w:rFonts w:eastAsia="Calibri" w:cs="Calibri"/>
        </w:rPr>
        <w:fldChar w:fldCharType="separate"/>
      </w:r>
      <w:r w:rsidRPr="00B5090D">
        <w:rPr>
          <w:rFonts w:eastAsia="Calibri" w:cs="Calibri"/>
          <w:noProof/>
          <w:vertAlign w:val="superscript"/>
        </w:rPr>
        <w:t>1</w:t>
      </w:r>
      <w:r>
        <w:rPr>
          <w:rFonts w:eastAsia="Calibri" w:cs="Calibri"/>
        </w:rPr>
        <w:fldChar w:fldCharType="end"/>
      </w:r>
      <w:r w:rsidRPr="0089339D">
        <w:rPr>
          <w:rFonts w:eastAsia="Calibri" w:cs="Calibri"/>
        </w:rPr>
        <w:t>. Reads were aligned to the latest human reference genome provided by 10x Genomics (refdata-gex-GRCh38-2024-A). To enable detection of CAR positive cells, a custom probe set was created by adding three synthetic probes specific to each CAR construct (anti-CD33 and anti-CD123) to the standard Chromium Human Transcriptome Probe Set</w:t>
      </w:r>
      <w:r w:rsidRPr="0089339D">
        <w:rPr>
          <w:rFonts w:eastAsia="Calibri" w:cs="Calibri"/>
          <w:i/>
          <w:iCs/>
        </w:rPr>
        <w:t xml:space="preserve"> </w:t>
      </w:r>
      <w:r w:rsidRPr="0089339D">
        <w:rPr>
          <w:rFonts w:eastAsia="Calibri" w:cs="Calibri"/>
        </w:rPr>
        <w:t xml:space="preserve">v1.1.0 (GRCh38-2024-A). </w:t>
      </w:r>
      <w:r>
        <w:t>If not stated otherwise, all functions were used with default parameter settings.</w:t>
      </w:r>
    </w:p>
    <w:p w14:paraId="64BC1A1C" w14:textId="77777777" w:rsidR="000E40F5" w:rsidRPr="0089339D" w:rsidRDefault="000E40F5" w:rsidP="000E40F5">
      <w:pPr>
        <w:spacing w:before="240" w:after="240"/>
        <w:jc w:val="both"/>
        <w:rPr>
          <w:rFonts w:eastAsia="Calibri" w:cs="Calibri"/>
        </w:rPr>
      </w:pPr>
      <w:r w:rsidRPr="0089339D">
        <w:rPr>
          <w:rFonts w:eastAsia="Calibri" w:cs="Calibri"/>
        </w:rPr>
        <w:t xml:space="preserve">For the subsequent processing of raw counts, R v4.4.3 and Seurat v5.3.0 were used </w:t>
      </w:r>
      <w:r>
        <w:rPr>
          <w:rFonts w:eastAsia="Calibri" w:cs="Calibri"/>
        </w:rPr>
        <w:fldChar w:fldCharType="begin" w:fldLock="1"/>
      </w:r>
      <w:r>
        <w:rPr>
          <w:rFonts w:eastAsia="Calibri" w:cs="Calibri"/>
        </w:rPr>
        <w:instrText>ADDIN CSL_CITATION {"citationItems":[{"id":"ITEM-1","itemData":{"DOI":"10.1038/s41587-023-01767-y","ISSN":"1546-1696","PMID":"37231261","abstract":"Mapping single-cell sequencing profiles to comprehensive reference datasets provides a powerful alternative to unsupervised analysis. However, most reference datasets are constructed from single-cell RNA-sequencing data and cannot be used to annotate datasets that do not measure gene expression. Here we introduce ‘bridge integration’, a method to integrate single-cell datasets across modalities using a multiomic dataset as a molecular bridge. Each cell in the multiomic dataset constitutes an element in a ‘dictionary’, which is used to reconstruct unimodal datasets and transform them into a shared space. Our procedure accurately integrates transcriptomic data with independent single-cell measurements of chromatin accessibility, histone modifications, DNA methylation and protein levels. Moreover, we demonstrate how dictionary learning can be combined with sketching techniques to improve computational scalability and harmonize 8.6 million human immune cell profiles from sequencing and mass cytometry experiments. Our approach, implemented in version 5 of our Seurat toolkit ( http://www.satijalab.org/seurat ), broadens the utility of single-cell reference datasets and facilitates comparisons across diverse molecular modalities. Reference mapping is extended beyond scRNA-seq to single-cell epigenetic and proteomic data.","author":[{"dropping-particle":"","family":"Hao","given":"Yuhan","non-dropping-particle":"","parse-names":false,"suffix":""},{"dropping-particle":"","family":"Stuart","given":"Tim","non-dropping-particle":"","parse-names":false,"suffix":""},{"dropping-particle":"","family":"Kowalski","given":"Madeline H.","non-dropping-particle":"","parse-names":false,"suffix":""},{"dropping-particle":"","family":"Choudhary","given":"Saket","non-dropping-particle":"","parse-names":false,"suffix":""},{"dropping-particle":"","family":"Hoffman","given":"Paul","non-dropping-particle":"","parse-names":false,"suffix":""},{"dropping-particle":"","family":"Hartman","given":"Austin","non-dropping-particle":"","parse-names":false,"suffix":""},{"dropping-particle":"","family":"Srivastava","given":"Avi","non-dropping-particle":"","parse-names":false,"suffix":""},{"dropping-particle":"","family":"Molla","given":"Gesmira","non-dropping-particle":"","parse-names":false,"suffix":""},{"dropping-particle":"","family":"Madad","given":"Shaista","non-dropping-particle":"","parse-names":false,"suffix":""},{"dropping-particle":"","family":"Fernandez-Granda","given":"Carlos","non-dropping-particle":"","parse-names":false,"suffix":""},{"dropping-particle":"","family":"Satija","given":"Rahul","non-dropping-particle":"","parse-names":false,"suffix":""}],"container-title":"Nature Biotechnology 2023 42:2","id":"ITEM-1","issue":"2","issued":{"date-parts":[["2023","5","25"]]},"page":"293-304","publisher":"Nature Publishing Group","title":"Dictionary learning for integrative, multimodal and scalable single-cell analysis","type":"article-journal","volume":"42"},"uris":["http://www.mendeley.com/documents/?uuid=9479e8d7-e896-3dd6-b644-614b83dbef47"]}],"mendeley":{"formattedCitation":"&lt;sup&gt;2&lt;/sup&gt;","plainTextFormattedCitation":"2","previouslyFormattedCitation":"&lt;sup&gt;2&lt;/sup&gt;"},"properties":{"noteIndex":0},"schema":"https://github.com/citation-style-language/schema/raw/master/csl-citation.json"}</w:instrText>
      </w:r>
      <w:r>
        <w:rPr>
          <w:rFonts w:eastAsia="Calibri" w:cs="Calibri"/>
        </w:rPr>
        <w:fldChar w:fldCharType="separate"/>
      </w:r>
      <w:r w:rsidRPr="00B5090D">
        <w:rPr>
          <w:rFonts w:eastAsia="Calibri" w:cs="Calibri"/>
          <w:noProof/>
          <w:vertAlign w:val="superscript"/>
        </w:rPr>
        <w:t>2</w:t>
      </w:r>
      <w:r>
        <w:rPr>
          <w:rFonts w:eastAsia="Calibri" w:cs="Calibri"/>
        </w:rPr>
        <w:fldChar w:fldCharType="end"/>
      </w:r>
      <w:r w:rsidRPr="0089339D">
        <w:rPr>
          <w:rFonts w:eastAsia="Calibri" w:cs="Calibri"/>
        </w:rPr>
        <w:t xml:space="preserve">. </w:t>
      </w:r>
      <w:r w:rsidRPr="0089339D">
        <w:rPr>
          <w:rFonts w:eastAsia="Calibri" w:cs="Calibri"/>
          <w:color w:val="000000" w:themeColor="text1"/>
        </w:rPr>
        <w:t xml:space="preserve">Cell barcodes that met any of the following criteria were excluded: (1) fewer than 500 genes; (2) more than 7500 genes; (3) fewer than 1,000 UMIs; (4) more than 40,000 UMIs; or (5) mitochondrial transcripts fraction more than 15%; and (6) cell complexity less than 0.8. </w:t>
      </w:r>
      <w:r>
        <w:rPr>
          <w:rFonts w:eastAsia="Calibri" w:cs="Calibri"/>
          <w:color w:val="000000" w:themeColor="text1"/>
        </w:rPr>
        <w:t>Cell c</w:t>
      </w:r>
      <w:r w:rsidRPr="0089339D">
        <w:rPr>
          <w:rFonts w:eastAsia="Calibri" w:cs="Calibri"/>
          <w:color w:val="000000" w:themeColor="text1"/>
        </w:rPr>
        <w:t>omplexity was defined as follows: log10(</w:t>
      </w:r>
      <w:proofErr w:type="spellStart"/>
      <w:r w:rsidRPr="0089339D">
        <w:rPr>
          <w:rFonts w:eastAsia="Calibri" w:cs="Calibri"/>
          <w:color w:val="000000" w:themeColor="text1"/>
        </w:rPr>
        <w:t>nbr</w:t>
      </w:r>
      <w:proofErr w:type="spellEnd"/>
      <w:r w:rsidRPr="0089339D">
        <w:rPr>
          <w:rFonts w:eastAsia="Calibri" w:cs="Calibri"/>
          <w:color w:val="000000" w:themeColor="text1"/>
        </w:rPr>
        <w:t>. of present genes)/log10(</w:t>
      </w:r>
      <w:proofErr w:type="spellStart"/>
      <w:r w:rsidRPr="0089339D">
        <w:rPr>
          <w:rFonts w:eastAsia="Calibri" w:cs="Calibri"/>
          <w:color w:val="000000" w:themeColor="text1"/>
        </w:rPr>
        <w:t>nbr</w:t>
      </w:r>
      <w:proofErr w:type="spellEnd"/>
      <w:r w:rsidRPr="0089339D">
        <w:rPr>
          <w:rFonts w:eastAsia="Calibri" w:cs="Calibri"/>
          <w:color w:val="000000" w:themeColor="text1"/>
        </w:rPr>
        <w:t xml:space="preserve">. of UMIs). R packages </w:t>
      </w:r>
      <w:proofErr w:type="spellStart"/>
      <w:r w:rsidRPr="0089339D">
        <w:rPr>
          <w:rFonts w:eastAsia="Calibri" w:cs="Calibri"/>
          <w:color w:val="000000" w:themeColor="text1"/>
        </w:rPr>
        <w:t>scDblFinder</w:t>
      </w:r>
      <w:proofErr w:type="spellEnd"/>
      <w:r w:rsidRPr="0089339D">
        <w:rPr>
          <w:rFonts w:eastAsia="Calibri" w:cs="Calibri"/>
          <w:color w:val="000000" w:themeColor="text1"/>
        </w:rPr>
        <w:t xml:space="preserve"> v1.18.0</w:t>
      </w:r>
      <w:r>
        <w:rPr>
          <w:rFonts w:eastAsia="Calibri" w:cs="Calibri"/>
          <w:color w:val="000000" w:themeColor="text1"/>
        </w:rPr>
        <w:fldChar w:fldCharType="begin" w:fldLock="1"/>
      </w:r>
      <w:r>
        <w:rPr>
          <w:rFonts w:eastAsia="Calibri" w:cs="Calibri"/>
          <w:color w:val="000000" w:themeColor="text1"/>
        </w:rPr>
        <w:instrText>ADDIN CSL_CITATION {"citationItems":[{"id":"ITEM-1","itemData":{"DOI":"10.12688/F1000RESEARCH.73600.2","ISSN":"1759796X","PMID":"35814628","abstract":"Doublets are prevalent in single-cell sequencing data and can lead to artifactual findings. A number of strategies have therefore been proposed to detect them. Building on the strengths of existing approaches, we developed scDblFinder, a fast, flexible and accurate Bioconductor-based doublet detection method. Here we present the method, justify its design choices, demonstrate its performance on both single-cell RNA and accessibility (ATAC) sequencing data, and provide some observations on doublet formation, detection, and enrichment analysis. Even in complex datasets, scDblFinder can accurately identify most heterotypic doublets, and was already found by an independent benchmark to outcompete alternatives.","author":[{"dropping-particle":"","family":"Germain","given":"Pierre Luc","non-dropping-particle":"","parse-names":false,"suffix":""},{"dropping-particle":"","family":"Robinson","given":"Mark D.","non-dropping-particle":"","parse-names":false,"suffix":""},{"dropping-particle":"","family":"Lun","given":"Aaron","non-dropping-particle":"","parse-names":false,"suffix":""},{"dropping-particle":"","family":"Garcia Meixide","given":"Carlos","non-dropping-particle":"","parse-names":false,"suffix":""},{"dropping-particle":"","family":"Macnair","given":"Will","non-dropping-particle":"","parse-names":false,"suffix":""}],"container-title":"F1000Research","id":"ITEM-1","issued":{"date-parts":[["2022"]]},"page":"979","publisher":"F1000 Research Ltd","title":"Doublet identification in single-cell sequencing data using scDblFinder","type":"article-journal","volume":"10"},"uris":["http://www.mendeley.com/documents/?uuid=eedc5910-eb6a-3253-b1bf-a551e9d34b47"]}],"mendeley":{"formattedCitation":"&lt;sup&gt;3&lt;/sup&gt;","plainTextFormattedCitation":"3","previouslyFormattedCitation":"&lt;sup&gt;3&lt;/sup&gt;"},"properties":{"noteIndex":0},"schema":"https://github.com/citation-style-language/schema/raw/master/csl-citation.json"}</w:instrText>
      </w:r>
      <w:r>
        <w:rPr>
          <w:rFonts w:eastAsia="Calibri" w:cs="Calibri"/>
          <w:color w:val="000000" w:themeColor="text1"/>
        </w:rPr>
        <w:fldChar w:fldCharType="separate"/>
      </w:r>
      <w:r w:rsidRPr="00B5090D">
        <w:rPr>
          <w:rFonts w:eastAsia="Calibri" w:cs="Calibri"/>
          <w:noProof/>
          <w:color w:val="000000" w:themeColor="text1"/>
          <w:vertAlign w:val="superscript"/>
        </w:rPr>
        <w:t>3</w:t>
      </w:r>
      <w:r>
        <w:rPr>
          <w:rFonts w:eastAsia="Calibri" w:cs="Calibri"/>
          <w:color w:val="000000" w:themeColor="text1"/>
        </w:rPr>
        <w:fldChar w:fldCharType="end"/>
      </w:r>
      <w:r w:rsidRPr="0089339D">
        <w:rPr>
          <w:rFonts w:eastAsia="Calibri" w:cs="Calibri"/>
          <w:color w:val="000000" w:themeColor="text1"/>
        </w:rPr>
        <w:t xml:space="preserve">, </w:t>
      </w:r>
      <w:r w:rsidRPr="0089339D">
        <w:rPr>
          <w:rFonts w:eastAsia="Calibri" w:cs="Calibri"/>
          <w:color w:val="000000"/>
          <w:shd w:val="clear" w:color="auto" w:fill="FFFFFF"/>
        </w:rPr>
        <w:t xml:space="preserve">with </w:t>
      </w:r>
      <w:r w:rsidRPr="003B2A7A">
        <w:rPr>
          <w:rFonts w:eastAsia="Calibri" w:cs="Calibri"/>
          <w:color w:val="000000" w:themeColor="text1"/>
          <w:shd w:val="clear" w:color="auto" w:fill="FFFFFF"/>
        </w:rPr>
        <w:t xml:space="preserve">`dbr.sd = 1` </w:t>
      </w:r>
      <w:r w:rsidRPr="0089339D">
        <w:rPr>
          <w:rFonts w:eastAsia="Calibri" w:cs="Calibri"/>
          <w:color w:val="000000"/>
          <w:shd w:val="clear" w:color="auto" w:fill="FFFFFF"/>
        </w:rPr>
        <w:t xml:space="preserve">for FLEX samples, </w:t>
      </w:r>
      <w:r w:rsidRPr="0089339D">
        <w:rPr>
          <w:rFonts w:eastAsia="Calibri" w:cs="Calibri"/>
          <w:color w:val="000000" w:themeColor="text1"/>
        </w:rPr>
        <w:t xml:space="preserve">and the </w:t>
      </w:r>
      <w:proofErr w:type="spellStart"/>
      <w:r w:rsidRPr="0089339D">
        <w:rPr>
          <w:rFonts w:eastAsia="Consolas" w:cs="Consolas"/>
          <w:color w:val="000000" w:themeColor="text1"/>
        </w:rPr>
        <w:t>cxds_bcds_hybrid</w:t>
      </w:r>
      <w:proofErr w:type="spellEnd"/>
      <w:r w:rsidRPr="0089339D">
        <w:rPr>
          <w:rFonts w:eastAsia="Calibri" w:cs="Calibri"/>
          <w:color w:val="000000" w:themeColor="text1"/>
        </w:rPr>
        <w:t xml:space="preserve"> models from the package </w:t>
      </w:r>
      <w:proofErr w:type="spellStart"/>
      <w:r w:rsidRPr="0089339D">
        <w:rPr>
          <w:rFonts w:eastAsia="Calibri" w:cs="Calibri"/>
          <w:color w:val="000000" w:themeColor="text1"/>
        </w:rPr>
        <w:t>scds</w:t>
      </w:r>
      <w:proofErr w:type="spellEnd"/>
      <w:r w:rsidRPr="0089339D">
        <w:rPr>
          <w:rFonts w:eastAsia="Calibri" w:cs="Calibri"/>
          <w:color w:val="000000" w:themeColor="text1"/>
        </w:rPr>
        <w:t xml:space="preserve"> v1.20.0</w:t>
      </w:r>
      <w:r>
        <w:rPr>
          <w:rFonts w:eastAsia="Calibri" w:cs="Calibri"/>
          <w:color w:val="000000" w:themeColor="text1"/>
        </w:rPr>
        <w:fldChar w:fldCharType="begin" w:fldLock="1"/>
      </w:r>
      <w:r>
        <w:rPr>
          <w:rFonts w:eastAsia="Calibri" w:cs="Calibri"/>
          <w:color w:val="000000" w:themeColor="text1"/>
        </w:rPr>
        <w:instrText>ADDIN CSL_CITATION {"citationItems":[{"id":"ITEM-1","itemData":{"DOI":"10.1093/BIOINFORMATICS/BTZ698","ISSN":"1367-4811","PMID":"31501871","abstract":"Motivation: Single-cell RNA sequencing (scRNA-seq) technologies enable the study of transcriptional heterogeneity at the resolution of individual cells and have an increasing impact on biomedical research. However, it is known that these methods sometimes wrongly consider two or more cells as single cells, and that a number of so-called doublets is present in the output of such experiments. Treating doublets as single cells in downstream analyses can severely bias a study's conclusions, and therefore computational strategies for the identification of doublets are needed. Results: With scds, we propose two new approaches for in silico doublet identification: Co-expression based doublet scoring (cxds) and binary classification based doublet scoring (bcds). The co-expression based approach, cxds, utilizes binarized (absence/presence) gene expression data and, employing a binomial model for the co-expression of pairs of genes, yields interpretable doublet annotations. bcds, on the other hand, uses a binary classification approach to discriminate artificial doublets from original data. We apply our methods and existing computational doublet identification approaches to four datasets with experimental doublet annotations and find that our methods perform at least as well as the state of the art, at comparably little computational cost. We observe appreciable differences between methods and across datasets and that no approach dominates all others. In summary, scds presents a scalable, competitive approach that allows for doublet annotation of datasets with thousands of cells in a matter of seconds.","author":[{"dropping-particle":"","family":"Bais","given":"Abha S.","non-dropping-particle":"","parse-names":false,"suffix":""},{"dropping-particle":"","family":"Kostka","given":"Dennis","non-dropping-particle":"","parse-names":false,"suffix":""}],"container-title":"Bioinformatics (Oxford, England)","id":"ITEM-1","issue":"4","issued":{"date-parts":[["2020","2","15"]]},"page":"1150-1158","publisher":"Bioinformatics","title":"scds: computational annotation of doublets in single-cell RNA sequencing data","type":"article-journal","volume":"36"},"uris":["http://www.mendeley.com/documents/?uuid=1512b1d9-0848-32ac-bac2-22293b2d8a9f"]}],"mendeley":{"formattedCitation":"&lt;sup&gt;4&lt;/sup&gt;","plainTextFormattedCitation":"4","previouslyFormattedCitation":"&lt;sup&gt;4&lt;/sup&gt;"},"properties":{"noteIndex":0},"schema":"https://github.com/citation-style-language/schema/raw/master/csl-citation.json"}</w:instrText>
      </w:r>
      <w:r>
        <w:rPr>
          <w:rFonts w:eastAsia="Calibri" w:cs="Calibri"/>
          <w:color w:val="000000" w:themeColor="text1"/>
        </w:rPr>
        <w:fldChar w:fldCharType="separate"/>
      </w:r>
      <w:r w:rsidRPr="00B5090D">
        <w:rPr>
          <w:rFonts w:eastAsia="Calibri" w:cs="Calibri"/>
          <w:noProof/>
          <w:color w:val="000000" w:themeColor="text1"/>
          <w:vertAlign w:val="superscript"/>
        </w:rPr>
        <w:t>4</w:t>
      </w:r>
      <w:r>
        <w:rPr>
          <w:rFonts w:eastAsia="Calibri" w:cs="Calibri"/>
          <w:color w:val="000000" w:themeColor="text1"/>
        </w:rPr>
        <w:fldChar w:fldCharType="end"/>
      </w:r>
      <w:r w:rsidRPr="0089339D">
        <w:rPr>
          <w:rFonts w:eastAsia="Calibri" w:cs="Calibri"/>
          <w:color w:val="000000" w:themeColor="text1"/>
        </w:rPr>
        <w:t xml:space="preserve"> were used in combination to annotate potential doublets.</w:t>
      </w:r>
      <w:r w:rsidRPr="0089339D">
        <w:rPr>
          <w:rFonts w:eastAsia="Calibri" w:cs="Calibri"/>
        </w:rPr>
        <w:t xml:space="preserve"> Barcodes (cells) were excluded if </w:t>
      </w:r>
      <w:r w:rsidRPr="0089339D">
        <w:rPr>
          <w:rStyle w:val="Fett"/>
          <w:rFonts w:eastAsia="Calibri" w:cs="Calibri"/>
          <w:b w:val="0"/>
        </w:rPr>
        <w:t>either</w:t>
      </w:r>
      <w:r w:rsidRPr="0089339D">
        <w:rPr>
          <w:rFonts w:eastAsia="Calibri" w:cs="Calibri"/>
        </w:rPr>
        <w:t xml:space="preserve"> method classified them as doublets. Cell counts before and after filtering for each sample are provided in</w:t>
      </w:r>
      <w:r w:rsidRPr="0089339D">
        <w:rPr>
          <w:rFonts w:eastAsia="Calibri" w:cs="Calibri"/>
          <w:b/>
          <w:bCs/>
        </w:rPr>
        <w:t xml:space="preserve"> </w:t>
      </w:r>
      <w:r>
        <w:rPr>
          <w:rFonts w:eastAsia="Calibri" w:cs="Calibri"/>
          <w:b/>
          <w:bCs/>
        </w:rPr>
        <w:t>t</w:t>
      </w:r>
      <w:r w:rsidRPr="0089339D">
        <w:rPr>
          <w:rFonts w:eastAsia="Calibri" w:cs="Calibri"/>
          <w:b/>
          <w:bCs/>
        </w:rPr>
        <w:t>able S</w:t>
      </w:r>
      <w:r>
        <w:rPr>
          <w:rFonts w:eastAsia="Calibri" w:cs="Calibri"/>
          <w:b/>
          <w:bCs/>
        </w:rPr>
        <w:t>8</w:t>
      </w:r>
      <w:r w:rsidRPr="0089339D">
        <w:rPr>
          <w:rFonts w:eastAsia="Calibri" w:cs="Calibri"/>
          <w:b/>
          <w:bCs/>
        </w:rPr>
        <w:t>,</w:t>
      </w:r>
      <w:r w:rsidRPr="0089339D">
        <w:rPr>
          <w:rFonts w:eastAsia="Calibri" w:cs="Calibri"/>
        </w:rPr>
        <w:t xml:space="preserve"> with a final total of </w:t>
      </w:r>
      <w:r w:rsidRPr="00E1590D">
        <w:rPr>
          <w:rFonts w:eastAsia="Calibri" w:cs="Calibri"/>
          <w:color w:val="000000"/>
        </w:rPr>
        <w:t>27</w:t>
      </w:r>
      <w:r>
        <w:rPr>
          <w:rFonts w:eastAsia="Calibri" w:cs="Calibri"/>
          <w:color w:val="000000"/>
        </w:rPr>
        <w:t>,</w:t>
      </w:r>
      <w:r w:rsidRPr="00E1590D">
        <w:rPr>
          <w:rFonts w:eastAsia="Calibri" w:cs="Calibri"/>
          <w:color w:val="000000"/>
        </w:rPr>
        <w:t>383</w:t>
      </w:r>
      <w:r>
        <w:rPr>
          <w:rFonts w:eastAsia="Calibri" w:cs="Calibri"/>
          <w:color w:val="000000"/>
        </w:rPr>
        <w:t xml:space="preserve"> </w:t>
      </w:r>
      <w:r w:rsidRPr="0089339D">
        <w:rPr>
          <w:rFonts w:eastAsia="Calibri" w:cs="Calibri"/>
        </w:rPr>
        <w:t xml:space="preserve">high-quality cells retained for downstream analysis. </w:t>
      </w:r>
      <w:r w:rsidRPr="0089339D">
        <w:rPr>
          <w:rFonts w:eastAsia="Calibri" w:cs="Calibri"/>
          <w:color w:val="000000" w:themeColor="text1"/>
        </w:rPr>
        <w:t xml:space="preserve">Raw gene expression data was normalized using the </w:t>
      </w:r>
      <w:proofErr w:type="spellStart"/>
      <w:r w:rsidRPr="0089339D">
        <w:rPr>
          <w:rFonts w:eastAsia="Consolas" w:cs="Consolas"/>
          <w:color w:val="000000" w:themeColor="text1"/>
        </w:rPr>
        <w:t>LogNormalize</w:t>
      </w:r>
      <w:proofErr w:type="spellEnd"/>
      <w:r w:rsidRPr="0089339D">
        <w:rPr>
          <w:rFonts w:eastAsia="Consolas" w:cs="Consolas"/>
          <w:color w:val="000000" w:themeColor="text1"/>
        </w:rPr>
        <w:t xml:space="preserve"> </w:t>
      </w:r>
      <w:r w:rsidRPr="0089339D">
        <w:rPr>
          <w:rFonts w:eastAsia="Calibri" w:cs="Calibri"/>
          <w:color w:val="000000" w:themeColor="text1"/>
        </w:rPr>
        <w:t xml:space="preserve">method of the </w:t>
      </w:r>
      <w:proofErr w:type="spellStart"/>
      <w:r w:rsidRPr="0089339D">
        <w:rPr>
          <w:rFonts w:eastAsia="Consolas" w:cs="Consolas"/>
          <w:color w:val="000000" w:themeColor="text1"/>
        </w:rPr>
        <w:t>NormalizeData</w:t>
      </w:r>
      <w:proofErr w:type="spellEnd"/>
      <w:r w:rsidRPr="0089339D">
        <w:rPr>
          <w:rFonts w:eastAsia="Consolas" w:cs="Consolas"/>
          <w:color w:val="000000" w:themeColor="text1"/>
        </w:rPr>
        <w:t xml:space="preserve"> </w:t>
      </w:r>
      <w:r w:rsidRPr="0089339D">
        <w:rPr>
          <w:rFonts w:eastAsia="Calibri" w:cs="Calibri"/>
          <w:color w:val="000000" w:themeColor="text1"/>
        </w:rPr>
        <w:t>function in Seurat.</w:t>
      </w:r>
    </w:p>
    <w:p w14:paraId="4920610D" w14:textId="77777777" w:rsidR="000E40F5" w:rsidRPr="0089339D" w:rsidRDefault="000E40F5" w:rsidP="000E40F5">
      <w:pPr>
        <w:spacing w:before="240" w:after="240"/>
        <w:jc w:val="both"/>
        <w:rPr>
          <w:rFonts w:eastAsia="Calibri" w:cs="Calibri"/>
          <w:color w:val="000000" w:themeColor="text1"/>
        </w:rPr>
      </w:pPr>
      <w:r w:rsidRPr="0089339D">
        <w:rPr>
          <w:rFonts w:eastAsia="Calibri" w:cs="Calibri"/>
          <w:color w:val="000000" w:themeColor="text1"/>
        </w:rPr>
        <w:t xml:space="preserve">Samples were first annotated using the default NK cell and myeloid lineage models in </w:t>
      </w:r>
      <w:proofErr w:type="spellStart"/>
      <w:r w:rsidRPr="0089339D">
        <w:rPr>
          <w:rStyle w:val="Fett"/>
          <w:rFonts w:eastAsia="Calibri" w:cs="Calibri"/>
          <w:b w:val="0"/>
        </w:rPr>
        <w:t>scGate</w:t>
      </w:r>
      <w:proofErr w:type="spellEnd"/>
      <w:r w:rsidRPr="0089339D">
        <w:rPr>
          <w:rFonts w:eastAsia="Calibri" w:cs="Calibri"/>
          <w:color w:val="000000" w:themeColor="text1"/>
        </w:rPr>
        <w:t xml:space="preserve"> v1.7.2</w:t>
      </w:r>
      <w:r>
        <w:rPr>
          <w:rFonts w:eastAsia="Calibri" w:cs="Calibri"/>
          <w:color w:val="000000" w:themeColor="text1"/>
        </w:rPr>
        <w:fldChar w:fldCharType="begin" w:fldLock="1"/>
      </w:r>
      <w:r>
        <w:rPr>
          <w:rFonts w:eastAsia="Calibri" w:cs="Calibri"/>
          <w:color w:val="000000" w:themeColor="text1"/>
        </w:rPr>
        <w:instrText>ADDIN CSL_CITATION {"citationItems":[{"id":"ITEM-1","itemData":{"DOI":"10.1093/BIOINFORMATICS/BTAC141","ISSN":"1367-4811","PMID":"35258562","abstract":"A common bioinformatics task in single-cell data analysis is to purify a cell type or cell population of interest from heterogeneous datasets. Here, we present scGate, an algorithm that automatizes marker-based purification of specific cell populations, without requiring training data or reference gene expression profiles. scGate purifies a cell population of interest using a set of markers organized in a hierarchical structure, akin to gating strategies employed in flow cytometry. scGate outperforms state-of-the-art single-cell classifiers and it can be applied to multiple modalities of single-cell data (e.g. RNA-seq, ATAC-seq, CITE-seq). scGate is implemented as an R package and integrated with the Seurat framework, providing an intuitive tool to isolate cell populations of interest from heterogeneous single-cell datasets.","author":[{"dropping-particle":"","family":"Andreatta","given":"Massimo","non-dropping-particle":"","parse-names":false,"suffix":""},{"dropping-particle":"","family":"Berenstein","given":"Ariel J.","non-dropping-particle":"","parse-names":false,"suffix":""},{"dropping-particle":"","family":"Carmona","given":"Santiago J.","non-dropping-particle":"","parse-names":false,"suffix":""}],"container-title":"Bioinformatics (Oxford, England)","id":"ITEM-1","issue":"9","issued":{"date-parts":[["2022","5","1"]]},"page":"2642-2644","publisher":"Bioinformatics","title":"scGate: marker-based purification of cell types from heterogeneous single-cell RNA-seq datasets","type":"article-journal","volume":"38"},"uris":["http://www.mendeley.com/documents/?uuid=e59b9973-ee87-3c49-8269-dda939795d63"]}],"mendeley":{"formattedCitation":"&lt;sup&gt;5&lt;/sup&gt;","plainTextFormattedCitation":"5","previouslyFormattedCitation":"&lt;sup&gt;5&lt;/sup&gt;"},"properties":{"noteIndex":0},"schema":"https://github.com/citation-style-language/schema/raw/master/csl-citation.json"}</w:instrText>
      </w:r>
      <w:r>
        <w:rPr>
          <w:rFonts w:eastAsia="Calibri" w:cs="Calibri"/>
          <w:color w:val="000000" w:themeColor="text1"/>
        </w:rPr>
        <w:fldChar w:fldCharType="separate"/>
      </w:r>
      <w:r w:rsidRPr="00B5090D">
        <w:rPr>
          <w:rFonts w:eastAsia="Calibri" w:cs="Calibri"/>
          <w:noProof/>
          <w:color w:val="000000" w:themeColor="text1"/>
          <w:vertAlign w:val="superscript"/>
        </w:rPr>
        <w:t>5</w:t>
      </w:r>
      <w:r>
        <w:rPr>
          <w:rFonts w:eastAsia="Calibri" w:cs="Calibri"/>
          <w:color w:val="000000" w:themeColor="text1"/>
        </w:rPr>
        <w:fldChar w:fldCharType="end"/>
      </w:r>
      <w:r w:rsidRPr="0089339D">
        <w:rPr>
          <w:rFonts w:eastAsia="Calibri" w:cs="Calibri"/>
          <w:color w:val="000000" w:themeColor="text1"/>
        </w:rPr>
        <w:t xml:space="preserve">. This </w:t>
      </w:r>
      <w:proofErr w:type="spellStart"/>
      <w:r w:rsidRPr="0089339D">
        <w:rPr>
          <w:rFonts w:eastAsia="Calibri" w:cs="Calibri"/>
          <w:color w:val="000000" w:themeColor="text1"/>
        </w:rPr>
        <w:t>scGate</w:t>
      </w:r>
      <w:proofErr w:type="spellEnd"/>
      <w:r w:rsidRPr="0089339D">
        <w:rPr>
          <w:rFonts w:eastAsia="Calibri" w:cs="Calibri"/>
          <w:color w:val="000000" w:themeColor="text1"/>
        </w:rPr>
        <w:t xml:space="preserve"> model-based classification was then re-checked with gene module scoring, using the following approach. First, cells were classified as NK if the </w:t>
      </w:r>
      <w:proofErr w:type="spellStart"/>
      <w:r w:rsidRPr="0089339D">
        <w:rPr>
          <w:rFonts w:eastAsia="Calibri" w:cs="Calibri"/>
          <w:color w:val="000000" w:themeColor="text1"/>
        </w:rPr>
        <w:t>scGate</w:t>
      </w:r>
      <w:proofErr w:type="spellEnd"/>
      <w:r w:rsidRPr="0089339D">
        <w:rPr>
          <w:rFonts w:eastAsia="Calibri" w:cs="Calibri"/>
          <w:color w:val="000000" w:themeColor="text1"/>
        </w:rPr>
        <w:t xml:space="preserve"> “NK” model assigned them as “Pure”, and as AML if the </w:t>
      </w:r>
      <w:proofErr w:type="spellStart"/>
      <w:r w:rsidRPr="0089339D">
        <w:rPr>
          <w:rFonts w:eastAsia="Calibri" w:cs="Calibri"/>
          <w:color w:val="000000" w:themeColor="text1"/>
        </w:rPr>
        <w:t>scGate</w:t>
      </w:r>
      <w:proofErr w:type="spellEnd"/>
      <w:r w:rsidRPr="0089339D">
        <w:rPr>
          <w:rFonts w:eastAsia="Calibri" w:cs="Calibri"/>
          <w:color w:val="000000" w:themeColor="text1"/>
        </w:rPr>
        <w:t xml:space="preserve"> “AML” model assigned them as “Pure”. Cells classified as “Pure” by both models were considered conflicting annotations</w:t>
      </w:r>
      <w:r>
        <w:rPr>
          <w:rFonts w:eastAsia="Calibri" w:cs="Calibri"/>
          <w:color w:val="000000" w:themeColor="text1"/>
        </w:rPr>
        <w:t xml:space="preserve"> and excluded</w:t>
      </w:r>
      <w:r w:rsidRPr="0089339D">
        <w:rPr>
          <w:rFonts w:eastAsia="Calibri" w:cs="Calibri"/>
          <w:color w:val="000000" w:themeColor="text1"/>
        </w:rPr>
        <w:t xml:space="preserve">. Second, to refine </w:t>
      </w:r>
      <w:proofErr w:type="spellStart"/>
      <w:r w:rsidRPr="0089339D">
        <w:rPr>
          <w:rFonts w:eastAsia="Calibri" w:cs="Calibri"/>
          <w:color w:val="000000" w:themeColor="text1"/>
        </w:rPr>
        <w:t>scGate</w:t>
      </w:r>
      <w:proofErr w:type="spellEnd"/>
      <w:r w:rsidRPr="0089339D">
        <w:rPr>
          <w:rFonts w:eastAsia="Calibri" w:cs="Calibri"/>
          <w:color w:val="000000" w:themeColor="text1"/>
        </w:rPr>
        <w:t xml:space="preserve"> annotations and identify potential misclassifications (e.g. AML-labeled cells with strong NK-associated transcriptional signatures), we computed gene module scores using </w:t>
      </w:r>
      <w:proofErr w:type="spellStart"/>
      <w:r w:rsidRPr="0089339D">
        <w:rPr>
          <w:rFonts w:eastAsia="Calibri" w:cs="Calibri"/>
          <w:color w:val="000000" w:themeColor="text1"/>
        </w:rPr>
        <w:t>AddModuleScor</w:t>
      </w:r>
      <w:r>
        <w:rPr>
          <w:rFonts w:eastAsia="Calibri" w:cs="Calibri"/>
          <w:color w:val="000000" w:themeColor="text1"/>
        </w:rPr>
        <w:t>e</w:t>
      </w:r>
      <w:proofErr w:type="spellEnd"/>
      <w:r>
        <w:rPr>
          <w:rFonts w:eastAsia="Calibri" w:cs="Calibri"/>
          <w:color w:val="000000" w:themeColor="text1"/>
        </w:rPr>
        <w:t xml:space="preserve">. </w:t>
      </w:r>
      <w:r w:rsidRPr="00420652">
        <w:rPr>
          <w:rFonts w:eastAsia="Calibri" w:cs="Calibri"/>
          <w:color w:val="000000" w:themeColor="text1"/>
        </w:rPr>
        <w:t>Marker genes were selected based on established lineage-associated expression patterns and their ability to robustly discriminate NK cells from AML populations</w:t>
      </w:r>
      <w:r w:rsidRPr="0089339D">
        <w:rPr>
          <w:rFonts w:eastAsia="Calibri" w:cs="Calibri"/>
          <w:color w:val="000000" w:themeColor="text1"/>
        </w:rPr>
        <w:t xml:space="preserve">. NK score was calculated using NKG7, PRF1, GNLY, KLRD1, GZMB, and GZMH, while AML score was calculated using CD33, IL3RA, CSF3R, FCGR1A, FLT3, LYZ. To identify potentially misclassified cells, score thresholds were defined dynamically based on the 99th percentile of the corresponding module score </w:t>
      </w:r>
      <w:r>
        <w:rPr>
          <w:rFonts w:eastAsia="Calibri" w:cs="Calibri"/>
          <w:color w:val="000000" w:themeColor="text1"/>
        </w:rPr>
        <w:t>of</w:t>
      </w:r>
      <w:r w:rsidRPr="0089339D">
        <w:rPr>
          <w:rFonts w:eastAsia="Calibri" w:cs="Calibri"/>
          <w:color w:val="000000" w:themeColor="text1"/>
        </w:rPr>
        <w:t xml:space="preserve"> the opposing cell </w:t>
      </w:r>
      <w:r>
        <w:rPr>
          <w:rFonts w:eastAsia="Calibri" w:cs="Calibri"/>
          <w:color w:val="000000" w:themeColor="text1"/>
        </w:rPr>
        <w:t xml:space="preserve">population. </w:t>
      </w:r>
      <w:r w:rsidRPr="005E29C8">
        <w:rPr>
          <w:rFonts w:eastAsia="Calibri" w:cs="Calibri"/>
          <w:color w:val="000000" w:themeColor="text1"/>
        </w:rPr>
        <w:t xml:space="preserve">Specifically, AML-labeled cells with NK scores exceeding the 99th percentile of NK scores observed in AML cells, and NK-labeled cells with AML scores exceeding the 99th percentile of AML scores observed in NK cells, were flagged as conflicting and excluded </w:t>
      </w:r>
      <w:r w:rsidRPr="005E29C8">
        <w:rPr>
          <w:rFonts w:eastAsia="Calibri" w:cs="Calibri"/>
          <w:color w:val="000000" w:themeColor="text1"/>
        </w:rPr>
        <w:lastRenderedPageBreak/>
        <w:t>from downstream analyses.</w:t>
      </w:r>
      <w:r>
        <w:rPr>
          <w:rFonts w:eastAsia="Calibri" w:cs="Calibri"/>
          <w:color w:val="000000" w:themeColor="text1"/>
        </w:rPr>
        <w:t xml:space="preserve"> </w:t>
      </w:r>
      <w:r w:rsidRPr="0089339D">
        <w:rPr>
          <w:rFonts w:eastAsia="Calibri" w:cs="Calibri"/>
          <w:color w:val="000000" w:themeColor="text1"/>
        </w:rPr>
        <w:t xml:space="preserve">CAR+ NK cells were defined as </w:t>
      </w:r>
      <w:r>
        <w:rPr>
          <w:rFonts w:eastAsia="Calibri" w:cs="Calibri"/>
          <w:color w:val="000000" w:themeColor="text1"/>
        </w:rPr>
        <w:t xml:space="preserve">NK </w:t>
      </w:r>
      <w:r w:rsidRPr="0089339D">
        <w:rPr>
          <w:rFonts w:eastAsia="Calibri" w:cs="Calibri"/>
          <w:color w:val="000000" w:themeColor="text1"/>
        </w:rPr>
        <w:t>cells with at least one detected raw count for the corresponding CD33 or CD123 CAR custom probe</w:t>
      </w:r>
      <w:r>
        <w:rPr>
          <w:rFonts w:eastAsia="Calibri" w:cs="Calibri"/>
          <w:color w:val="000000" w:themeColor="text1"/>
        </w:rPr>
        <w:t xml:space="preserve"> sets</w:t>
      </w:r>
      <w:r w:rsidRPr="0089339D">
        <w:rPr>
          <w:rFonts w:eastAsia="Calibri" w:cs="Calibri"/>
          <w:color w:val="000000" w:themeColor="text1"/>
        </w:rPr>
        <w:t xml:space="preserve">. </w:t>
      </w:r>
    </w:p>
    <w:p w14:paraId="44BA59D1" w14:textId="77777777" w:rsidR="000E40F5" w:rsidRDefault="000E40F5" w:rsidP="000E40F5">
      <w:pPr>
        <w:pStyle w:val="berschrift3"/>
        <w:rPr>
          <w:rFonts w:ascii="Calibri" w:eastAsia="Calibri" w:hAnsi="Calibri" w:cs="Calibri"/>
          <w:sz w:val="22"/>
          <w:szCs w:val="22"/>
        </w:rPr>
      </w:pPr>
      <w:r>
        <w:t>Sample integration and dimension reduction</w:t>
      </w:r>
    </w:p>
    <w:p w14:paraId="3C146D22" w14:textId="77777777" w:rsidR="000E40F5" w:rsidRPr="0089339D" w:rsidRDefault="000E40F5" w:rsidP="000E40F5">
      <w:pPr>
        <w:keepNext/>
        <w:keepLines/>
        <w:shd w:val="clear" w:color="auto" w:fill="FFFFFF" w:themeFill="background1"/>
        <w:spacing w:after="0" w:line="283" w:lineRule="auto"/>
        <w:jc w:val="both"/>
        <w:rPr>
          <w:rFonts w:eastAsia="Calibri" w:cs="Calibri"/>
          <w:color w:val="000000" w:themeColor="text1"/>
        </w:rPr>
      </w:pPr>
      <w:r w:rsidRPr="0089339D">
        <w:rPr>
          <w:rFonts w:eastAsia="Calibri" w:cs="Calibri"/>
          <w:color w:val="000000" w:themeColor="text1"/>
        </w:rPr>
        <w:t xml:space="preserve">Integration </w:t>
      </w:r>
      <w:r>
        <w:rPr>
          <w:rFonts w:eastAsia="Calibri" w:cs="Calibri"/>
          <w:color w:val="000000" w:themeColor="text1"/>
        </w:rPr>
        <w:t>across samples</w:t>
      </w:r>
      <w:r w:rsidRPr="0089339D">
        <w:rPr>
          <w:rFonts w:eastAsia="Calibri" w:cs="Calibri"/>
          <w:color w:val="000000" w:themeColor="text1"/>
        </w:rPr>
        <w:t xml:space="preserve"> </w:t>
      </w:r>
      <w:proofErr w:type="gramStart"/>
      <w:r w:rsidRPr="0089339D">
        <w:rPr>
          <w:rFonts w:eastAsia="Calibri" w:cs="Calibri"/>
          <w:color w:val="000000" w:themeColor="text1"/>
        </w:rPr>
        <w:t>were</w:t>
      </w:r>
      <w:proofErr w:type="gramEnd"/>
      <w:r w:rsidRPr="0089339D">
        <w:rPr>
          <w:rFonts w:eastAsia="Calibri" w:cs="Calibri"/>
          <w:color w:val="000000" w:themeColor="text1"/>
        </w:rPr>
        <w:t xml:space="preserve"> performed separately for all cells annotated as NK cells</w:t>
      </w:r>
      <w:r>
        <w:rPr>
          <w:rFonts w:eastAsia="Calibri" w:cs="Calibri"/>
          <w:color w:val="000000" w:themeColor="text1"/>
        </w:rPr>
        <w:t xml:space="preserve"> (total: 5861 cells) f</w:t>
      </w:r>
      <w:r>
        <w:t>ollowing the two-step annotation approach as described in previous section</w:t>
      </w:r>
      <w:r>
        <w:rPr>
          <w:rFonts w:eastAsia="Calibri" w:cs="Calibri"/>
          <w:color w:val="000000" w:themeColor="text1"/>
        </w:rPr>
        <w:t xml:space="preserve">, as well as </w:t>
      </w:r>
      <w:r w:rsidRPr="0089339D">
        <w:rPr>
          <w:rFonts w:eastAsia="Calibri" w:cs="Calibri"/>
          <w:color w:val="000000" w:themeColor="text1"/>
        </w:rPr>
        <w:t>for the subset of CAR+ NK cells using the following workflow</w:t>
      </w:r>
      <w:r>
        <w:rPr>
          <w:rFonts w:eastAsia="Calibri" w:cs="Calibri"/>
          <w:color w:val="000000" w:themeColor="text1"/>
        </w:rPr>
        <w:t xml:space="preserve">. </w:t>
      </w:r>
      <w:r w:rsidRPr="0089339D">
        <w:rPr>
          <w:rFonts w:eastAsia="Calibri" w:cs="Calibri"/>
          <w:color w:val="000000" w:themeColor="text1"/>
        </w:rPr>
        <w:t xml:space="preserve">For each sample, the 2,000 most variable genes were estimated using the </w:t>
      </w:r>
      <w:proofErr w:type="spellStart"/>
      <w:r w:rsidRPr="0089339D">
        <w:rPr>
          <w:rFonts w:eastAsia="Consolas" w:cs="Consolas"/>
          <w:color w:val="000000" w:themeColor="text1"/>
        </w:rPr>
        <w:t>vst</w:t>
      </w:r>
      <w:proofErr w:type="spellEnd"/>
      <w:r w:rsidRPr="0089339D">
        <w:rPr>
          <w:rFonts w:eastAsia="Consolas" w:cs="Consolas"/>
          <w:color w:val="000000" w:themeColor="text1"/>
        </w:rPr>
        <w:t xml:space="preserve"> </w:t>
      </w:r>
      <w:r w:rsidRPr="0089339D">
        <w:rPr>
          <w:rFonts w:eastAsia="Calibri" w:cs="Calibri"/>
          <w:color w:val="000000" w:themeColor="text1"/>
        </w:rPr>
        <w:t xml:space="preserve">method of the </w:t>
      </w:r>
      <w:proofErr w:type="spellStart"/>
      <w:r w:rsidRPr="0089339D">
        <w:rPr>
          <w:rFonts w:eastAsia="Consolas" w:cs="Consolas"/>
          <w:color w:val="000000" w:themeColor="text1"/>
        </w:rPr>
        <w:t>FindVariableFeatures</w:t>
      </w:r>
      <w:proofErr w:type="spellEnd"/>
      <w:r w:rsidRPr="0089339D">
        <w:rPr>
          <w:rFonts w:eastAsia="Consolas" w:cs="Consolas"/>
          <w:color w:val="000000" w:themeColor="text1"/>
        </w:rPr>
        <w:t xml:space="preserve"> </w:t>
      </w:r>
      <w:r w:rsidRPr="0089339D">
        <w:rPr>
          <w:rFonts w:eastAsia="Calibri" w:cs="Calibri"/>
          <w:color w:val="000000" w:themeColor="text1"/>
        </w:rPr>
        <w:t xml:space="preserve">function. Genes associated with </w:t>
      </w:r>
      <w:r w:rsidRPr="0089339D">
        <w:rPr>
          <w:rFonts w:eastAsia="Calibri" w:cs="Calibri"/>
        </w:rPr>
        <w:t>mitochondrial transcripts</w:t>
      </w:r>
      <w:r>
        <w:rPr>
          <w:rFonts w:eastAsia="Calibri" w:cs="Calibri"/>
        </w:rPr>
        <w:t xml:space="preserve"> </w:t>
      </w:r>
      <w:r w:rsidRPr="0089339D">
        <w:rPr>
          <w:rFonts w:eastAsia="Calibri" w:cs="Calibri"/>
        </w:rPr>
        <w:t xml:space="preserve">(as annotated using </w:t>
      </w:r>
      <w:proofErr w:type="spellStart"/>
      <w:r w:rsidRPr="0089339D">
        <w:rPr>
          <w:rFonts w:eastAsia="Consolas" w:cs="Consolas"/>
          <w:color w:val="000000" w:themeColor="text1"/>
        </w:rPr>
        <w:t>SignatuR</w:t>
      </w:r>
      <w:proofErr w:type="spellEnd"/>
      <w:r w:rsidRPr="0089339D">
        <w:rPr>
          <w:rFonts w:eastAsia="Calibri" w:cs="Calibri"/>
        </w:rPr>
        <w:t xml:space="preserve"> v0.2.1, </w:t>
      </w:r>
      <w:hyperlink r:id="rId8">
        <w:r w:rsidRPr="0089339D">
          <w:rPr>
            <w:rStyle w:val="Hyperlink"/>
            <w:rFonts w:eastAsia="Calibri" w:cs="Calibri"/>
          </w:rPr>
          <w:t>https://github.com/carmonalab/SignatuR</w:t>
        </w:r>
      </w:hyperlink>
      <w:r w:rsidRPr="0089339D">
        <w:rPr>
          <w:rFonts w:eastAsia="Calibri" w:cs="Calibri"/>
        </w:rPr>
        <w:t xml:space="preserve">) </w:t>
      </w:r>
      <w:r w:rsidRPr="0008435A">
        <w:rPr>
          <w:rFonts w:eastAsia="Calibri" w:cs="Calibri"/>
        </w:rPr>
        <w:t>were excluded from variable feature selection to minimize unwanted sources of variation</w:t>
      </w:r>
      <w:r>
        <w:rPr>
          <w:rFonts w:eastAsia="Calibri" w:cs="Calibri"/>
        </w:rPr>
        <w:t xml:space="preserve">. </w:t>
      </w:r>
      <w:r w:rsidRPr="0089339D">
        <w:rPr>
          <w:rFonts w:eastAsia="Calibri" w:cs="Calibri"/>
        </w:rPr>
        <w:t xml:space="preserve">Highly variable </w:t>
      </w:r>
      <w:r>
        <w:rPr>
          <w:rFonts w:eastAsia="Calibri" w:cs="Calibri"/>
        </w:rPr>
        <w:t>genes</w:t>
      </w:r>
      <w:r w:rsidRPr="0089339D">
        <w:rPr>
          <w:rFonts w:eastAsia="Calibri" w:cs="Calibri"/>
        </w:rPr>
        <w:t xml:space="preserve"> shared across samples were selected using </w:t>
      </w:r>
      <w:proofErr w:type="spellStart"/>
      <w:r w:rsidRPr="0089339D">
        <w:rPr>
          <w:rFonts w:eastAsia="Consolas" w:cs="Consolas"/>
        </w:rPr>
        <w:t>SelectIntegrationFeatures</w:t>
      </w:r>
      <w:proofErr w:type="spellEnd"/>
      <w:r w:rsidRPr="0089339D">
        <w:rPr>
          <w:rFonts w:eastAsia="Calibri" w:cs="Calibri"/>
        </w:rPr>
        <w:t xml:space="preserve"> (n = 2,000), and expression values were standardized using </w:t>
      </w:r>
      <w:proofErr w:type="spellStart"/>
      <w:r w:rsidRPr="0089339D">
        <w:rPr>
          <w:rFonts w:eastAsia="Consolas" w:cs="Consolas"/>
        </w:rPr>
        <w:t>ScaleData</w:t>
      </w:r>
      <w:proofErr w:type="spellEnd"/>
      <w:r w:rsidRPr="0089339D">
        <w:rPr>
          <w:rFonts w:eastAsia="Calibri" w:cs="Calibri"/>
        </w:rPr>
        <w:t xml:space="preserve"> with regression of cell cycle scores. Principal component analysis (PCA) was performed on the scaled data using </w:t>
      </w:r>
      <w:proofErr w:type="spellStart"/>
      <w:r w:rsidRPr="0089339D">
        <w:rPr>
          <w:rFonts w:eastAsia="Consolas" w:cs="Consolas"/>
        </w:rPr>
        <w:t>RunPCA</w:t>
      </w:r>
      <w:proofErr w:type="spellEnd"/>
      <w:r w:rsidRPr="0089339D">
        <w:rPr>
          <w:rFonts w:eastAsia="Calibri" w:cs="Calibri"/>
        </w:rPr>
        <w:t xml:space="preserve">, and the top 15 principal components were used for integration with the Harmony algorithm (v1.2.3) via </w:t>
      </w:r>
      <w:proofErr w:type="spellStart"/>
      <w:r w:rsidRPr="0089339D">
        <w:rPr>
          <w:rFonts w:eastAsia="Consolas" w:cs="Consolas"/>
        </w:rPr>
        <w:t>RunHarmony</w:t>
      </w:r>
      <w:proofErr w:type="spellEnd"/>
      <w:r w:rsidRPr="0089339D">
        <w:rPr>
          <w:rFonts w:eastAsia="Calibri" w:cs="Calibri"/>
        </w:rPr>
        <w:t xml:space="preserve"> (</w:t>
      </w:r>
      <w:proofErr w:type="spellStart"/>
      <w:r w:rsidRPr="0089339D">
        <w:rPr>
          <w:rFonts w:eastAsia="Consolas" w:cs="Consolas"/>
        </w:rPr>
        <w:t>group.by.vars</w:t>
      </w:r>
      <w:proofErr w:type="spellEnd"/>
      <w:r w:rsidRPr="0089339D">
        <w:rPr>
          <w:rFonts w:eastAsia="Consolas" w:cs="Consolas"/>
        </w:rPr>
        <w:t xml:space="preserve"> = "</w:t>
      </w:r>
      <w:proofErr w:type="spellStart"/>
      <w:r w:rsidRPr="0089339D">
        <w:rPr>
          <w:rFonts w:eastAsia="Consolas" w:cs="Consolas"/>
        </w:rPr>
        <w:t>sample_ID</w:t>
      </w:r>
      <w:proofErr w:type="spellEnd"/>
      <w:r w:rsidRPr="0089339D">
        <w:rPr>
          <w:rFonts w:eastAsia="Consolas" w:cs="Consolas"/>
        </w:rPr>
        <w:t>", dims = 1:15</w:t>
      </w:r>
      <w:r w:rsidRPr="0089339D">
        <w:rPr>
          <w:rFonts w:eastAsia="Calibri" w:cs="Calibri"/>
        </w:rPr>
        <w:t>)</w:t>
      </w:r>
      <w:r>
        <w:rPr>
          <w:rFonts w:eastAsia="Calibri" w:cs="Calibri"/>
        </w:rPr>
        <w:fldChar w:fldCharType="begin" w:fldLock="1"/>
      </w:r>
      <w:r>
        <w:rPr>
          <w:rFonts w:eastAsia="Calibri" w:cs="Calibri"/>
        </w:rPr>
        <w:instrText>ADDIN CSL_CITATION {"citationItems":[{"id":"ITEM-1","itemData":{"DOI":"10.1038/s41592-019-0619-0","ISSN":"1548-7105","PMID":"31740819","abstract":"The emerging diversity of single-cell RNA-seq datasets allows for the full transcriptional characterization of cell types across a wide variety of biological and clinical conditions. However, it is challenging to analyze them together, particularly when datasets are assayed with different technologies, because biological and technical differences are interspersed. We present Harmony ( https://github.com/immunogenomics/harmony ), an algorithm that projects cells into a shared embedding in which cells group by cell type rather than dataset-specific conditions. Harmony simultaneously accounts for multiple experimental and biological factors. In six analyses, we demonstrate the superior performance of Harmony to previously published algorithms while requiring fewer computational resources. Harmony enables the integration of ~106 cells on a personal computer. We apply Harmony to peripheral blood mononuclear cells from datasets with large experimental differences, five studies of pancreatic islet cells, mouse embryogenesis datasets and the integration of scRNA-seq with spatial transcriptomics data. Harmony, for the integration of single-cell transcriptomic data, identifies broad and fine-grained populations, scales to large datasets, and can integrate sequencing- and imaging-based data.","author":[{"dropping-particle":"","family":"Korsunsky","given":"Ilya","non-dropping-particle":"","parse-names":false,"suffix":""},{"dropping-particle":"","family":"Millard","given":"Nghia","non-dropping-particle":"","parse-names":false,"suffix":""},{"dropping-particle":"","family":"Fan","given":"Jean","non-dropping-particle":"","parse-names":false,"suffix":""},{"dropping-particle":"","family":"Slowikowski","given":"Kamil","non-dropping-particle":"","parse-names":false,"suffix":""},{"dropping-particle":"","family":"Zhang","given":"Fan","non-dropping-particle":"","parse-names":false,"suffix":""},{"dropping-particle":"","family":"Wei","given":"Kevin","non-dropping-particle":"","parse-names":false,"suffix":""},{"dropping-particle":"","family":"Baglaenko","given":"Yuriy","non-dropping-particle":"","parse-names":false,"suffix":""},{"dropping-particle":"","family":"Brenner","given":"Michael","non-dropping-particle":"","parse-names":false,"suffix":""},{"dropping-particle":"","family":"Loh","given":"Po ru","non-dropping-particle":"","parse-names":false,"suffix":""},{"dropping-particle":"","family":"Raychaudhuri","given":"Soumya","non-dropping-particle":"","parse-names":false,"suffix":""}],"container-title":"Nature Methods 2019 16:12","id":"ITEM-1","issue":"12","issued":{"date-parts":[["2019","11","18"]]},"page":"1289-1296","publisher":"Nature Publishing Group","title":"Fast, sensitive and accurate integration of single-cell data with Harmony","type":"article-journal","volume":"16"},"uris":["http://www.mendeley.com/documents/?uuid=a66dd4ac-437a-3869-bc1c-66acf129ef5d"]}],"mendeley":{"formattedCitation":"&lt;sup&gt;6&lt;/sup&gt;","plainTextFormattedCitation":"6","previouslyFormattedCitation":"&lt;sup&gt;6&lt;/sup&gt;"},"properties":{"noteIndex":0},"schema":"https://github.com/citation-style-language/schema/raw/master/csl-citation.json"}</w:instrText>
      </w:r>
      <w:r>
        <w:rPr>
          <w:rFonts w:eastAsia="Calibri" w:cs="Calibri"/>
        </w:rPr>
        <w:fldChar w:fldCharType="separate"/>
      </w:r>
      <w:r w:rsidRPr="00B5090D">
        <w:rPr>
          <w:rFonts w:eastAsia="Calibri" w:cs="Calibri"/>
          <w:noProof/>
          <w:vertAlign w:val="superscript"/>
        </w:rPr>
        <w:t>6</w:t>
      </w:r>
      <w:r>
        <w:rPr>
          <w:rFonts w:eastAsia="Calibri" w:cs="Calibri"/>
        </w:rPr>
        <w:fldChar w:fldCharType="end"/>
      </w:r>
      <w:r w:rsidRPr="0089339D">
        <w:rPr>
          <w:rFonts w:eastAsia="Calibri" w:cs="Calibri"/>
        </w:rPr>
        <w:t xml:space="preserve">. Using Harmony-corrected embeddings, a shared nearest neighbor (SNN) graph was constructed with </w:t>
      </w:r>
      <w:proofErr w:type="spellStart"/>
      <w:r w:rsidRPr="0089339D">
        <w:rPr>
          <w:rFonts w:eastAsia="Consolas" w:cs="Consolas"/>
        </w:rPr>
        <w:t>FindNeighbors</w:t>
      </w:r>
      <w:proofErr w:type="spellEnd"/>
      <w:r w:rsidRPr="0089339D">
        <w:rPr>
          <w:rFonts w:eastAsia="Calibri" w:cs="Calibri"/>
        </w:rPr>
        <w:t xml:space="preserve"> (</w:t>
      </w:r>
      <w:r w:rsidRPr="0089339D">
        <w:rPr>
          <w:rFonts w:eastAsia="Consolas" w:cs="Consolas"/>
        </w:rPr>
        <w:t>reduction = "harmony"</w:t>
      </w:r>
      <w:r w:rsidRPr="0089339D">
        <w:rPr>
          <w:rFonts w:eastAsia="Calibri" w:cs="Calibri"/>
        </w:rPr>
        <w:t xml:space="preserve">, </w:t>
      </w:r>
      <w:r w:rsidRPr="0089339D">
        <w:rPr>
          <w:rFonts w:eastAsia="Consolas" w:cs="Consolas"/>
        </w:rPr>
        <w:t>dims = 1:20</w:t>
      </w:r>
      <w:r w:rsidRPr="0089339D">
        <w:rPr>
          <w:rFonts w:eastAsia="Calibri" w:cs="Calibri"/>
        </w:rPr>
        <w:t xml:space="preserve">). Cell clusters were then identified using the Louvain algorithm implemented in the </w:t>
      </w:r>
      <w:proofErr w:type="spellStart"/>
      <w:r w:rsidRPr="0089339D">
        <w:rPr>
          <w:rFonts w:eastAsia="Consolas" w:cs="Consolas"/>
        </w:rPr>
        <w:t>FindClusters</w:t>
      </w:r>
      <w:proofErr w:type="spellEnd"/>
      <w:r w:rsidRPr="0089339D">
        <w:rPr>
          <w:rFonts w:eastAsia="Calibri" w:cs="Calibri"/>
        </w:rPr>
        <w:t xml:space="preserve"> function. </w:t>
      </w:r>
      <w:r w:rsidRPr="003E2A81">
        <w:rPr>
          <w:rFonts w:eastAsia="Calibri" w:cs="Calibri"/>
        </w:rPr>
        <w:t xml:space="preserve">Cluster marker genes were identified using Seurat’s </w:t>
      </w:r>
      <w:proofErr w:type="spellStart"/>
      <w:r w:rsidRPr="003E2A81">
        <w:rPr>
          <w:rFonts w:eastAsia="Calibri" w:cs="Calibri"/>
        </w:rPr>
        <w:t>FindAllMarkers</w:t>
      </w:r>
      <w:proofErr w:type="spellEnd"/>
      <w:r w:rsidRPr="003E2A81">
        <w:rPr>
          <w:rFonts w:eastAsia="Calibri" w:cs="Calibri"/>
        </w:rPr>
        <w:t xml:space="preserve"> function with the Wilcoxon rank-sum test. Only positively enriched genes expressed in at least 20% of cells in either group </w:t>
      </w:r>
      <w:proofErr w:type="gramStart"/>
      <w:r w:rsidRPr="003E2A81">
        <w:rPr>
          <w:rFonts w:eastAsia="Calibri" w:cs="Calibri"/>
        </w:rPr>
        <w:t>and</w:t>
      </w:r>
      <w:proofErr w:type="gramEnd"/>
      <w:r w:rsidRPr="003E2A81">
        <w:rPr>
          <w:rFonts w:eastAsia="Calibri" w:cs="Calibri"/>
        </w:rPr>
        <w:t xml:space="preserve"> with a minimum log fold-change threshold of 0.25 were retained.</w:t>
      </w:r>
      <w:r>
        <w:rPr>
          <w:rFonts w:eastAsia="Calibri" w:cs="Calibri"/>
        </w:rPr>
        <w:t xml:space="preserve"> </w:t>
      </w:r>
      <w:r w:rsidRPr="0089339D">
        <w:rPr>
          <w:rFonts w:eastAsia="Calibri" w:cs="Calibri"/>
        </w:rPr>
        <w:t>Dimensionality reduction for visualization was performed using Uniform Manifold Approximation and Projection (UMAP) on the same dimensions used for integration or PCA.</w:t>
      </w:r>
      <w:r>
        <w:rPr>
          <w:rFonts w:eastAsia="Calibri" w:cs="Calibri"/>
        </w:rPr>
        <w:t xml:space="preserve"> </w:t>
      </w:r>
    </w:p>
    <w:p w14:paraId="76AB92C1" w14:textId="77777777" w:rsidR="000E40F5" w:rsidRDefault="000E40F5" w:rsidP="000E40F5">
      <w:pPr>
        <w:pStyle w:val="berschrift3"/>
        <w:rPr>
          <w:rFonts w:ascii="Calibri" w:eastAsia="Calibri" w:hAnsi="Calibri" w:cs="Calibri"/>
          <w:sz w:val="22"/>
          <w:szCs w:val="22"/>
        </w:rPr>
      </w:pPr>
      <w:r>
        <w:t>Differential gene expression and enrichment analysis</w:t>
      </w:r>
    </w:p>
    <w:p w14:paraId="2F29FB69" w14:textId="77777777" w:rsidR="000E40F5" w:rsidRDefault="000E40F5" w:rsidP="000E40F5">
      <w:pPr>
        <w:jc w:val="both"/>
        <w:rPr>
          <w:rFonts w:eastAsia="Calibri" w:cs="Calibri"/>
          <w:color w:val="000000" w:themeColor="text1"/>
        </w:rPr>
      </w:pPr>
      <w:r w:rsidRPr="0089339D">
        <w:rPr>
          <w:rFonts w:eastAsia="Calibri" w:cs="Calibri"/>
        </w:rPr>
        <w:t xml:space="preserve">Differentially expressed genes between groups were identified by the </w:t>
      </w:r>
      <w:r w:rsidRPr="00FC7211">
        <w:rPr>
          <w:rFonts w:eastAsia="Consolas" w:cs="Consolas"/>
        </w:rPr>
        <w:t xml:space="preserve">FindMarkers </w:t>
      </w:r>
      <w:r w:rsidRPr="0089339D">
        <w:rPr>
          <w:rFonts w:eastAsia="Calibri" w:cs="Calibri"/>
        </w:rPr>
        <w:t>function implemented in Seurat, using the MAST algorithm</w:t>
      </w:r>
      <w:r>
        <w:rPr>
          <w:rFonts w:eastAsia="Calibri" w:cs="Calibri"/>
        </w:rPr>
        <w:fldChar w:fldCharType="begin" w:fldLock="1"/>
      </w:r>
      <w:r>
        <w:rPr>
          <w:rFonts w:eastAsia="Calibri" w:cs="Calibri"/>
        </w:rPr>
        <w:instrText>ADDIN CSL_CITATION {"citationItems":[{"id":"ITEM-1","itemData":{"DOI":"10.1186/S13059-015-0844-5","ISSN":"1474760X","PMID":"26653891","abstract":"Single-cell transcriptomics reveals gene expression heterogeneity but suffers from stochastic dropout and characteristic bimodal expression distributions in which expression is either strongly non-zero or non-detectable. We propose a two-part, generalized linear model for such bimodal data that parameterizes both of these features. We argue that the cellular detection rate, the fraction of genes expressed in a cell, should be adjusted for as a source of nuisance variation. Our model provides gene set enrichment analysis tailored to single-cell data. It provides insights into how networks of co-expressed genes evolve across an experimental treatment. MAST is available at https://github.com/RGLab/MAST.","author":[{"dropping-particle":"","family":"Finak","given":"Greg","non-dropping-particle":"","parse-names":false,"suffix":""},{"dropping-particle":"","family":"McDavid","given":"Andrew","non-dropping-particle":"","parse-names":false,"suffix":""},{"dropping-particle":"","family":"Yajima","given":"Masanao","non-dropping-particle":"","parse-names":false,"suffix":""},{"dropping-particle":"","family":"Deng","given":"Jingyuan","non-dropping-particle":"","parse-names":false,"suffix":""},{"dropping-particle":"","family":"Gersuk","given":"Vivian","non-dropping-particle":"","parse-names":false,"suffix":""},{"dropping-particle":"","family":"Shalek","given":"Alex K.","non-dropping-particle":"","parse-names":false,"suffix":""},{"dropping-particle":"","family":"Slichter","given":"Chloe K.","non-dropping-particle":"","parse-names":false,"suffix":""},{"dropping-particle":"","family":"Miller","given":"Hannah W.","non-dropping-particle":"","parse-names":false,"suffix":""},{"dropping-particle":"","family":"McElrath","given":"M. Juliana","non-dropping-particle":"","parse-names":false,"suffix":""},{"dropping-particle":"","family":"Prlic","given":"Martin","non-dropping-particle":"","parse-names":false,"suffix":""},{"dropping-particle":"","family":"Linsley","given":"Peter S.","non-dropping-particle":"","parse-names":false,"suffix":""},{"dropping-particle":"","family":"Gottardo","given":"Raphael","non-dropping-particle":"","parse-names":false,"suffix":""}],"container-title":"Genome Biology","id":"ITEM-1","issue":"1","issued":{"date-parts":[["2015","12","10"]]},"publisher":"BioMed Central Ltd.","title":"MAST: A flexible statistical framework for assessing transcriptional changes and characterizing heterogeneity in single-cell RNA sequencing data","type":"article-journal","volume":"16"},"uris":["http://www.mendeley.com/documents/?uuid=8975d1ad-803b-3910-9aac-62b2ef6aa4c4"]}],"mendeley":{"formattedCitation":"&lt;sup&gt;7&lt;/sup&gt;","plainTextFormattedCitation":"7","previouslyFormattedCitation":"&lt;sup&gt;7&lt;/sup&gt;"},"properties":{"noteIndex":0},"schema":"https://github.com/citation-style-language/schema/raw/master/csl-citation.json"}</w:instrText>
      </w:r>
      <w:r>
        <w:rPr>
          <w:rFonts w:eastAsia="Calibri" w:cs="Calibri"/>
        </w:rPr>
        <w:fldChar w:fldCharType="separate"/>
      </w:r>
      <w:r w:rsidRPr="002F623A">
        <w:rPr>
          <w:rFonts w:eastAsia="Calibri" w:cs="Calibri"/>
          <w:noProof/>
          <w:vertAlign w:val="superscript"/>
        </w:rPr>
        <w:t>7</w:t>
      </w:r>
      <w:r>
        <w:rPr>
          <w:rFonts w:eastAsia="Calibri" w:cs="Calibri"/>
        </w:rPr>
        <w:fldChar w:fldCharType="end"/>
      </w:r>
      <w:r w:rsidRPr="0089339D">
        <w:rPr>
          <w:rFonts w:eastAsia="Calibri" w:cs="Calibri"/>
        </w:rPr>
        <w:t xml:space="preserve">. When fitting the hurdle model, the </w:t>
      </w:r>
      <w:r w:rsidRPr="008A345B">
        <w:rPr>
          <w:rFonts w:eastAsia="Calibri" w:cs="Calibri"/>
        </w:rPr>
        <w:t>total number of UMIs per cell</w:t>
      </w:r>
      <w:r>
        <w:rPr>
          <w:rFonts w:eastAsia="Calibri" w:cs="Calibri"/>
        </w:rPr>
        <w:t xml:space="preserve"> </w:t>
      </w:r>
      <w:r w:rsidRPr="0089339D">
        <w:rPr>
          <w:rFonts w:eastAsia="Calibri" w:cs="Calibri"/>
        </w:rPr>
        <w:t>were used to reduce false positives due to different mRNA capture rates. To retain only genes that were robustly expressed, differential gene expression was calculated only for genes that were expressed in at least 20% of cells in one analyzed group (</w:t>
      </w:r>
      <w:r w:rsidRPr="0089339D">
        <w:rPr>
          <w:rFonts w:eastAsia="Consolas" w:cs="Consolas"/>
        </w:rPr>
        <w:t>min.pct = 0.20</w:t>
      </w:r>
      <w:r w:rsidRPr="0089339D">
        <w:rPr>
          <w:rFonts w:eastAsia="Calibri" w:cs="Calibri"/>
        </w:rPr>
        <w:t>). Genes with an adjusted p-value &lt;0.05 (Bonferroni correction) and a</w:t>
      </w:r>
      <w:r>
        <w:rPr>
          <w:rFonts w:eastAsia="Calibri" w:cs="Calibri"/>
        </w:rPr>
        <w:t>n absolute</w:t>
      </w:r>
      <w:r w:rsidRPr="0089339D">
        <w:rPr>
          <w:rFonts w:eastAsia="Calibri" w:cs="Calibri"/>
        </w:rPr>
        <w:t xml:space="preserve"> </w:t>
      </w:r>
      <w:r>
        <w:rPr>
          <w:rFonts w:eastAsia="Calibri" w:cs="Calibri"/>
        </w:rPr>
        <w:t xml:space="preserve">log </w:t>
      </w:r>
      <w:r w:rsidRPr="0089339D">
        <w:rPr>
          <w:rFonts w:eastAsia="Calibri" w:cs="Calibri"/>
        </w:rPr>
        <w:t xml:space="preserve">fold change of </w:t>
      </w:r>
      <w:r>
        <w:rPr>
          <w:rFonts w:eastAsia="Calibri" w:cs="Calibri"/>
        </w:rPr>
        <w:t>1.</w:t>
      </w:r>
      <w:r w:rsidRPr="0089339D">
        <w:rPr>
          <w:rFonts w:eastAsia="Calibri" w:cs="Calibri"/>
        </w:rPr>
        <w:t>25 were considered as significantly differentially expressed (DE) genes.</w:t>
      </w:r>
      <w:r>
        <w:rPr>
          <w:rFonts w:eastAsia="Calibri" w:cs="Calibri"/>
        </w:rPr>
        <w:t xml:space="preserve"> </w:t>
      </w:r>
      <w:r w:rsidRPr="007F6FB8">
        <w:rPr>
          <w:rFonts w:eastAsia="Calibri" w:cs="Calibri"/>
        </w:rPr>
        <w:t xml:space="preserve">As biological replicates were not available, differential expression results were interpreted in an exploratory manner and primarily used for </w:t>
      </w:r>
      <w:r>
        <w:rPr>
          <w:rFonts w:eastAsia="Calibri" w:cs="Calibri"/>
        </w:rPr>
        <w:t>subsequent</w:t>
      </w:r>
      <w:r w:rsidRPr="007F6FB8">
        <w:rPr>
          <w:rFonts w:eastAsia="Calibri" w:cs="Calibri"/>
        </w:rPr>
        <w:t xml:space="preserve"> enrichment analyses</w:t>
      </w:r>
      <w:r>
        <w:rPr>
          <w:rFonts w:eastAsia="Calibri" w:cs="Calibri"/>
        </w:rPr>
        <w:t xml:space="preserve">. </w:t>
      </w:r>
      <w:r>
        <w:rPr>
          <w:rFonts w:eastAsia="Calibri" w:cs="Calibri"/>
          <w:color w:val="000000" w:themeColor="text1"/>
        </w:rPr>
        <w:t>Therefore, g</w:t>
      </w:r>
      <w:r w:rsidRPr="0049043F">
        <w:rPr>
          <w:rFonts w:eastAsia="Calibri" w:cs="Calibri"/>
          <w:color w:val="000000" w:themeColor="text1"/>
        </w:rPr>
        <w:t>enes were ranked according to their average log2 fold-change values obtained from MAST-based differential expression analysis</w:t>
      </w:r>
      <w:r>
        <w:rPr>
          <w:rFonts w:eastAsia="Calibri" w:cs="Calibri"/>
          <w:color w:val="000000" w:themeColor="text1"/>
        </w:rPr>
        <w:t xml:space="preserve">. </w:t>
      </w:r>
      <w:r w:rsidRPr="00E31B2A">
        <w:rPr>
          <w:rFonts w:eastAsia="Calibri" w:cs="Calibri"/>
          <w:color w:val="000000" w:themeColor="text1"/>
        </w:rPr>
        <w:t xml:space="preserve">Ranked enrichment analysis against Gene Ontology Biological Process terms was performed using the </w:t>
      </w:r>
      <w:proofErr w:type="spellStart"/>
      <w:r w:rsidRPr="00E31B2A">
        <w:rPr>
          <w:rFonts w:eastAsia="Calibri" w:cs="Calibri"/>
          <w:color w:val="000000" w:themeColor="text1"/>
        </w:rPr>
        <w:t>gseGO</w:t>
      </w:r>
      <w:proofErr w:type="spellEnd"/>
      <w:r w:rsidRPr="00E31B2A">
        <w:rPr>
          <w:rFonts w:eastAsia="Calibri" w:cs="Calibri"/>
          <w:color w:val="000000" w:themeColor="text1"/>
        </w:rPr>
        <w:t xml:space="preserve"> function implemented in the </w:t>
      </w:r>
      <w:proofErr w:type="spellStart"/>
      <w:r w:rsidRPr="00E31B2A">
        <w:rPr>
          <w:rFonts w:eastAsia="Calibri" w:cs="Calibri"/>
          <w:color w:val="000000" w:themeColor="text1"/>
        </w:rPr>
        <w:t>clusterProfiler</w:t>
      </w:r>
      <w:proofErr w:type="spellEnd"/>
      <w:r w:rsidRPr="00E31B2A">
        <w:rPr>
          <w:rFonts w:eastAsia="Calibri" w:cs="Calibri"/>
          <w:color w:val="000000" w:themeColor="text1"/>
        </w:rPr>
        <w:t xml:space="preserve"> package</w:t>
      </w:r>
      <w:r>
        <w:rPr>
          <w:rFonts w:eastAsia="Calibri" w:cs="Calibri"/>
          <w:color w:val="000000" w:themeColor="text1"/>
        </w:rPr>
        <w:t xml:space="preserve"> v</w:t>
      </w:r>
      <w:r w:rsidRPr="00647AE8">
        <w:rPr>
          <w:rFonts w:eastAsia="Calibri" w:cs="Calibri"/>
          <w:color w:val="000000" w:themeColor="text1"/>
        </w:rPr>
        <w:t>4.12.6</w:t>
      </w:r>
      <w:r w:rsidRPr="00E31B2A">
        <w:rPr>
          <w:rFonts w:eastAsia="Calibri" w:cs="Calibri"/>
          <w:color w:val="000000" w:themeColor="text1"/>
        </w:rPr>
        <w:t xml:space="preserve"> </w:t>
      </w:r>
      <w:r>
        <w:rPr>
          <w:rFonts w:eastAsia="Calibri" w:cs="Calibri"/>
          <w:color w:val="000000" w:themeColor="text1"/>
        </w:rPr>
        <w:t>based on the</w:t>
      </w:r>
      <w:r w:rsidRPr="00E31B2A">
        <w:rPr>
          <w:rFonts w:eastAsia="Calibri" w:cs="Calibri"/>
          <w:color w:val="000000" w:themeColor="text1"/>
        </w:rPr>
        <w:t xml:space="preserve"> </w:t>
      </w:r>
      <w:proofErr w:type="spellStart"/>
      <w:r w:rsidRPr="00E31B2A">
        <w:rPr>
          <w:rFonts w:eastAsia="Calibri" w:cs="Calibri"/>
          <w:color w:val="000000" w:themeColor="text1"/>
        </w:rPr>
        <w:t>org.Hs.eg.db</w:t>
      </w:r>
      <w:proofErr w:type="spellEnd"/>
      <w:r w:rsidRPr="00E31B2A">
        <w:rPr>
          <w:rFonts w:eastAsia="Calibri" w:cs="Calibri"/>
          <w:color w:val="000000" w:themeColor="text1"/>
        </w:rPr>
        <w:t xml:space="preserve"> annotation database </w:t>
      </w:r>
      <w:r>
        <w:rPr>
          <w:rFonts w:eastAsia="Calibri" w:cs="Calibri"/>
          <w:color w:val="000000" w:themeColor="text1"/>
        </w:rPr>
        <w:t>v</w:t>
      </w:r>
      <w:r w:rsidRPr="001904E3">
        <w:rPr>
          <w:rFonts w:eastAsia="Calibri" w:cs="Calibri"/>
          <w:color w:val="000000" w:themeColor="text1"/>
        </w:rPr>
        <w:t>3.19.1</w:t>
      </w:r>
      <w:r>
        <w:rPr>
          <w:rFonts w:eastAsia="Calibri" w:cs="Calibri"/>
          <w:color w:val="000000" w:themeColor="text1"/>
        </w:rPr>
        <w:fldChar w:fldCharType="begin" w:fldLock="1"/>
      </w:r>
      <w:r>
        <w:rPr>
          <w:rFonts w:eastAsia="Calibri" w:cs="Calibri"/>
          <w:color w:val="000000" w:themeColor="text1"/>
        </w:rPr>
        <w:instrText>ADDIN CSL_CITATION {"citationItems":[{"id":"ITEM-1","itemData":{"DOI":"10.1089/OMI.2011.0118","ISSN":"1557-8100","PMID":"22455463","abstract":"Increasing quantitative data generated from transcriptomics and proteomics require integrative strategies for analysis. Here, we present an R package, clusterProfiler that automates the process of biological-term classification and the enrichment analysis of gene clusters. The analysis module and visualization module were combined into a reusable workflow. Currently, clusterProfiler supports three species, including humans, mice, and yeast. Methods provided in this package can be easily extended to other species and ontologies. The clusterProfiler package is released under Artistic-2.0 License within Bioconductor project. The source code and vignette are freely available at http://bioconductor.org/packages/release/bioc/html/clusterProfiler.html. © 2012 Mary Ann Liebert, Inc.","author":[{"dropping-particle":"","family":"Yu","given":"Guangchuang","non-dropping-particle":"","parse-names":false,"suffix":""},{"dropping-particle":"","family":"Wang","given":"Li Gen","non-dropping-particle":"","parse-names":false,"suffix":""},{"dropping-particle":"","family":"Han","given":"Yanyan","non-dropping-particle":"","parse-names":false,"suffix":""},{"dropping-particle":"","family":"He","given":"Qing Yu","non-dropping-particle":"","parse-names":false,"suffix":""}],"container-title":"Omics : a journal of integrative biology","id":"ITEM-1","issue":"5","issued":{"date-parts":[["2012","5","1"]]},"page":"284-287","publisher":"OMICS","title":"clusterProfiler: an R package for comparing biological themes among gene clusters","type":"article-journal","volume":"16"},"uris":["http://www.mendeley.com/documents/?uuid=0cedd7f5-d945-3068-b253-1dad60384c55"]}],"mendeley":{"formattedCitation":"&lt;sup&gt;8&lt;/sup&gt;","plainTextFormattedCitation":"8","previouslyFormattedCitation":"&lt;sup&gt;8&lt;/sup&gt;"},"properties":{"noteIndex":0},"schema":"https://github.com/citation-style-language/schema/raw/master/csl-citation.json"}</w:instrText>
      </w:r>
      <w:r>
        <w:rPr>
          <w:rFonts w:eastAsia="Calibri" w:cs="Calibri"/>
          <w:color w:val="000000" w:themeColor="text1"/>
        </w:rPr>
        <w:fldChar w:fldCharType="separate"/>
      </w:r>
      <w:r w:rsidRPr="005C0737">
        <w:rPr>
          <w:rFonts w:eastAsia="Calibri" w:cs="Calibri"/>
          <w:noProof/>
          <w:color w:val="000000" w:themeColor="text1"/>
          <w:vertAlign w:val="superscript"/>
        </w:rPr>
        <w:t>8</w:t>
      </w:r>
      <w:r>
        <w:rPr>
          <w:rFonts w:eastAsia="Calibri" w:cs="Calibri"/>
          <w:color w:val="000000" w:themeColor="text1"/>
        </w:rPr>
        <w:fldChar w:fldCharType="end"/>
      </w:r>
      <w:r w:rsidRPr="00E31B2A">
        <w:rPr>
          <w:rFonts w:eastAsia="Calibri" w:cs="Calibri"/>
          <w:color w:val="000000" w:themeColor="text1"/>
        </w:rPr>
        <w:t>.</w:t>
      </w:r>
      <w:r>
        <w:rPr>
          <w:rFonts w:eastAsia="Calibri" w:cs="Calibri"/>
          <w:color w:val="000000" w:themeColor="text1"/>
        </w:rPr>
        <w:t xml:space="preserve"> </w:t>
      </w:r>
      <w:r w:rsidRPr="00B553CB">
        <w:rPr>
          <w:rFonts w:eastAsia="Calibri" w:cs="Calibri"/>
          <w:color w:val="000000" w:themeColor="text1"/>
        </w:rPr>
        <w:lastRenderedPageBreak/>
        <w:t xml:space="preserve">Gene sets containing </w:t>
      </w:r>
      <w:r>
        <w:rPr>
          <w:rFonts w:eastAsia="Calibri" w:cs="Calibri"/>
          <w:color w:val="000000" w:themeColor="text1"/>
        </w:rPr>
        <w:t>less than</w:t>
      </w:r>
      <w:r w:rsidRPr="00B553CB">
        <w:rPr>
          <w:rFonts w:eastAsia="Calibri" w:cs="Calibri"/>
          <w:color w:val="000000" w:themeColor="text1"/>
        </w:rPr>
        <w:t xml:space="preserve"> 10</w:t>
      </w:r>
      <w:r>
        <w:rPr>
          <w:rFonts w:eastAsia="Calibri" w:cs="Calibri"/>
          <w:color w:val="000000" w:themeColor="text1"/>
        </w:rPr>
        <w:t xml:space="preserve"> genes and over</w:t>
      </w:r>
      <w:r w:rsidRPr="00B553CB">
        <w:rPr>
          <w:rFonts w:eastAsia="Calibri" w:cs="Calibri"/>
          <w:color w:val="000000" w:themeColor="text1"/>
        </w:rPr>
        <w:t xml:space="preserve"> 500 genes were </w:t>
      </w:r>
      <w:r>
        <w:rPr>
          <w:rFonts w:eastAsia="Calibri" w:cs="Calibri"/>
          <w:color w:val="000000" w:themeColor="text1"/>
        </w:rPr>
        <w:t>removed</w:t>
      </w:r>
      <w:r w:rsidRPr="00B553CB">
        <w:rPr>
          <w:rFonts w:eastAsia="Calibri" w:cs="Calibri"/>
          <w:color w:val="000000" w:themeColor="text1"/>
        </w:rPr>
        <w:t xml:space="preserve">, and </w:t>
      </w:r>
      <w:r>
        <w:rPr>
          <w:rFonts w:eastAsia="Calibri" w:cs="Calibri"/>
          <w:color w:val="000000" w:themeColor="text1"/>
        </w:rPr>
        <w:t>term</w:t>
      </w:r>
      <w:r w:rsidRPr="004F028F">
        <w:rPr>
          <w:rFonts w:eastAsia="Calibri" w:cs="Calibri"/>
          <w:color w:val="000000" w:themeColor="text1"/>
        </w:rPr>
        <w:t>s with adjusted p-value &lt;0.05 (Benjamini Hochberg correction) were considered significant</w:t>
      </w:r>
      <w:r w:rsidRPr="00B553CB">
        <w:rPr>
          <w:rFonts w:eastAsia="Calibri" w:cs="Calibri"/>
          <w:color w:val="000000" w:themeColor="text1"/>
        </w:rPr>
        <w:t>.</w:t>
      </w:r>
      <w:r w:rsidRPr="000C4EC7">
        <w:t xml:space="preserve"> </w:t>
      </w:r>
      <w:r w:rsidRPr="000C4EC7">
        <w:rPr>
          <w:rFonts w:eastAsia="Calibri" w:cs="Calibri"/>
          <w:color w:val="000000" w:themeColor="text1"/>
        </w:rPr>
        <w:t xml:space="preserve">To reduce redundancy among enriched GO terms, semantic similarity filtering was applied using the simplify function </w:t>
      </w:r>
      <w:r>
        <w:rPr>
          <w:rFonts w:eastAsia="Calibri" w:cs="Calibri"/>
          <w:color w:val="000000" w:themeColor="text1"/>
        </w:rPr>
        <w:t xml:space="preserve">by </w:t>
      </w:r>
      <w:proofErr w:type="spellStart"/>
      <w:r>
        <w:rPr>
          <w:rFonts w:eastAsia="Calibri" w:cs="Calibri"/>
          <w:color w:val="000000" w:themeColor="text1"/>
        </w:rPr>
        <w:t>clusterProfiler</w:t>
      </w:r>
      <w:proofErr w:type="spellEnd"/>
      <w:r>
        <w:rPr>
          <w:rFonts w:eastAsia="Calibri" w:cs="Calibri"/>
          <w:color w:val="000000" w:themeColor="text1"/>
        </w:rPr>
        <w:t xml:space="preserve"> </w:t>
      </w:r>
      <w:r w:rsidRPr="000C4EC7">
        <w:rPr>
          <w:rFonts w:eastAsia="Calibri" w:cs="Calibri"/>
          <w:color w:val="000000" w:themeColor="text1"/>
        </w:rPr>
        <w:t>with a similarity cutoff of 0.7, retaining the most significant representative term per cluster of related pathways. Enriched pathways were subsequently grouped into broader manually curated functional themes</w:t>
      </w:r>
      <w:r>
        <w:rPr>
          <w:rFonts w:eastAsia="Calibri" w:cs="Calibri"/>
          <w:color w:val="000000" w:themeColor="text1"/>
        </w:rPr>
        <w:t>.</w:t>
      </w:r>
    </w:p>
    <w:p w14:paraId="789ECA60" w14:textId="77777777" w:rsidR="000E40F5" w:rsidRPr="004B05C4" w:rsidRDefault="000E40F5" w:rsidP="000E40F5">
      <w:pPr>
        <w:pStyle w:val="berschrift3"/>
        <w:rPr>
          <w:rFonts w:eastAsia="Calibri"/>
        </w:rPr>
      </w:pPr>
      <w:r w:rsidRPr="00AF1152">
        <w:rPr>
          <w:rFonts w:eastAsia="Calibri"/>
        </w:rPr>
        <w:t>NK subset signature scoring</w:t>
      </w:r>
    </w:p>
    <w:p w14:paraId="7EC6BFE7" w14:textId="77777777" w:rsidR="000E40F5" w:rsidRPr="00B177A1" w:rsidRDefault="000E40F5" w:rsidP="000E40F5">
      <w:pPr>
        <w:jc w:val="both"/>
      </w:pPr>
      <w:r w:rsidRPr="004377ED">
        <w:t>To compare NK transcriptional states with previously described NK cell populations from healthy human blood, published NK1–NK3 gene signatures</w:t>
      </w:r>
      <w:r>
        <w:fldChar w:fldCharType="begin" w:fldLock="1"/>
      </w:r>
      <w:r>
        <w:instrText>ADDIN CSL_CITATION {"citationItems":[{"id":"ITEM-1","itemData":{"DOI":"10.1038/s41590-024-01883-0","ISSN":"15292916","PMID":"38956378","abstract":"Natural killer (NK) cells are innate lymphoid cells (ILCs) contributing to immune responses to microbes and tumors. Historically, their classification hinged on a limited array of surface protein markers. Here, we used single-cell RNA sequencing (scRNA-seq) and cellular indexing of transcriptomes and epitopes by sequencing (CITE-seq) to dissect the heterogeneity of NK cells. We identified three prominent NK cell subsets in healthy human blood: NK1, NK2 and NK3, further differentiated into six distinct subgroups. Our findings delineate the molecular characteristics, key transcription factors, biological functions, metabolic traits and cytokine responses of each subgroup. These data also suggest two separate ontogenetic origins for NK cells, leading to divergent transcriptional trajectories. Furthermore, we analyzed the distribution of NK cell subsets in the lung, tonsils and intraepithelial lymphocytes isolated from healthy individuals and in 22 tumor types. This standardized terminology aims at fostering clarity and consistency in future research, thereby improving cross-study comparisons.","author":[{"dropping-particle":"","family":"Rebuffet","given":"Lucas","non-dropping-particle":"","parse-names":false,"suffix":""},{"dropping-particle":"","family":"Melsen","given":"Janine E.","non-dropping-particle":"","parse-names":false,"suffix":""},{"dropping-particle":"","family":"Escalière","given":"Bertrand","non-dropping-particle":"","parse-names":false,"suffix":""},{"dropping-particle":"","family":"Basurto-Lozada","given":"Daniela","non-dropping-particle":"","parse-names":false,"suffix":""},{"dropping-particle":"","family":"Bhandoola","given":"Avinash","non-dropping-particle":"","parse-names":false,"suffix":""},{"dropping-particle":"","family":"Björkström","given":"Niklas K.","non-dropping-particle":"","parse-names":false,"suffix":""},{"dropping-particle":"","family":"Bryceson","given":"Yenan T.","non-dropping-particle":"","parse-names":false,"suffix":""},{"dropping-particle":"","family":"Castriconi","given":"Roberta","non-dropping-particle":"","parse-names":false,"suffix":""},{"dropping-particle":"","family":"Cichocki","given":"Frank","non-dropping-particle":"","parse-names":false,"suffix":""},{"dropping-particle":"","family":"Colonna","given":"Marco","non-dropping-particle":"","parse-names":false,"suffix":""},{"dropping-particle":"","family":"Davis","given":"Daniel M.","non-dropping-particle":"","parse-names":false,"suffix":""},{"dropping-particle":"","family":"Diefenbach","given":"Andreas","non-dropping-particle":"","parse-names":false,"suffix":""},{"dropping-particle":"","family":"Ding","given":"Yi","non-dropping-particle":"","parse-names":false,"suffix":""},{"dropping-particle":"","family":"Haniffa","given":"Muzlifah","non-dropping-particle":"","parse-names":false,"suffix":""},{"dropping-particle":"","family":"Horowitz","given":"Amir","non-dropping-particle":"","parse-names":false,"suffix":""},{"dropping-particle":"","family":"Lanier","given":"Lewis L.","non-dropping-particle":"","parse-names":false,"suffix":""},{"dropping-particle":"","family":"Malmberg","given":"Karl Johan","non-dropping-particle":"","parse-names":false,"suffix":""},{"dropping-particle":"","family":"Miller","given":"Jeffrey S.","non-dropping-particle":"","parse-names":false,"suffix":""},{"dropping-particle":"","family":"Moretta","given":"Lorenzo","non-dropping-particle":"","parse-names":false,"suffix":""},{"dropping-particle":"","family":"Narni-Mancinelli","given":"Emilie","non-dropping-particle":"","parse-names":false,"suffix":""},{"dropping-particle":"","family":"O’Neill","given":"Luke A.J. J","non-dropping-particle":"","parse-names":false,"suffix":""},{"dropping-particle":"","family":"Romagnani","given":"Chiara","non-dropping-particle":"","parse-names":false,"suffix":""},{"dropping-particle":"","family":"Ryan","given":"Dylan G.","non-dropping-particle":"","parse-names":false,"suffix":""},{"dropping-particle":"","family":"Sivori","given":"Simona","non-dropping-particle":"","parse-names":false,"suffix":""},{"dropping-particle":"","family":"Sun","given":"Dan","non-dropping-particle":"","parse-names":false,"suffix":""},{"dropping-particle":"","family":"Vagne","given":"Constance","non-dropping-particle":"","parse-names":false,"suffix":""},{"dropping-particle":"","family":"Vivier","given":"Eric","non-dropping-particle":"","parse-names":false,"suffix":""}],"container-title":"Nature Immunology","id":"ITEM-1","issue":"8","issued":{"date-parts":[["2024","8","1"]]},"page":"1474-1488","publisher":"Nature Research","title":"High-dimensional single-cell analysis of human natural killer cell heterogeneity","type":"article-journal","volume":"25"},"uris":["http://www.mendeley.com/documents/?uuid=2fb51eda-903c-4c80-81b6-e3d51975d527"]}],"mendeley":{"formattedCitation":"&lt;sup&gt;9&lt;/sup&gt;","plainTextFormattedCitation":"9","previouslyFormattedCitation":"&lt;sup&gt;9&lt;/sup&gt;"},"properties":{"noteIndex":0},"schema":"https://github.com/citation-style-language/schema/raw/master/csl-citation.json"}</w:instrText>
      </w:r>
      <w:r>
        <w:fldChar w:fldCharType="separate"/>
      </w:r>
      <w:r w:rsidRPr="005C0737">
        <w:rPr>
          <w:noProof/>
          <w:vertAlign w:val="superscript"/>
        </w:rPr>
        <w:t>9</w:t>
      </w:r>
      <w:r>
        <w:fldChar w:fldCharType="end"/>
      </w:r>
      <w:r w:rsidRPr="004377ED">
        <w:t xml:space="preserve"> were </w:t>
      </w:r>
      <w:r>
        <w:t>used</w:t>
      </w:r>
      <w:r w:rsidRPr="004377ED">
        <w:t xml:space="preserve">. </w:t>
      </w:r>
      <w:r>
        <w:t>The</w:t>
      </w:r>
      <w:r w:rsidRPr="004377ED">
        <w:t xml:space="preserve"> top 20 marker genes reported in the reference study were used as signature gene sets</w:t>
      </w:r>
      <w:r>
        <w:t xml:space="preserve">, and module scores were calculated for each cell </w:t>
      </w:r>
      <w:r w:rsidRPr="00FD67A7">
        <w:t xml:space="preserve">using Seurat’s </w:t>
      </w:r>
      <w:proofErr w:type="spellStart"/>
      <w:r w:rsidRPr="00FD67A7">
        <w:t>AddModuleScore</w:t>
      </w:r>
      <w:proofErr w:type="spellEnd"/>
      <w:r w:rsidRPr="00FD67A7">
        <w:t xml:space="preserve"> function</w:t>
      </w:r>
      <w:r>
        <w:t>.</w:t>
      </w:r>
    </w:p>
    <w:p w14:paraId="0EF35D25" w14:textId="77777777" w:rsidR="00F84B32" w:rsidRDefault="00F84B32">
      <w:pPr>
        <w:rPr>
          <w:rFonts w:asciiTheme="majorHAnsi" w:eastAsiaTheme="majorEastAsia" w:hAnsiTheme="majorHAnsi" w:cstheme="majorBidi"/>
          <w:b/>
          <w:color w:val="000000" w:themeColor="text1"/>
          <w:sz w:val="32"/>
          <w:szCs w:val="40"/>
        </w:rPr>
      </w:pPr>
      <w:r>
        <w:br w:type="page"/>
      </w:r>
    </w:p>
    <w:p w14:paraId="7446BB70" w14:textId="79CED5F7" w:rsidR="000C555C" w:rsidRDefault="000C555C" w:rsidP="000C555C">
      <w:pPr>
        <w:pStyle w:val="berschrift1"/>
      </w:pPr>
      <w:r>
        <w:lastRenderedPageBreak/>
        <w:t>References</w:t>
      </w:r>
    </w:p>
    <w:p w14:paraId="5891A1A3" w14:textId="77777777" w:rsidR="000C555C" w:rsidRPr="00E87B77" w:rsidRDefault="000C555C" w:rsidP="000C555C">
      <w:pPr>
        <w:widowControl w:val="0"/>
        <w:autoSpaceDE w:val="0"/>
        <w:autoSpaceDN w:val="0"/>
        <w:adjustRightInd w:val="0"/>
        <w:spacing w:line="240" w:lineRule="auto"/>
        <w:ind w:left="640" w:hanging="640"/>
        <w:rPr>
          <w:rFonts w:ascii="Aptos" w:hAnsi="Aptos" w:cs="Times New Roman"/>
          <w:noProof/>
          <w:kern w:val="0"/>
        </w:rPr>
      </w:pPr>
      <w:r>
        <w:fldChar w:fldCharType="begin" w:fldLock="1"/>
      </w:r>
      <w:r>
        <w:instrText xml:space="preserve">ADDIN Mendeley Bibliography CSL_BIBLIOGRAPHY </w:instrText>
      </w:r>
      <w:r>
        <w:fldChar w:fldCharType="separate"/>
      </w:r>
      <w:r w:rsidRPr="00E87B77">
        <w:rPr>
          <w:rFonts w:ascii="Aptos" w:hAnsi="Aptos" w:cs="Times New Roman"/>
          <w:noProof/>
          <w:kern w:val="0"/>
        </w:rPr>
        <w:t xml:space="preserve">1. </w:t>
      </w:r>
      <w:r w:rsidRPr="00E87B77">
        <w:rPr>
          <w:rFonts w:ascii="Aptos" w:hAnsi="Aptos" w:cs="Times New Roman"/>
          <w:noProof/>
          <w:kern w:val="0"/>
        </w:rPr>
        <w:tab/>
        <w:t xml:space="preserve">Zheng GXY, Terry JM, Belgrader P, et al. Massively parallel digital transcriptional profiling of single cells. </w:t>
      </w:r>
      <w:r w:rsidRPr="00E87B77">
        <w:rPr>
          <w:rFonts w:ascii="Aptos" w:hAnsi="Aptos" w:cs="Times New Roman"/>
          <w:i/>
          <w:iCs/>
          <w:noProof/>
          <w:kern w:val="0"/>
        </w:rPr>
        <w:t>Nat Commun 2017 81</w:t>
      </w:r>
      <w:r w:rsidRPr="00E87B77">
        <w:rPr>
          <w:rFonts w:ascii="Aptos" w:hAnsi="Aptos" w:cs="Times New Roman"/>
          <w:noProof/>
          <w:kern w:val="0"/>
        </w:rPr>
        <w:t>. 2017;8(1):14049-. doi:10.1038/ncomms14049</w:t>
      </w:r>
    </w:p>
    <w:p w14:paraId="65F2BE0F" w14:textId="77777777" w:rsidR="000C555C" w:rsidRPr="00E87B77" w:rsidRDefault="000C555C" w:rsidP="000C555C">
      <w:pPr>
        <w:widowControl w:val="0"/>
        <w:autoSpaceDE w:val="0"/>
        <w:autoSpaceDN w:val="0"/>
        <w:adjustRightInd w:val="0"/>
        <w:spacing w:line="240" w:lineRule="auto"/>
        <w:ind w:left="640" w:hanging="640"/>
        <w:rPr>
          <w:rFonts w:ascii="Aptos" w:hAnsi="Aptos" w:cs="Times New Roman"/>
          <w:noProof/>
          <w:kern w:val="0"/>
        </w:rPr>
      </w:pPr>
      <w:r w:rsidRPr="00E87B77">
        <w:rPr>
          <w:rFonts w:ascii="Aptos" w:hAnsi="Aptos" w:cs="Times New Roman"/>
          <w:noProof/>
          <w:kern w:val="0"/>
        </w:rPr>
        <w:t xml:space="preserve">2. </w:t>
      </w:r>
      <w:r w:rsidRPr="00E87B77">
        <w:rPr>
          <w:rFonts w:ascii="Aptos" w:hAnsi="Aptos" w:cs="Times New Roman"/>
          <w:noProof/>
          <w:kern w:val="0"/>
        </w:rPr>
        <w:tab/>
        <w:t xml:space="preserve">Hao Y, Stuart T, Kowalski MH, et al. Dictionary learning for integrative, multimodal and scalable single-cell analysis. </w:t>
      </w:r>
      <w:r w:rsidRPr="00E87B77">
        <w:rPr>
          <w:rFonts w:ascii="Aptos" w:hAnsi="Aptos" w:cs="Times New Roman"/>
          <w:i/>
          <w:iCs/>
          <w:noProof/>
          <w:kern w:val="0"/>
        </w:rPr>
        <w:t>Nat Biotechnol 2023 422</w:t>
      </w:r>
      <w:r w:rsidRPr="00E87B77">
        <w:rPr>
          <w:rFonts w:ascii="Aptos" w:hAnsi="Aptos" w:cs="Times New Roman"/>
          <w:noProof/>
          <w:kern w:val="0"/>
        </w:rPr>
        <w:t>. 2023;42(2):293-304. doi:10.1038/s41587-023-01767-y</w:t>
      </w:r>
    </w:p>
    <w:p w14:paraId="2C72291B" w14:textId="77777777" w:rsidR="000C555C" w:rsidRPr="00E87B77" w:rsidRDefault="000C555C" w:rsidP="000C555C">
      <w:pPr>
        <w:widowControl w:val="0"/>
        <w:autoSpaceDE w:val="0"/>
        <w:autoSpaceDN w:val="0"/>
        <w:adjustRightInd w:val="0"/>
        <w:spacing w:line="240" w:lineRule="auto"/>
        <w:ind w:left="640" w:hanging="640"/>
        <w:rPr>
          <w:rFonts w:ascii="Aptos" w:hAnsi="Aptos" w:cs="Times New Roman"/>
          <w:noProof/>
          <w:kern w:val="0"/>
        </w:rPr>
      </w:pPr>
      <w:r w:rsidRPr="00E87B77">
        <w:rPr>
          <w:rFonts w:ascii="Aptos" w:hAnsi="Aptos" w:cs="Times New Roman"/>
          <w:noProof/>
          <w:kern w:val="0"/>
        </w:rPr>
        <w:t xml:space="preserve">3. </w:t>
      </w:r>
      <w:r w:rsidRPr="00E87B77">
        <w:rPr>
          <w:rFonts w:ascii="Aptos" w:hAnsi="Aptos" w:cs="Times New Roman"/>
          <w:noProof/>
          <w:kern w:val="0"/>
        </w:rPr>
        <w:tab/>
        <w:t xml:space="preserve">Germain PL, Robinson MD, Lun A, Garcia Meixide C, Macnair W. Doublet identification in single-cell sequencing data using scDblFinder. </w:t>
      </w:r>
      <w:r w:rsidRPr="00E87B77">
        <w:rPr>
          <w:rFonts w:ascii="Aptos" w:hAnsi="Aptos" w:cs="Times New Roman"/>
          <w:i/>
          <w:iCs/>
          <w:noProof/>
          <w:kern w:val="0"/>
        </w:rPr>
        <w:t>F1000Research</w:t>
      </w:r>
      <w:r w:rsidRPr="00E87B77">
        <w:rPr>
          <w:rFonts w:ascii="Aptos" w:hAnsi="Aptos" w:cs="Times New Roman"/>
          <w:noProof/>
          <w:kern w:val="0"/>
        </w:rPr>
        <w:t>. 2022;10:979. doi:10.12688/F1000RESEARCH.73600.2</w:t>
      </w:r>
    </w:p>
    <w:p w14:paraId="329FBA9D" w14:textId="77777777" w:rsidR="000C555C" w:rsidRPr="00E87B77" w:rsidRDefault="000C555C" w:rsidP="000C555C">
      <w:pPr>
        <w:widowControl w:val="0"/>
        <w:autoSpaceDE w:val="0"/>
        <w:autoSpaceDN w:val="0"/>
        <w:adjustRightInd w:val="0"/>
        <w:spacing w:line="240" w:lineRule="auto"/>
        <w:ind w:left="640" w:hanging="640"/>
        <w:rPr>
          <w:rFonts w:ascii="Aptos" w:hAnsi="Aptos" w:cs="Times New Roman"/>
          <w:noProof/>
          <w:kern w:val="0"/>
        </w:rPr>
      </w:pPr>
      <w:r w:rsidRPr="00E87B77">
        <w:rPr>
          <w:rFonts w:ascii="Aptos" w:hAnsi="Aptos" w:cs="Times New Roman"/>
          <w:noProof/>
          <w:kern w:val="0"/>
        </w:rPr>
        <w:t xml:space="preserve">4. </w:t>
      </w:r>
      <w:r w:rsidRPr="00E87B77">
        <w:rPr>
          <w:rFonts w:ascii="Aptos" w:hAnsi="Aptos" w:cs="Times New Roman"/>
          <w:noProof/>
          <w:kern w:val="0"/>
        </w:rPr>
        <w:tab/>
        <w:t xml:space="preserve">Bais AS, Kostka D. scds: computational annotation of doublets in single-cell RNA sequencing data. </w:t>
      </w:r>
      <w:r w:rsidRPr="00E87B77">
        <w:rPr>
          <w:rFonts w:ascii="Aptos" w:hAnsi="Aptos" w:cs="Times New Roman"/>
          <w:i/>
          <w:iCs/>
          <w:noProof/>
          <w:kern w:val="0"/>
        </w:rPr>
        <w:t>Bioinformatics</w:t>
      </w:r>
      <w:r w:rsidRPr="00E87B77">
        <w:rPr>
          <w:rFonts w:ascii="Aptos" w:hAnsi="Aptos" w:cs="Times New Roman"/>
          <w:noProof/>
          <w:kern w:val="0"/>
        </w:rPr>
        <w:t>. 2020;36(4):1150-1158. doi:10.1093/BIOINFORMATICS/BTZ698</w:t>
      </w:r>
    </w:p>
    <w:p w14:paraId="34C6EFA7" w14:textId="77777777" w:rsidR="000C555C" w:rsidRPr="00E87B77" w:rsidRDefault="000C555C" w:rsidP="000C555C">
      <w:pPr>
        <w:widowControl w:val="0"/>
        <w:autoSpaceDE w:val="0"/>
        <w:autoSpaceDN w:val="0"/>
        <w:adjustRightInd w:val="0"/>
        <w:spacing w:line="240" w:lineRule="auto"/>
        <w:ind w:left="640" w:hanging="640"/>
        <w:rPr>
          <w:rFonts w:ascii="Aptos" w:hAnsi="Aptos" w:cs="Times New Roman"/>
          <w:noProof/>
          <w:kern w:val="0"/>
        </w:rPr>
      </w:pPr>
      <w:r w:rsidRPr="00E87B77">
        <w:rPr>
          <w:rFonts w:ascii="Aptos" w:hAnsi="Aptos" w:cs="Times New Roman"/>
          <w:noProof/>
          <w:kern w:val="0"/>
        </w:rPr>
        <w:t xml:space="preserve">5. </w:t>
      </w:r>
      <w:r w:rsidRPr="00E87B77">
        <w:rPr>
          <w:rFonts w:ascii="Aptos" w:hAnsi="Aptos" w:cs="Times New Roman"/>
          <w:noProof/>
          <w:kern w:val="0"/>
        </w:rPr>
        <w:tab/>
        <w:t xml:space="preserve">Andreatta M, Berenstein AJ, Carmona SJ. scGate: marker-based purification of cell types from heterogeneous single-cell RNA-seq datasets. </w:t>
      </w:r>
      <w:r w:rsidRPr="00E87B77">
        <w:rPr>
          <w:rFonts w:ascii="Aptos" w:hAnsi="Aptos" w:cs="Times New Roman"/>
          <w:i/>
          <w:iCs/>
          <w:noProof/>
          <w:kern w:val="0"/>
        </w:rPr>
        <w:t>Bioinformatics</w:t>
      </w:r>
      <w:r w:rsidRPr="00E87B77">
        <w:rPr>
          <w:rFonts w:ascii="Aptos" w:hAnsi="Aptos" w:cs="Times New Roman"/>
          <w:noProof/>
          <w:kern w:val="0"/>
        </w:rPr>
        <w:t>. 2022;38(9):2642-2644. doi:10.1093/BIOINFORMATICS/BTAC141</w:t>
      </w:r>
    </w:p>
    <w:p w14:paraId="4EE4B29B" w14:textId="77777777" w:rsidR="000C555C" w:rsidRPr="00E87B77" w:rsidRDefault="000C555C" w:rsidP="000C555C">
      <w:pPr>
        <w:widowControl w:val="0"/>
        <w:autoSpaceDE w:val="0"/>
        <w:autoSpaceDN w:val="0"/>
        <w:adjustRightInd w:val="0"/>
        <w:spacing w:line="240" w:lineRule="auto"/>
        <w:ind w:left="640" w:hanging="640"/>
        <w:rPr>
          <w:rFonts w:ascii="Aptos" w:hAnsi="Aptos" w:cs="Times New Roman"/>
          <w:noProof/>
          <w:kern w:val="0"/>
        </w:rPr>
      </w:pPr>
      <w:r w:rsidRPr="00E87B77">
        <w:rPr>
          <w:rFonts w:ascii="Aptos" w:hAnsi="Aptos" w:cs="Times New Roman"/>
          <w:noProof/>
          <w:kern w:val="0"/>
        </w:rPr>
        <w:t xml:space="preserve">6. </w:t>
      </w:r>
      <w:r w:rsidRPr="00E87B77">
        <w:rPr>
          <w:rFonts w:ascii="Aptos" w:hAnsi="Aptos" w:cs="Times New Roman"/>
          <w:noProof/>
          <w:kern w:val="0"/>
        </w:rPr>
        <w:tab/>
        <w:t xml:space="preserve">Korsunsky I, Millard N, Fan J, et al. Fast, sensitive and accurate integration of single-cell data with Harmony. </w:t>
      </w:r>
      <w:r w:rsidRPr="00E87B77">
        <w:rPr>
          <w:rFonts w:ascii="Aptos" w:hAnsi="Aptos" w:cs="Times New Roman"/>
          <w:i/>
          <w:iCs/>
          <w:noProof/>
          <w:kern w:val="0"/>
        </w:rPr>
        <w:t>Nat Methods 2019 1612</w:t>
      </w:r>
      <w:r w:rsidRPr="00E87B77">
        <w:rPr>
          <w:rFonts w:ascii="Aptos" w:hAnsi="Aptos" w:cs="Times New Roman"/>
          <w:noProof/>
          <w:kern w:val="0"/>
        </w:rPr>
        <w:t>. 2019;16(12):1289-1296. doi:10.1038/s41592-019-0619-0</w:t>
      </w:r>
    </w:p>
    <w:p w14:paraId="36A4D574" w14:textId="77777777" w:rsidR="000C555C" w:rsidRPr="00E87B77" w:rsidRDefault="000C555C" w:rsidP="000C555C">
      <w:pPr>
        <w:widowControl w:val="0"/>
        <w:autoSpaceDE w:val="0"/>
        <w:autoSpaceDN w:val="0"/>
        <w:adjustRightInd w:val="0"/>
        <w:spacing w:line="240" w:lineRule="auto"/>
        <w:ind w:left="640" w:hanging="640"/>
        <w:rPr>
          <w:rFonts w:ascii="Aptos" w:hAnsi="Aptos" w:cs="Times New Roman"/>
          <w:noProof/>
          <w:kern w:val="0"/>
        </w:rPr>
      </w:pPr>
      <w:r w:rsidRPr="00E87B77">
        <w:rPr>
          <w:rFonts w:ascii="Aptos" w:hAnsi="Aptos" w:cs="Times New Roman"/>
          <w:noProof/>
          <w:kern w:val="0"/>
        </w:rPr>
        <w:t xml:space="preserve">7. </w:t>
      </w:r>
      <w:r w:rsidRPr="00E87B77">
        <w:rPr>
          <w:rFonts w:ascii="Aptos" w:hAnsi="Aptos" w:cs="Times New Roman"/>
          <w:noProof/>
          <w:kern w:val="0"/>
        </w:rPr>
        <w:tab/>
        <w:t xml:space="preserve">Finak G, McDavid A, Yajima M, et al. MAST: A flexible statistical framework for assessing transcriptional changes and characterizing heterogeneity in single-cell RNA sequencing data. </w:t>
      </w:r>
      <w:r w:rsidRPr="00E87B77">
        <w:rPr>
          <w:rFonts w:ascii="Aptos" w:hAnsi="Aptos" w:cs="Times New Roman"/>
          <w:i/>
          <w:iCs/>
          <w:noProof/>
          <w:kern w:val="0"/>
        </w:rPr>
        <w:t>Genome Biol</w:t>
      </w:r>
      <w:r w:rsidRPr="00E87B77">
        <w:rPr>
          <w:rFonts w:ascii="Aptos" w:hAnsi="Aptos" w:cs="Times New Roman"/>
          <w:noProof/>
          <w:kern w:val="0"/>
        </w:rPr>
        <w:t>. 2015;16(1). doi:10.1186/S13059-015-0844-5</w:t>
      </w:r>
    </w:p>
    <w:p w14:paraId="6C9D8141" w14:textId="77777777" w:rsidR="000C555C" w:rsidRPr="00E87B77" w:rsidRDefault="000C555C" w:rsidP="000C555C">
      <w:pPr>
        <w:widowControl w:val="0"/>
        <w:autoSpaceDE w:val="0"/>
        <w:autoSpaceDN w:val="0"/>
        <w:adjustRightInd w:val="0"/>
        <w:spacing w:line="240" w:lineRule="auto"/>
        <w:ind w:left="640" w:hanging="640"/>
        <w:rPr>
          <w:rFonts w:ascii="Aptos" w:hAnsi="Aptos" w:cs="Times New Roman"/>
          <w:noProof/>
          <w:kern w:val="0"/>
        </w:rPr>
      </w:pPr>
      <w:r w:rsidRPr="00E87B77">
        <w:rPr>
          <w:rFonts w:ascii="Aptos" w:hAnsi="Aptos" w:cs="Times New Roman"/>
          <w:noProof/>
          <w:kern w:val="0"/>
        </w:rPr>
        <w:t xml:space="preserve">8. </w:t>
      </w:r>
      <w:r w:rsidRPr="00E87B77">
        <w:rPr>
          <w:rFonts w:ascii="Aptos" w:hAnsi="Aptos" w:cs="Times New Roman"/>
          <w:noProof/>
          <w:kern w:val="0"/>
        </w:rPr>
        <w:tab/>
        <w:t xml:space="preserve">Yu G, Wang LG, Han Y, He QY. clusterProfiler: an R package for comparing biological themes among gene clusters. </w:t>
      </w:r>
      <w:r w:rsidRPr="00E87B77">
        <w:rPr>
          <w:rFonts w:ascii="Aptos" w:hAnsi="Aptos" w:cs="Times New Roman"/>
          <w:i/>
          <w:iCs/>
          <w:noProof/>
          <w:kern w:val="0"/>
        </w:rPr>
        <w:t>OMICS</w:t>
      </w:r>
      <w:r w:rsidRPr="00E87B77">
        <w:rPr>
          <w:rFonts w:ascii="Aptos" w:hAnsi="Aptos" w:cs="Times New Roman"/>
          <w:noProof/>
          <w:kern w:val="0"/>
        </w:rPr>
        <w:t>. 2012;16(5):284-287. doi:10.1089/OMI.2011.0118</w:t>
      </w:r>
    </w:p>
    <w:p w14:paraId="71748AB4" w14:textId="77777777" w:rsidR="000C555C" w:rsidRPr="00E87B77" w:rsidRDefault="000C555C" w:rsidP="000C555C">
      <w:pPr>
        <w:widowControl w:val="0"/>
        <w:autoSpaceDE w:val="0"/>
        <w:autoSpaceDN w:val="0"/>
        <w:adjustRightInd w:val="0"/>
        <w:spacing w:line="240" w:lineRule="auto"/>
        <w:ind w:left="640" w:hanging="640"/>
        <w:rPr>
          <w:rFonts w:ascii="Aptos" w:hAnsi="Aptos"/>
          <w:noProof/>
        </w:rPr>
      </w:pPr>
      <w:r w:rsidRPr="00E87B77">
        <w:rPr>
          <w:rFonts w:ascii="Aptos" w:hAnsi="Aptos" w:cs="Times New Roman"/>
          <w:noProof/>
          <w:kern w:val="0"/>
        </w:rPr>
        <w:t xml:space="preserve">9. </w:t>
      </w:r>
      <w:r w:rsidRPr="00E87B77">
        <w:rPr>
          <w:rFonts w:ascii="Aptos" w:hAnsi="Aptos" w:cs="Times New Roman"/>
          <w:noProof/>
          <w:kern w:val="0"/>
        </w:rPr>
        <w:tab/>
        <w:t xml:space="preserve">Rebuffet L, Melsen JE, Escalière B, et al. High-dimensional single-cell analysis of human natural killer cell heterogeneity. </w:t>
      </w:r>
      <w:r w:rsidRPr="00E87B77">
        <w:rPr>
          <w:rFonts w:ascii="Aptos" w:hAnsi="Aptos" w:cs="Times New Roman"/>
          <w:i/>
          <w:iCs/>
          <w:noProof/>
          <w:kern w:val="0"/>
        </w:rPr>
        <w:t>Nat Immunol</w:t>
      </w:r>
      <w:r w:rsidRPr="00E87B77">
        <w:rPr>
          <w:rFonts w:ascii="Aptos" w:hAnsi="Aptos" w:cs="Times New Roman"/>
          <w:noProof/>
          <w:kern w:val="0"/>
        </w:rPr>
        <w:t>. 2024;25(8):1474-1488. doi:10.1038/s41590-024-01883-0</w:t>
      </w:r>
    </w:p>
    <w:p w14:paraId="1EFA1168" w14:textId="77777777" w:rsidR="000C555C" w:rsidRPr="00E87B77" w:rsidRDefault="000C555C" w:rsidP="000C555C">
      <w:r>
        <w:fldChar w:fldCharType="end"/>
      </w:r>
    </w:p>
    <w:p w14:paraId="433996DF" w14:textId="77777777" w:rsidR="00F84B32" w:rsidRDefault="00F84B32">
      <w:pPr>
        <w:rPr>
          <w:rFonts w:asciiTheme="majorHAnsi" w:eastAsiaTheme="majorEastAsia" w:hAnsiTheme="majorHAnsi" w:cstheme="majorBidi"/>
          <w:b/>
          <w:color w:val="000000" w:themeColor="text1"/>
          <w:sz w:val="32"/>
          <w:szCs w:val="40"/>
        </w:rPr>
      </w:pPr>
      <w:r>
        <w:br w:type="page"/>
      </w:r>
    </w:p>
    <w:p w14:paraId="5D722D21" w14:textId="4C5064D8" w:rsidR="000C555C" w:rsidRDefault="000C555C" w:rsidP="000C555C">
      <w:pPr>
        <w:pStyle w:val="berschrift1"/>
      </w:pPr>
      <w:r>
        <w:lastRenderedPageBreak/>
        <w:t>Supplemental Tables</w:t>
      </w:r>
    </w:p>
    <w:p w14:paraId="003A26DB" w14:textId="77777777" w:rsidR="000C555C" w:rsidRDefault="000C555C" w:rsidP="000C555C">
      <w:r>
        <w:t>For supplemental tables S1-S6 see Excel files.</w:t>
      </w:r>
    </w:p>
    <w:p w14:paraId="51F14732" w14:textId="77777777" w:rsidR="000C555C" w:rsidRPr="006B2315" w:rsidRDefault="000C555C" w:rsidP="000C555C">
      <w:pPr>
        <w:pStyle w:val="Beschriftung"/>
        <w:keepNext/>
        <w:rPr>
          <w:i w:val="0"/>
          <w:iCs w:val="0"/>
          <w:color w:val="000000" w:themeColor="text1"/>
        </w:rPr>
      </w:pPr>
      <w:r w:rsidRPr="006B2315">
        <w:rPr>
          <w:i w:val="0"/>
          <w:iCs w:val="0"/>
          <w:color w:val="000000" w:themeColor="text1"/>
        </w:rPr>
        <w:t>Table S7 List of antibodies used for tumor load assessment in bone marrow of OCI-AML2</w:t>
      </w:r>
      <w:r w:rsidRPr="006B2315">
        <w:rPr>
          <w:i w:val="0"/>
          <w:iCs w:val="0"/>
          <w:color w:val="000000" w:themeColor="text1"/>
          <w:vertAlign w:val="superscript"/>
        </w:rPr>
        <w:t xml:space="preserve">CD123+ </w:t>
      </w:r>
      <w:r w:rsidRPr="006B2315">
        <w:rPr>
          <w:i w:val="0"/>
          <w:iCs w:val="0"/>
          <w:color w:val="000000" w:themeColor="text1"/>
        </w:rPr>
        <w:t>xenograft model mice, using full spectrum flow cytometry.</w:t>
      </w:r>
    </w:p>
    <w:tbl>
      <w:tblPr>
        <w:tblStyle w:val="Tabellenraster"/>
        <w:tblW w:w="0" w:type="auto"/>
        <w:jc w:val="center"/>
        <w:tblLook w:val="04A0" w:firstRow="1" w:lastRow="0" w:firstColumn="1" w:lastColumn="0" w:noHBand="0" w:noVBand="1"/>
      </w:tblPr>
      <w:tblGrid>
        <w:gridCol w:w="1812"/>
        <w:gridCol w:w="1812"/>
        <w:gridCol w:w="1812"/>
        <w:gridCol w:w="1813"/>
        <w:gridCol w:w="1813"/>
      </w:tblGrid>
      <w:tr w:rsidR="000C555C" w:rsidRPr="00DE77A4" w14:paraId="115B6292" w14:textId="77777777" w:rsidTr="00136C73">
        <w:trPr>
          <w:trHeight w:val="288"/>
          <w:jc w:val="center"/>
        </w:trPr>
        <w:tc>
          <w:tcPr>
            <w:tcW w:w="1812" w:type="dxa"/>
            <w:noWrap/>
            <w:hideMark/>
          </w:tcPr>
          <w:p w14:paraId="30452661" w14:textId="77777777" w:rsidR="000C555C" w:rsidRPr="00DE77A4" w:rsidRDefault="000C555C" w:rsidP="00136C73">
            <w:pPr>
              <w:jc w:val="center"/>
              <w:rPr>
                <w:rFonts w:ascii="Aptos Narrow" w:eastAsia="Times New Roman" w:hAnsi="Aptos Narrow" w:cs="Times New Roman"/>
                <w:b/>
                <w:bCs/>
                <w:color w:val="000000"/>
                <w:kern w:val="0"/>
                <w14:ligatures w14:val="none"/>
              </w:rPr>
            </w:pPr>
            <w:r w:rsidRPr="00DE77A4">
              <w:rPr>
                <w:rFonts w:ascii="Aptos Narrow" w:eastAsia="Times New Roman" w:hAnsi="Aptos Narrow" w:cs="Times New Roman"/>
                <w:b/>
                <w:bCs/>
                <w:color w:val="000000"/>
                <w:kern w:val="0"/>
                <w14:ligatures w14:val="none"/>
              </w:rPr>
              <w:t>Target</w:t>
            </w:r>
          </w:p>
        </w:tc>
        <w:tc>
          <w:tcPr>
            <w:tcW w:w="1812" w:type="dxa"/>
            <w:noWrap/>
            <w:hideMark/>
          </w:tcPr>
          <w:p w14:paraId="67DE1799" w14:textId="77777777" w:rsidR="000C555C" w:rsidRPr="00DE77A4" w:rsidRDefault="000C555C" w:rsidP="00136C73">
            <w:pPr>
              <w:jc w:val="center"/>
              <w:rPr>
                <w:rFonts w:ascii="Aptos Narrow" w:eastAsia="Times New Roman" w:hAnsi="Aptos Narrow" w:cs="Times New Roman"/>
                <w:b/>
                <w:bCs/>
                <w:color w:val="000000"/>
                <w:kern w:val="0"/>
                <w14:ligatures w14:val="none"/>
              </w:rPr>
            </w:pPr>
            <w:r w:rsidRPr="00DE77A4">
              <w:rPr>
                <w:rFonts w:ascii="Aptos Narrow" w:eastAsia="Times New Roman" w:hAnsi="Aptos Narrow" w:cs="Times New Roman"/>
                <w:b/>
                <w:bCs/>
                <w:color w:val="000000"/>
                <w:kern w:val="0"/>
                <w14:ligatures w14:val="none"/>
              </w:rPr>
              <w:t>Fluorochrome</w:t>
            </w:r>
          </w:p>
        </w:tc>
        <w:tc>
          <w:tcPr>
            <w:tcW w:w="1812" w:type="dxa"/>
            <w:noWrap/>
            <w:hideMark/>
          </w:tcPr>
          <w:p w14:paraId="4E3C49E8" w14:textId="77777777" w:rsidR="000C555C" w:rsidRPr="00DE77A4" w:rsidRDefault="000C555C" w:rsidP="00136C73">
            <w:pPr>
              <w:jc w:val="center"/>
              <w:rPr>
                <w:rFonts w:ascii="Aptos Narrow" w:eastAsia="Times New Roman" w:hAnsi="Aptos Narrow" w:cs="Times New Roman"/>
                <w:b/>
                <w:bCs/>
                <w:color w:val="000000"/>
                <w:kern w:val="0"/>
                <w14:ligatures w14:val="none"/>
              </w:rPr>
            </w:pPr>
            <w:r w:rsidRPr="00DE77A4">
              <w:rPr>
                <w:rFonts w:ascii="Aptos Narrow" w:eastAsia="Times New Roman" w:hAnsi="Aptos Narrow" w:cs="Times New Roman"/>
                <w:b/>
                <w:bCs/>
                <w:color w:val="000000"/>
                <w:kern w:val="0"/>
                <w14:ligatures w14:val="none"/>
              </w:rPr>
              <w:t>Dilution</w:t>
            </w:r>
          </w:p>
        </w:tc>
        <w:tc>
          <w:tcPr>
            <w:tcW w:w="1813" w:type="dxa"/>
            <w:noWrap/>
            <w:hideMark/>
          </w:tcPr>
          <w:p w14:paraId="79EC36C0" w14:textId="77777777" w:rsidR="000C555C" w:rsidRPr="00DE77A4" w:rsidRDefault="000C555C" w:rsidP="00136C73">
            <w:pPr>
              <w:jc w:val="center"/>
              <w:rPr>
                <w:rFonts w:ascii="Aptos Narrow" w:eastAsia="Times New Roman" w:hAnsi="Aptos Narrow" w:cs="Times New Roman"/>
                <w:b/>
                <w:bCs/>
                <w:color w:val="000000"/>
                <w:kern w:val="0"/>
                <w14:ligatures w14:val="none"/>
              </w:rPr>
            </w:pPr>
            <w:r w:rsidRPr="00DE77A4">
              <w:rPr>
                <w:rFonts w:ascii="Aptos Narrow" w:eastAsia="Times New Roman" w:hAnsi="Aptos Narrow" w:cs="Times New Roman"/>
                <w:b/>
                <w:bCs/>
                <w:color w:val="000000"/>
                <w:kern w:val="0"/>
                <w14:ligatures w14:val="none"/>
              </w:rPr>
              <w:t>Clone</w:t>
            </w:r>
          </w:p>
        </w:tc>
        <w:tc>
          <w:tcPr>
            <w:tcW w:w="1813" w:type="dxa"/>
            <w:noWrap/>
            <w:hideMark/>
          </w:tcPr>
          <w:p w14:paraId="75FD4C0C" w14:textId="77777777" w:rsidR="000C555C" w:rsidRPr="00DE77A4" w:rsidRDefault="000C555C" w:rsidP="00136C73">
            <w:pPr>
              <w:jc w:val="center"/>
              <w:rPr>
                <w:rFonts w:ascii="Aptos Narrow" w:eastAsia="Times New Roman" w:hAnsi="Aptos Narrow" w:cs="Times New Roman"/>
                <w:b/>
                <w:bCs/>
                <w:color w:val="000000"/>
                <w:kern w:val="0"/>
                <w14:ligatures w14:val="none"/>
              </w:rPr>
            </w:pPr>
            <w:r w:rsidRPr="00DE77A4">
              <w:rPr>
                <w:rFonts w:ascii="Aptos Narrow" w:eastAsia="Times New Roman" w:hAnsi="Aptos Narrow" w:cs="Times New Roman"/>
                <w:b/>
                <w:bCs/>
                <w:color w:val="000000"/>
                <w:kern w:val="0"/>
                <w14:ligatures w14:val="none"/>
              </w:rPr>
              <w:t>Source</w:t>
            </w:r>
          </w:p>
        </w:tc>
      </w:tr>
      <w:tr w:rsidR="000C555C" w:rsidRPr="00DE77A4" w14:paraId="0E0DD502" w14:textId="77777777" w:rsidTr="00136C73">
        <w:trPr>
          <w:trHeight w:val="288"/>
          <w:jc w:val="center"/>
        </w:trPr>
        <w:tc>
          <w:tcPr>
            <w:tcW w:w="1812" w:type="dxa"/>
            <w:hideMark/>
          </w:tcPr>
          <w:p w14:paraId="79E13867"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CD33</w:t>
            </w:r>
          </w:p>
        </w:tc>
        <w:tc>
          <w:tcPr>
            <w:tcW w:w="1812" w:type="dxa"/>
            <w:hideMark/>
          </w:tcPr>
          <w:p w14:paraId="503DBE8E"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BV421</w:t>
            </w:r>
          </w:p>
        </w:tc>
        <w:tc>
          <w:tcPr>
            <w:tcW w:w="1812" w:type="dxa"/>
            <w:noWrap/>
            <w:hideMark/>
          </w:tcPr>
          <w:p w14:paraId="6BC4203B"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1:500</w:t>
            </w:r>
          </w:p>
        </w:tc>
        <w:tc>
          <w:tcPr>
            <w:tcW w:w="1813" w:type="dxa"/>
            <w:hideMark/>
          </w:tcPr>
          <w:p w14:paraId="5E155EAF"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WM53</w:t>
            </w:r>
          </w:p>
        </w:tc>
        <w:tc>
          <w:tcPr>
            <w:tcW w:w="1813" w:type="dxa"/>
            <w:hideMark/>
          </w:tcPr>
          <w:p w14:paraId="74DE4519"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013C7EEC" w14:textId="77777777" w:rsidTr="00136C73">
        <w:trPr>
          <w:trHeight w:val="576"/>
          <w:jc w:val="center"/>
        </w:trPr>
        <w:tc>
          <w:tcPr>
            <w:tcW w:w="1812" w:type="dxa"/>
            <w:hideMark/>
          </w:tcPr>
          <w:p w14:paraId="43B16A32"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CD19</w:t>
            </w:r>
          </w:p>
        </w:tc>
        <w:tc>
          <w:tcPr>
            <w:tcW w:w="1812" w:type="dxa"/>
            <w:hideMark/>
          </w:tcPr>
          <w:p w14:paraId="0843CA0C"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Spark Violet 423</w:t>
            </w:r>
          </w:p>
        </w:tc>
        <w:tc>
          <w:tcPr>
            <w:tcW w:w="1812" w:type="dxa"/>
            <w:noWrap/>
            <w:hideMark/>
          </w:tcPr>
          <w:p w14:paraId="2BAAE595"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1:500</w:t>
            </w:r>
          </w:p>
        </w:tc>
        <w:tc>
          <w:tcPr>
            <w:tcW w:w="1813" w:type="dxa"/>
            <w:hideMark/>
          </w:tcPr>
          <w:p w14:paraId="563659F2"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HIB19</w:t>
            </w:r>
          </w:p>
        </w:tc>
        <w:tc>
          <w:tcPr>
            <w:tcW w:w="1813" w:type="dxa"/>
            <w:hideMark/>
          </w:tcPr>
          <w:p w14:paraId="7E258A6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34776BD3" w14:textId="77777777" w:rsidTr="00136C73">
        <w:trPr>
          <w:trHeight w:val="288"/>
          <w:jc w:val="center"/>
        </w:trPr>
        <w:tc>
          <w:tcPr>
            <w:tcW w:w="1812" w:type="dxa"/>
            <w:hideMark/>
          </w:tcPr>
          <w:p w14:paraId="08DDD903"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CD16</w:t>
            </w:r>
          </w:p>
        </w:tc>
        <w:tc>
          <w:tcPr>
            <w:tcW w:w="1812" w:type="dxa"/>
            <w:hideMark/>
          </w:tcPr>
          <w:p w14:paraId="41DB0130"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Pacific Blue</w:t>
            </w:r>
          </w:p>
        </w:tc>
        <w:tc>
          <w:tcPr>
            <w:tcW w:w="1812" w:type="dxa"/>
            <w:noWrap/>
            <w:hideMark/>
          </w:tcPr>
          <w:p w14:paraId="09C95D27"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1:500</w:t>
            </w:r>
          </w:p>
        </w:tc>
        <w:tc>
          <w:tcPr>
            <w:tcW w:w="1813" w:type="dxa"/>
            <w:hideMark/>
          </w:tcPr>
          <w:p w14:paraId="0D0760B6"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3G8</w:t>
            </w:r>
          </w:p>
        </w:tc>
        <w:tc>
          <w:tcPr>
            <w:tcW w:w="1813" w:type="dxa"/>
            <w:hideMark/>
          </w:tcPr>
          <w:p w14:paraId="6F15DACA"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1AA84376" w14:textId="77777777" w:rsidTr="00136C73">
        <w:trPr>
          <w:trHeight w:val="576"/>
          <w:jc w:val="center"/>
        </w:trPr>
        <w:tc>
          <w:tcPr>
            <w:tcW w:w="1812" w:type="dxa"/>
            <w:hideMark/>
          </w:tcPr>
          <w:p w14:paraId="64703B9E"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CLL-1 (CLEC12A)</w:t>
            </w:r>
          </w:p>
        </w:tc>
        <w:tc>
          <w:tcPr>
            <w:tcW w:w="1812" w:type="dxa"/>
            <w:hideMark/>
          </w:tcPr>
          <w:p w14:paraId="40ABFE8E"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BV605</w:t>
            </w:r>
          </w:p>
        </w:tc>
        <w:tc>
          <w:tcPr>
            <w:tcW w:w="1812" w:type="dxa"/>
            <w:noWrap/>
            <w:hideMark/>
          </w:tcPr>
          <w:p w14:paraId="2151657B"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1:300</w:t>
            </w:r>
          </w:p>
        </w:tc>
        <w:tc>
          <w:tcPr>
            <w:tcW w:w="1813" w:type="dxa"/>
            <w:hideMark/>
          </w:tcPr>
          <w:p w14:paraId="4AAED5A2"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50C1</w:t>
            </w:r>
          </w:p>
        </w:tc>
        <w:tc>
          <w:tcPr>
            <w:tcW w:w="1813" w:type="dxa"/>
            <w:hideMark/>
          </w:tcPr>
          <w:p w14:paraId="3046794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BD Biosciences</w:t>
            </w:r>
          </w:p>
        </w:tc>
      </w:tr>
      <w:tr w:rsidR="000C555C" w:rsidRPr="00DE77A4" w14:paraId="6C62C889" w14:textId="77777777" w:rsidTr="00136C73">
        <w:trPr>
          <w:trHeight w:val="576"/>
          <w:jc w:val="center"/>
        </w:trPr>
        <w:tc>
          <w:tcPr>
            <w:tcW w:w="1812" w:type="dxa"/>
            <w:hideMark/>
          </w:tcPr>
          <w:p w14:paraId="4430BA18"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HLA-E</w:t>
            </w:r>
          </w:p>
        </w:tc>
        <w:tc>
          <w:tcPr>
            <w:tcW w:w="1812" w:type="dxa"/>
            <w:hideMark/>
          </w:tcPr>
          <w:p w14:paraId="1C5FF55A"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BV650</w:t>
            </w:r>
          </w:p>
        </w:tc>
        <w:tc>
          <w:tcPr>
            <w:tcW w:w="1812" w:type="dxa"/>
            <w:noWrap/>
            <w:hideMark/>
          </w:tcPr>
          <w:p w14:paraId="28542DE0"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1:1000</w:t>
            </w:r>
          </w:p>
        </w:tc>
        <w:tc>
          <w:tcPr>
            <w:tcW w:w="1813" w:type="dxa"/>
            <w:hideMark/>
          </w:tcPr>
          <w:p w14:paraId="4070BC59"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3D12</w:t>
            </w:r>
          </w:p>
        </w:tc>
        <w:tc>
          <w:tcPr>
            <w:tcW w:w="1813" w:type="dxa"/>
            <w:hideMark/>
          </w:tcPr>
          <w:p w14:paraId="3FF6713B"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BD Biosciences</w:t>
            </w:r>
          </w:p>
        </w:tc>
      </w:tr>
      <w:tr w:rsidR="000C555C" w:rsidRPr="00DE77A4" w14:paraId="032D097C" w14:textId="77777777" w:rsidTr="00136C73">
        <w:trPr>
          <w:trHeight w:val="576"/>
          <w:jc w:val="center"/>
        </w:trPr>
        <w:tc>
          <w:tcPr>
            <w:tcW w:w="1812" w:type="dxa"/>
            <w:hideMark/>
          </w:tcPr>
          <w:p w14:paraId="24B42363"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CD279 (PD-1)</w:t>
            </w:r>
          </w:p>
        </w:tc>
        <w:tc>
          <w:tcPr>
            <w:tcW w:w="1812" w:type="dxa"/>
            <w:hideMark/>
          </w:tcPr>
          <w:p w14:paraId="2DBE4AEF"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BV711</w:t>
            </w:r>
          </w:p>
        </w:tc>
        <w:tc>
          <w:tcPr>
            <w:tcW w:w="1812" w:type="dxa"/>
            <w:noWrap/>
            <w:hideMark/>
          </w:tcPr>
          <w:p w14:paraId="784D6E9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1:1000</w:t>
            </w:r>
          </w:p>
        </w:tc>
        <w:tc>
          <w:tcPr>
            <w:tcW w:w="1813" w:type="dxa"/>
            <w:hideMark/>
          </w:tcPr>
          <w:p w14:paraId="4D997B4A"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NAT105</w:t>
            </w:r>
          </w:p>
        </w:tc>
        <w:tc>
          <w:tcPr>
            <w:tcW w:w="1813" w:type="dxa"/>
            <w:hideMark/>
          </w:tcPr>
          <w:p w14:paraId="141BA246"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73E3D47E" w14:textId="77777777" w:rsidTr="00136C73">
        <w:trPr>
          <w:trHeight w:val="576"/>
          <w:jc w:val="center"/>
        </w:trPr>
        <w:tc>
          <w:tcPr>
            <w:tcW w:w="1812" w:type="dxa"/>
            <w:hideMark/>
          </w:tcPr>
          <w:p w14:paraId="71D19A68"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CD34</w:t>
            </w:r>
          </w:p>
        </w:tc>
        <w:tc>
          <w:tcPr>
            <w:tcW w:w="1812" w:type="dxa"/>
            <w:hideMark/>
          </w:tcPr>
          <w:p w14:paraId="111D891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BV750</w:t>
            </w:r>
          </w:p>
        </w:tc>
        <w:tc>
          <w:tcPr>
            <w:tcW w:w="1812" w:type="dxa"/>
            <w:noWrap/>
            <w:hideMark/>
          </w:tcPr>
          <w:p w14:paraId="3521D55C"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1:1000</w:t>
            </w:r>
          </w:p>
        </w:tc>
        <w:tc>
          <w:tcPr>
            <w:tcW w:w="1813" w:type="dxa"/>
            <w:hideMark/>
          </w:tcPr>
          <w:p w14:paraId="6E02EA42"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563</w:t>
            </w:r>
          </w:p>
        </w:tc>
        <w:tc>
          <w:tcPr>
            <w:tcW w:w="1813" w:type="dxa"/>
            <w:hideMark/>
          </w:tcPr>
          <w:p w14:paraId="00E1DCE4"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BD Biosciences</w:t>
            </w:r>
          </w:p>
        </w:tc>
      </w:tr>
      <w:tr w:rsidR="000C555C" w:rsidRPr="00DE77A4" w14:paraId="33BECDB2" w14:textId="77777777" w:rsidTr="00136C73">
        <w:trPr>
          <w:trHeight w:val="576"/>
          <w:jc w:val="center"/>
        </w:trPr>
        <w:tc>
          <w:tcPr>
            <w:tcW w:w="1812" w:type="dxa"/>
            <w:hideMark/>
          </w:tcPr>
          <w:p w14:paraId="065BD26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CD56</w:t>
            </w:r>
          </w:p>
        </w:tc>
        <w:tc>
          <w:tcPr>
            <w:tcW w:w="1812" w:type="dxa"/>
            <w:hideMark/>
          </w:tcPr>
          <w:p w14:paraId="0BA446CA"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BV785</w:t>
            </w:r>
          </w:p>
        </w:tc>
        <w:tc>
          <w:tcPr>
            <w:tcW w:w="1812" w:type="dxa"/>
            <w:noWrap/>
            <w:hideMark/>
          </w:tcPr>
          <w:p w14:paraId="383C66C9"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1:300</w:t>
            </w:r>
          </w:p>
        </w:tc>
        <w:tc>
          <w:tcPr>
            <w:tcW w:w="1813" w:type="dxa"/>
            <w:hideMark/>
          </w:tcPr>
          <w:p w14:paraId="003FF7BA"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NCAM16.2</w:t>
            </w:r>
          </w:p>
        </w:tc>
        <w:tc>
          <w:tcPr>
            <w:tcW w:w="1813" w:type="dxa"/>
            <w:hideMark/>
          </w:tcPr>
          <w:p w14:paraId="310F51B8"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BD Biosciences</w:t>
            </w:r>
          </w:p>
        </w:tc>
      </w:tr>
      <w:tr w:rsidR="000C555C" w:rsidRPr="00DE77A4" w14:paraId="35F98FCF" w14:textId="77777777" w:rsidTr="00136C73">
        <w:trPr>
          <w:trHeight w:val="288"/>
          <w:jc w:val="center"/>
        </w:trPr>
        <w:tc>
          <w:tcPr>
            <w:tcW w:w="1812" w:type="dxa"/>
            <w:hideMark/>
          </w:tcPr>
          <w:p w14:paraId="39E60353"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CD133</w:t>
            </w:r>
          </w:p>
        </w:tc>
        <w:tc>
          <w:tcPr>
            <w:tcW w:w="1812" w:type="dxa"/>
            <w:hideMark/>
          </w:tcPr>
          <w:p w14:paraId="481A62F0"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PE</w:t>
            </w:r>
          </w:p>
        </w:tc>
        <w:tc>
          <w:tcPr>
            <w:tcW w:w="1812" w:type="dxa"/>
            <w:noWrap/>
            <w:hideMark/>
          </w:tcPr>
          <w:p w14:paraId="37527E95"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1:200</w:t>
            </w:r>
          </w:p>
        </w:tc>
        <w:tc>
          <w:tcPr>
            <w:tcW w:w="1813" w:type="dxa"/>
            <w:hideMark/>
          </w:tcPr>
          <w:p w14:paraId="72CEFB75"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W6B3C1</w:t>
            </w:r>
          </w:p>
        </w:tc>
        <w:tc>
          <w:tcPr>
            <w:tcW w:w="1813" w:type="dxa"/>
            <w:hideMark/>
          </w:tcPr>
          <w:p w14:paraId="0991B5D6"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13B6B77D" w14:textId="77777777" w:rsidTr="00136C73">
        <w:trPr>
          <w:trHeight w:val="576"/>
          <w:jc w:val="center"/>
        </w:trPr>
        <w:tc>
          <w:tcPr>
            <w:tcW w:w="1812" w:type="dxa"/>
            <w:hideMark/>
          </w:tcPr>
          <w:p w14:paraId="420ED376"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CD7</w:t>
            </w:r>
          </w:p>
        </w:tc>
        <w:tc>
          <w:tcPr>
            <w:tcW w:w="1812" w:type="dxa"/>
            <w:hideMark/>
          </w:tcPr>
          <w:p w14:paraId="4DD338D9"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PE/Dazzle 594</w:t>
            </w:r>
          </w:p>
        </w:tc>
        <w:tc>
          <w:tcPr>
            <w:tcW w:w="1812" w:type="dxa"/>
            <w:noWrap/>
            <w:hideMark/>
          </w:tcPr>
          <w:p w14:paraId="3B38B4A6"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1:200</w:t>
            </w:r>
          </w:p>
        </w:tc>
        <w:tc>
          <w:tcPr>
            <w:tcW w:w="1813" w:type="dxa"/>
            <w:hideMark/>
          </w:tcPr>
          <w:p w14:paraId="097719A7"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CD7-6B7</w:t>
            </w:r>
          </w:p>
        </w:tc>
        <w:tc>
          <w:tcPr>
            <w:tcW w:w="1813" w:type="dxa"/>
            <w:hideMark/>
          </w:tcPr>
          <w:p w14:paraId="391FCAE0"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237B15D3" w14:textId="77777777" w:rsidTr="00136C73">
        <w:trPr>
          <w:trHeight w:val="288"/>
          <w:jc w:val="center"/>
        </w:trPr>
        <w:tc>
          <w:tcPr>
            <w:tcW w:w="1812" w:type="dxa"/>
            <w:hideMark/>
          </w:tcPr>
          <w:p w14:paraId="63A9EE28"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CD3</w:t>
            </w:r>
          </w:p>
        </w:tc>
        <w:tc>
          <w:tcPr>
            <w:tcW w:w="1812" w:type="dxa"/>
            <w:hideMark/>
          </w:tcPr>
          <w:p w14:paraId="092253C5"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PerCP-Cy5.5</w:t>
            </w:r>
          </w:p>
        </w:tc>
        <w:tc>
          <w:tcPr>
            <w:tcW w:w="1812" w:type="dxa"/>
            <w:noWrap/>
            <w:hideMark/>
          </w:tcPr>
          <w:p w14:paraId="04F45AE0"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1:200</w:t>
            </w:r>
          </w:p>
        </w:tc>
        <w:tc>
          <w:tcPr>
            <w:tcW w:w="1813" w:type="dxa"/>
            <w:hideMark/>
          </w:tcPr>
          <w:p w14:paraId="2D4F0098"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OKT3</w:t>
            </w:r>
          </w:p>
        </w:tc>
        <w:tc>
          <w:tcPr>
            <w:tcW w:w="1813" w:type="dxa"/>
            <w:hideMark/>
          </w:tcPr>
          <w:p w14:paraId="4AD68A0E"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23F2A53F" w14:textId="77777777" w:rsidTr="00136C73">
        <w:trPr>
          <w:trHeight w:val="288"/>
          <w:jc w:val="center"/>
        </w:trPr>
        <w:tc>
          <w:tcPr>
            <w:tcW w:w="1812" w:type="dxa"/>
            <w:hideMark/>
          </w:tcPr>
          <w:p w14:paraId="44011838"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CD117</w:t>
            </w:r>
          </w:p>
        </w:tc>
        <w:tc>
          <w:tcPr>
            <w:tcW w:w="1812" w:type="dxa"/>
            <w:hideMark/>
          </w:tcPr>
          <w:p w14:paraId="790AEAA4"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PE-Cy7</w:t>
            </w:r>
          </w:p>
        </w:tc>
        <w:tc>
          <w:tcPr>
            <w:tcW w:w="1812" w:type="dxa"/>
            <w:noWrap/>
            <w:hideMark/>
          </w:tcPr>
          <w:p w14:paraId="32D88EAA"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1:500</w:t>
            </w:r>
          </w:p>
        </w:tc>
        <w:tc>
          <w:tcPr>
            <w:tcW w:w="1813" w:type="dxa"/>
            <w:hideMark/>
          </w:tcPr>
          <w:p w14:paraId="38E5D79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10D2</w:t>
            </w:r>
          </w:p>
        </w:tc>
        <w:tc>
          <w:tcPr>
            <w:tcW w:w="1813" w:type="dxa"/>
            <w:hideMark/>
          </w:tcPr>
          <w:p w14:paraId="648D834A"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19D5562C" w14:textId="77777777" w:rsidTr="00136C73">
        <w:trPr>
          <w:trHeight w:val="576"/>
          <w:jc w:val="center"/>
        </w:trPr>
        <w:tc>
          <w:tcPr>
            <w:tcW w:w="1812" w:type="dxa"/>
            <w:hideMark/>
          </w:tcPr>
          <w:p w14:paraId="2EBA22E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CD366 (Tim-3)</w:t>
            </w:r>
          </w:p>
        </w:tc>
        <w:tc>
          <w:tcPr>
            <w:tcW w:w="1812" w:type="dxa"/>
            <w:hideMark/>
          </w:tcPr>
          <w:p w14:paraId="35DAAB0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PE/Fire™ 810</w:t>
            </w:r>
          </w:p>
        </w:tc>
        <w:tc>
          <w:tcPr>
            <w:tcW w:w="1812" w:type="dxa"/>
            <w:noWrap/>
            <w:hideMark/>
          </w:tcPr>
          <w:p w14:paraId="20E0DA1B"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1:500</w:t>
            </w:r>
          </w:p>
        </w:tc>
        <w:tc>
          <w:tcPr>
            <w:tcW w:w="1813" w:type="dxa"/>
            <w:hideMark/>
          </w:tcPr>
          <w:p w14:paraId="6D1C031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F38-2E2</w:t>
            </w:r>
          </w:p>
        </w:tc>
        <w:tc>
          <w:tcPr>
            <w:tcW w:w="1813" w:type="dxa"/>
            <w:hideMark/>
          </w:tcPr>
          <w:p w14:paraId="66B07069"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7FF1BF5D" w14:textId="77777777" w:rsidTr="00136C73">
        <w:trPr>
          <w:trHeight w:val="288"/>
          <w:jc w:val="center"/>
        </w:trPr>
        <w:tc>
          <w:tcPr>
            <w:tcW w:w="1812" w:type="dxa"/>
            <w:hideMark/>
          </w:tcPr>
          <w:p w14:paraId="28578A49"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CD38</w:t>
            </w:r>
          </w:p>
        </w:tc>
        <w:tc>
          <w:tcPr>
            <w:tcW w:w="1812" w:type="dxa"/>
            <w:hideMark/>
          </w:tcPr>
          <w:p w14:paraId="4160E41E"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APC</w:t>
            </w:r>
          </w:p>
        </w:tc>
        <w:tc>
          <w:tcPr>
            <w:tcW w:w="1812" w:type="dxa"/>
            <w:noWrap/>
            <w:hideMark/>
          </w:tcPr>
          <w:p w14:paraId="3D1C2552"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1:200</w:t>
            </w:r>
          </w:p>
        </w:tc>
        <w:tc>
          <w:tcPr>
            <w:tcW w:w="1813" w:type="dxa"/>
            <w:hideMark/>
          </w:tcPr>
          <w:p w14:paraId="7BD08D22"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HIT2</w:t>
            </w:r>
          </w:p>
        </w:tc>
        <w:tc>
          <w:tcPr>
            <w:tcW w:w="1813" w:type="dxa"/>
            <w:hideMark/>
          </w:tcPr>
          <w:p w14:paraId="0AC34319"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7706D124" w14:textId="77777777" w:rsidTr="00136C73">
        <w:trPr>
          <w:trHeight w:val="576"/>
          <w:jc w:val="center"/>
        </w:trPr>
        <w:tc>
          <w:tcPr>
            <w:tcW w:w="1812" w:type="dxa"/>
            <w:hideMark/>
          </w:tcPr>
          <w:p w14:paraId="78475635"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CD123</w:t>
            </w:r>
          </w:p>
        </w:tc>
        <w:tc>
          <w:tcPr>
            <w:tcW w:w="1812" w:type="dxa"/>
            <w:hideMark/>
          </w:tcPr>
          <w:p w14:paraId="63C3202B"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AF647</w:t>
            </w:r>
          </w:p>
        </w:tc>
        <w:tc>
          <w:tcPr>
            <w:tcW w:w="1812" w:type="dxa"/>
            <w:noWrap/>
            <w:hideMark/>
          </w:tcPr>
          <w:p w14:paraId="4FB607A2"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1:300</w:t>
            </w:r>
          </w:p>
        </w:tc>
        <w:tc>
          <w:tcPr>
            <w:tcW w:w="1813" w:type="dxa"/>
            <w:hideMark/>
          </w:tcPr>
          <w:p w14:paraId="154FAEEA"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9F5</w:t>
            </w:r>
          </w:p>
        </w:tc>
        <w:tc>
          <w:tcPr>
            <w:tcW w:w="1813" w:type="dxa"/>
            <w:hideMark/>
          </w:tcPr>
          <w:p w14:paraId="2CF6116A"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BD Biosciences</w:t>
            </w:r>
          </w:p>
        </w:tc>
      </w:tr>
      <w:tr w:rsidR="000C555C" w:rsidRPr="00DE77A4" w14:paraId="4BC7876A" w14:textId="77777777" w:rsidTr="00136C73">
        <w:trPr>
          <w:trHeight w:val="288"/>
          <w:jc w:val="center"/>
        </w:trPr>
        <w:tc>
          <w:tcPr>
            <w:tcW w:w="1812" w:type="dxa"/>
            <w:hideMark/>
          </w:tcPr>
          <w:p w14:paraId="5B9256C6"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CD14</w:t>
            </w:r>
          </w:p>
        </w:tc>
        <w:tc>
          <w:tcPr>
            <w:tcW w:w="1812" w:type="dxa"/>
            <w:hideMark/>
          </w:tcPr>
          <w:p w14:paraId="1817DE25"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AF700</w:t>
            </w:r>
          </w:p>
        </w:tc>
        <w:tc>
          <w:tcPr>
            <w:tcW w:w="1812" w:type="dxa"/>
            <w:noWrap/>
            <w:hideMark/>
          </w:tcPr>
          <w:p w14:paraId="66B200B7"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1:300</w:t>
            </w:r>
          </w:p>
        </w:tc>
        <w:tc>
          <w:tcPr>
            <w:tcW w:w="1813" w:type="dxa"/>
            <w:hideMark/>
          </w:tcPr>
          <w:p w14:paraId="55D24D10"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63D3</w:t>
            </w:r>
          </w:p>
        </w:tc>
        <w:tc>
          <w:tcPr>
            <w:tcW w:w="1813" w:type="dxa"/>
            <w:hideMark/>
          </w:tcPr>
          <w:p w14:paraId="7FE33DD1"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0C2F3AB6" w14:textId="77777777" w:rsidTr="00136C73">
        <w:trPr>
          <w:trHeight w:val="288"/>
          <w:jc w:val="center"/>
        </w:trPr>
        <w:tc>
          <w:tcPr>
            <w:tcW w:w="1812" w:type="dxa"/>
            <w:hideMark/>
          </w:tcPr>
          <w:p w14:paraId="40A2DD87"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HLA-DR</w:t>
            </w:r>
          </w:p>
        </w:tc>
        <w:tc>
          <w:tcPr>
            <w:tcW w:w="1812" w:type="dxa"/>
            <w:hideMark/>
          </w:tcPr>
          <w:p w14:paraId="43194CB9"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APC-Cy7</w:t>
            </w:r>
          </w:p>
        </w:tc>
        <w:tc>
          <w:tcPr>
            <w:tcW w:w="1812" w:type="dxa"/>
            <w:noWrap/>
            <w:hideMark/>
          </w:tcPr>
          <w:p w14:paraId="3CA13664"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1:500</w:t>
            </w:r>
          </w:p>
        </w:tc>
        <w:tc>
          <w:tcPr>
            <w:tcW w:w="1813" w:type="dxa"/>
            <w:hideMark/>
          </w:tcPr>
          <w:p w14:paraId="0FB0645C"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L243</w:t>
            </w:r>
          </w:p>
        </w:tc>
        <w:tc>
          <w:tcPr>
            <w:tcW w:w="1813" w:type="dxa"/>
            <w:hideMark/>
          </w:tcPr>
          <w:p w14:paraId="7D06E294"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423639F0" w14:textId="77777777" w:rsidTr="00136C73">
        <w:trPr>
          <w:trHeight w:val="576"/>
          <w:jc w:val="center"/>
        </w:trPr>
        <w:tc>
          <w:tcPr>
            <w:tcW w:w="1812" w:type="dxa"/>
            <w:hideMark/>
          </w:tcPr>
          <w:p w14:paraId="0AEBFDCF"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CD45</w:t>
            </w:r>
          </w:p>
        </w:tc>
        <w:tc>
          <w:tcPr>
            <w:tcW w:w="1812" w:type="dxa"/>
            <w:hideMark/>
          </w:tcPr>
          <w:p w14:paraId="1A74AFB0"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APC/Fire™ 810</w:t>
            </w:r>
          </w:p>
        </w:tc>
        <w:tc>
          <w:tcPr>
            <w:tcW w:w="1812" w:type="dxa"/>
            <w:noWrap/>
            <w:hideMark/>
          </w:tcPr>
          <w:p w14:paraId="0984C357"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1:500</w:t>
            </w:r>
          </w:p>
        </w:tc>
        <w:tc>
          <w:tcPr>
            <w:tcW w:w="1813" w:type="dxa"/>
            <w:hideMark/>
          </w:tcPr>
          <w:p w14:paraId="45469043"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HI30</w:t>
            </w:r>
          </w:p>
        </w:tc>
        <w:tc>
          <w:tcPr>
            <w:tcW w:w="1813" w:type="dxa"/>
            <w:hideMark/>
          </w:tcPr>
          <w:p w14:paraId="3F1921E6"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r w:rsidR="000C555C" w:rsidRPr="00DE77A4" w14:paraId="382AD605" w14:textId="77777777" w:rsidTr="00136C73">
        <w:trPr>
          <w:trHeight w:val="288"/>
          <w:jc w:val="center"/>
        </w:trPr>
        <w:tc>
          <w:tcPr>
            <w:tcW w:w="1812" w:type="dxa"/>
            <w:hideMark/>
          </w:tcPr>
          <w:p w14:paraId="35598DAC"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Viability Dye</w:t>
            </w:r>
          </w:p>
        </w:tc>
        <w:tc>
          <w:tcPr>
            <w:tcW w:w="1812" w:type="dxa"/>
            <w:hideMark/>
          </w:tcPr>
          <w:p w14:paraId="479CBF06"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Zombie NIR™</w:t>
            </w:r>
          </w:p>
        </w:tc>
        <w:tc>
          <w:tcPr>
            <w:tcW w:w="1812" w:type="dxa"/>
            <w:noWrap/>
            <w:hideMark/>
          </w:tcPr>
          <w:p w14:paraId="63592437"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1:1000</w:t>
            </w:r>
          </w:p>
        </w:tc>
        <w:tc>
          <w:tcPr>
            <w:tcW w:w="1813" w:type="dxa"/>
            <w:hideMark/>
          </w:tcPr>
          <w:p w14:paraId="6DCF466B"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r w:rsidRPr="00DE77A4">
              <w:rPr>
                <w:rFonts w:ascii="Aptos Narrow" w:eastAsia="Times New Roman" w:hAnsi="Aptos Narrow" w:cs="Times New Roman"/>
                <w:color w:val="000000"/>
                <w:kern w:val="0"/>
                <w:sz w:val="22"/>
                <w:szCs w:val="22"/>
                <w14:ligatures w14:val="none"/>
              </w:rPr>
              <w:t>—</w:t>
            </w:r>
          </w:p>
        </w:tc>
        <w:tc>
          <w:tcPr>
            <w:tcW w:w="1813" w:type="dxa"/>
            <w:hideMark/>
          </w:tcPr>
          <w:p w14:paraId="43CD5B0D" w14:textId="77777777" w:rsidR="000C555C" w:rsidRPr="00DE77A4" w:rsidRDefault="000C555C" w:rsidP="00136C73">
            <w:pPr>
              <w:jc w:val="center"/>
              <w:rPr>
                <w:rFonts w:ascii="Aptos Narrow" w:eastAsia="Times New Roman" w:hAnsi="Aptos Narrow" w:cs="Times New Roman"/>
                <w:color w:val="000000"/>
                <w:kern w:val="0"/>
                <w:sz w:val="22"/>
                <w:szCs w:val="22"/>
                <w14:ligatures w14:val="none"/>
              </w:rPr>
            </w:pPr>
            <w:proofErr w:type="spellStart"/>
            <w:r w:rsidRPr="00DE77A4">
              <w:rPr>
                <w:rFonts w:ascii="Aptos Narrow" w:eastAsia="Times New Roman" w:hAnsi="Aptos Narrow" w:cs="Times New Roman"/>
                <w:color w:val="000000"/>
                <w:kern w:val="0"/>
                <w:sz w:val="22"/>
                <w:szCs w:val="22"/>
                <w14:ligatures w14:val="none"/>
              </w:rPr>
              <w:t>BioLegend</w:t>
            </w:r>
            <w:proofErr w:type="spellEnd"/>
          </w:p>
        </w:tc>
      </w:tr>
    </w:tbl>
    <w:p w14:paraId="5E613E8E" w14:textId="6D619FBE" w:rsidR="00F84B32" w:rsidRDefault="00F84B32" w:rsidP="000C555C"/>
    <w:p w14:paraId="553A25D2" w14:textId="77777777" w:rsidR="00F84B32" w:rsidRDefault="00F84B32">
      <w:r>
        <w:br w:type="page"/>
      </w:r>
    </w:p>
    <w:p w14:paraId="53A9A507" w14:textId="77777777" w:rsidR="000C555C" w:rsidRPr="006B2315" w:rsidRDefault="000C555C" w:rsidP="000C555C">
      <w:pPr>
        <w:pStyle w:val="Beschriftung"/>
        <w:keepNext/>
        <w:rPr>
          <w:i w:val="0"/>
          <w:iCs w:val="0"/>
          <w:color w:val="000000" w:themeColor="text1"/>
        </w:rPr>
      </w:pPr>
      <w:r w:rsidRPr="006B2315">
        <w:rPr>
          <w:i w:val="0"/>
          <w:iCs w:val="0"/>
          <w:color w:val="000000" w:themeColor="text1"/>
        </w:rPr>
        <w:lastRenderedPageBreak/>
        <w:t>Table S8. Cell numbers before and after filtering and doublet detection.</w:t>
      </w:r>
    </w:p>
    <w:tbl>
      <w:tblPr>
        <w:tblStyle w:val="Tabellenraster"/>
        <w:tblW w:w="0" w:type="auto"/>
        <w:tblLook w:val="04A0" w:firstRow="1" w:lastRow="0" w:firstColumn="1" w:lastColumn="0" w:noHBand="0" w:noVBand="1"/>
      </w:tblPr>
      <w:tblGrid>
        <w:gridCol w:w="2312"/>
        <w:gridCol w:w="2340"/>
        <w:gridCol w:w="2340"/>
        <w:gridCol w:w="2070"/>
      </w:tblGrid>
      <w:tr w:rsidR="000C555C" w14:paraId="54ADA3E8" w14:textId="77777777" w:rsidTr="00136C73">
        <w:tc>
          <w:tcPr>
            <w:tcW w:w="2312" w:type="dxa"/>
          </w:tcPr>
          <w:p w14:paraId="2E2CD669" w14:textId="77777777" w:rsidR="000C555C" w:rsidRPr="00EF18F8" w:rsidRDefault="000C555C" w:rsidP="00136C73">
            <w:pPr>
              <w:jc w:val="center"/>
              <w:rPr>
                <w:sz w:val="22"/>
                <w:szCs w:val="22"/>
              </w:rPr>
            </w:pPr>
            <w:r w:rsidRPr="00EF18F8">
              <w:rPr>
                <w:sz w:val="22"/>
                <w:szCs w:val="22"/>
              </w:rPr>
              <w:t>Sample</w:t>
            </w:r>
          </w:p>
        </w:tc>
        <w:tc>
          <w:tcPr>
            <w:tcW w:w="2340" w:type="dxa"/>
          </w:tcPr>
          <w:p w14:paraId="092A3DF5" w14:textId="77777777" w:rsidR="000C555C" w:rsidRPr="00EF18F8" w:rsidRDefault="000C555C" w:rsidP="00136C73">
            <w:pPr>
              <w:jc w:val="center"/>
              <w:rPr>
                <w:sz w:val="22"/>
                <w:szCs w:val="22"/>
              </w:rPr>
            </w:pPr>
            <w:r w:rsidRPr="00EF18F8">
              <w:rPr>
                <w:sz w:val="22"/>
                <w:szCs w:val="22"/>
              </w:rPr>
              <w:t>Number of cells before QC</w:t>
            </w:r>
          </w:p>
        </w:tc>
        <w:tc>
          <w:tcPr>
            <w:tcW w:w="2340" w:type="dxa"/>
          </w:tcPr>
          <w:p w14:paraId="3497A23E" w14:textId="77777777" w:rsidR="000C555C" w:rsidRPr="00EF18F8" w:rsidRDefault="000C555C" w:rsidP="00136C73">
            <w:pPr>
              <w:jc w:val="center"/>
              <w:rPr>
                <w:sz w:val="22"/>
                <w:szCs w:val="22"/>
              </w:rPr>
            </w:pPr>
            <w:r w:rsidRPr="00EF18F8">
              <w:rPr>
                <w:sz w:val="22"/>
                <w:szCs w:val="22"/>
              </w:rPr>
              <w:t>Number of cells after filtering low quality cells</w:t>
            </w:r>
          </w:p>
        </w:tc>
        <w:tc>
          <w:tcPr>
            <w:tcW w:w="2070" w:type="dxa"/>
          </w:tcPr>
          <w:p w14:paraId="3837EDE1" w14:textId="77777777" w:rsidR="000C555C" w:rsidRPr="00EF18F8" w:rsidRDefault="000C555C" w:rsidP="00136C73">
            <w:pPr>
              <w:jc w:val="center"/>
              <w:rPr>
                <w:sz w:val="22"/>
                <w:szCs w:val="22"/>
              </w:rPr>
            </w:pPr>
            <w:r w:rsidRPr="00EF18F8">
              <w:rPr>
                <w:sz w:val="22"/>
                <w:szCs w:val="22"/>
              </w:rPr>
              <w:t>Number of cells after removing doublets</w:t>
            </w:r>
          </w:p>
        </w:tc>
      </w:tr>
      <w:tr w:rsidR="000C555C" w14:paraId="24724D59" w14:textId="77777777" w:rsidTr="00136C73">
        <w:tc>
          <w:tcPr>
            <w:tcW w:w="2312" w:type="dxa"/>
          </w:tcPr>
          <w:p w14:paraId="2475ECF3" w14:textId="77777777" w:rsidR="000C555C" w:rsidRPr="00EF18F8" w:rsidRDefault="000C555C" w:rsidP="00136C73">
            <w:pPr>
              <w:jc w:val="center"/>
              <w:rPr>
                <w:sz w:val="22"/>
                <w:szCs w:val="22"/>
              </w:rPr>
            </w:pPr>
            <w:r w:rsidRPr="00EF18F8">
              <w:rPr>
                <w:sz w:val="22"/>
                <w:szCs w:val="22"/>
              </w:rPr>
              <w:t>NTNK-OCIAML2</w:t>
            </w:r>
          </w:p>
        </w:tc>
        <w:tc>
          <w:tcPr>
            <w:tcW w:w="2340" w:type="dxa"/>
          </w:tcPr>
          <w:p w14:paraId="5B0FEECE" w14:textId="77777777" w:rsidR="000C555C" w:rsidRPr="00EF18F8" w:rsidRDefault="000C555C" w:rsidP="00136C73">
            <w:pPr>
              <w:jc w:val="center"/>
              <w:rPr>
                <w:sz w:val="22"/>
                <w:szCs w:val="22"/>
              </w:rPr>
            </w:pPr>
            <w:r w:rsidRPr="00EF18F8">
              <w:rPr>
                <w:sz w:val="22"/>
                <w:szCs w:val="22"/>
              </w:rPr>
              <w:t>7631</w:t>
            </w:r>
          </w:p>
        </w:tc>
        <w:tc>
          <w:tcPr>
            <w:tcW w:w="2340" w:type="dxa"/>
          </w:tcPr>
          <w:p w14:paraId="0D494E73" w14:textId="77777777" w:rsidR="000C555C" w:rsidRPr="00EF18F8" w:rsidRDefault="000C555C" w:rsidP="00136C73">
            <w:pPr>
              <w:jc w:val="center"/>
              <w:rPr>
                <w:sz w:val="22"/>
                <w:szCs w:val="22"/>
              </w:rPr>
            </w:pPr>
            <w:r w:rsidRPr="00EF18F8">
              <w:rPr>
                <w:sz w:val="22"/>
                <w:szCs w:val="22"/>
              </w:rPr>
              <w:t>7352</w:t>
            </w:r>
          </w:p>
        </w:tc>
        <w:tc>
          <w:tcPr>
            <w:tcW w:w="2070" w:type="dxa"/>
          </w:tcPr>
          <w:p w14:paraId="50533DAF" w14:textId="77777777" w:rsidR="000C555C" w:rsidRPr="00EF18F8" w:rsidRDefault="000C555C" w:rsidP="00136C73">
            <w:pPr>
              <w:jc w:val="center"/>
              <w:rPr>
                <w:sz w:val="22"/>
                <w:szCs w:val="22"/>
              </w:rPr>
            </w:pPr>
            <w:r w:rsidRPr="00EF18F8">
              <w:rPr>
                <w:sz w:val="22"/>
                <w:szCs w:val="22"/>
              </w:rPr>
              <w:t>5758</w:t>
            </w:r>
          </w:p>
        </w:tc>
      </w:tr>
      <w:tr w:rsidR="000C555C" w14:paraId="63CECC11" w14:textId="77777777" w:rsidTr="00136C73">
        <w:tc>
          <w:tcPr>
            <w:tcW w:w="2312" w:type="dxa"/>
          </w:tcPr>
          <w:p w14:paraId="500E22F4" w14:textId="77777777" w:rsidR="000C555C" w:rsidRPr="00EF18F8" w:rsidRDefault="000C555C" w:rsidP="00136C73">
            <w:pPr>
              <w:jc w:val="center"/>
              <w:rPr>
                <w:sz w:val="22"/>
                <w:szCs w:val="22"/>
              </w:rPr>
            </w:pPr>
            <w:r w:rsidRPr="00EF18F8">
              <w:rPr>
                <w:sz w:val="22"/>
                <w:szCs w:val="22"/>
              </w:rPr>
              <w:t>Prod_CD123-OCIAML2</w:t>
            </w:r>
          </w:p>
        </w:tc>
        <w:tc>
          <w:tcPr>
            <w:tcW w:w="2340" w:type="dxa"/>
          </w:tcPr>
          <w:p w14:paraId="495FB964" w14:textId="77777777" w:rsidR="000C555C" w:rsidRPr="00EF18F8" w:rsidRDefault="000C555C" w:rsidP="00136C73">
            <w:pPr>
              <w:jc w:val="center"/>
              <w:rPr>
                <w:sz w:val="22"/>
                <w:szCs w:val="22"/>
              </w:rPr>
            </w:pPr>
            <w:r w:rsidRPr="00EF18F8">
              <w:rPr>
                <w:sz w:val="22"/>
                <w:szCs w:val="22"/>
              </w:rPr>
              <w:t>10171</w:t>
            </w:r>
          </w:p>
        </w:tc>
        <w:tc>
          <w:tcPr>
            <w:tcW w:w="2340" w:type="dxa"/>
          </w:tcPr>
          <w:p w14:paraId="7858077E" w14:textId="77777777" w:rsidR="000C555C" w:rsidRPr="00EF18F8" w:rsidRDefault="000C555C" w:rsidP="00136C73">
            <w:pPr>
              <w:jc w:val="center"/>
              <w:rPr>
                <w:sz w:val="22"/>
                <w:szCs w:val="22"/>
              </w:rPr>
            </w:pPr>
            <w:r w:rsidRPr="00EF18F8">
              <w:rPr>
                <w:sz w:val="22"/>
                <w:szCs w:val="22"/>
              </w:rPr>
              <w:t>8807</w:t>
            </w:r>
          </w:p>
        </w:tc>
        <w:tc>
          <w:tcPr>
            <w:tcW w:w="2070" w:type="dxa"/>
          </w:tcPr>
          <w:p w14:paraId="642468A1" w14:textId="77777777" w:rsidR="000C555C" w:rsidRPr="00EF18F8" w:rsidRDefault="000C555C" w:rsidP="00136C73">
            <w:pPr>
              <w:jc w:val="center"/>
              <w:rPr>
                <w:sz w:val="22"/>
                <w:szCs w:val="22"/>
              </w:rPr>
            </w:pPr>
            <w:r w:rsidRPr="00EF18F8">
              <w:rPr>
                <w:sz w:val="22"/>
                <w:szCs w:val="22"/>
              </w:rPr>
              <w:t>6522</w:t>
            </w:r>
          </w:p>
        </w:tc>
      </w:tr>
      <w:tr w:rsidR="000C555C" w14:paraId="47874659" w14:textId="77777777" w:rsidTr="00136C73">
        <w:tc>
          <w:tcPr>
            <w:tcW w:w="2312" w:type="dxa"/>
          </w:tcPr>
          <w:p w14:paraId="0F779161" w14:textId="77777777" w:rsidR="000C555C" w:rsidRPr="00EF18F8" w:rsidRDefault="000C555C" w:rsidP="00136C73">
            <w:pPr>
              <w:jc w:val="center"/>
              <w:rPr>
                <w:sz w:val="22"/>
                <w:szCs w:val="22"/>
              </w:rPr>
            </w:pPr>
            <w:r w:rsidRPr="00EF18F8">
              <w:rPr>
                <w:sz w:val="22"/>
                <w:szCs w:val="22"/>
              </w:rPr>
              <w:t>SmS_CD123-OCIAML2</w:t>
            </w:r>
          </w:p>
        </w:tc>
        <w:tc>
          <w:tcPr>
            <w:tcW w:w="2340" w:type="dxa"/>
          </w:tcPr>
          <w:p w14:paraId="7910EA9C" w14:textId="77777777" w:rsidR="000C555C" w:rsidRPr="00EF18F8" w:rsidRDefault="000C555C" w:rsidP="00136C73">
            <w:pPr>
              <w:jc w:val="center"/>
              <w:rPr>
                <w:sz w:val="22"/>
                <w:szCs w:val="22"/>
              </w:rPr>
            </w:pPr>
            <w:r w:rsidRPr="00EF18F8">
              <w:rPr>
                <w:sz w:val="22"/>
                <w:szCs w:val="22"/>
              </w:rPr>
              <w:t>10243</w:t>
            </w:r>
          </w:p>
        </w:tc>
        <w:tc>
          <w:tcPr>
            <w:tcW w:w="2340" w:type="dxa"/>
          </w:tcPr>
          <w:p w14:paraId="1905619A" w14:textId="77777777" w:rsidR="000C555C" w:rsidRPr="00EF18F8" w:rsidRDefault="000C555C" w:rsidP="00136C73">
            <w:pPr>
              <w:jc w:val="center"/>
              <w:rPr>
                <w:sz w:val="22"/>
                <w:szCs w:val="22"/>
              </w:rPr>
            </w:pPr>
            <w:r w:rsidRPr="00EF18F8">
              <w:rPr>
                <w:sz w:val="22"/>
                <w:szCs w:val="22"/>
              </w:rPr>
              <w:t>9869</w:t>
            </w:r>
          </w:p>
        </w:tc>
        <w:tc>
          <w:tcPr>
            <w:tcW w:w="2070" w:type="dxa"/>
          </w:tcPr>
          <w:p w14:paraId="7E7E1F64" w14:textId="77777777" w:rsidR="000C555C" w:rsidRPr="00EF18F8" w:rsidRDefault="000C555C" w:rsidP="00136C73">
            <w:pPr>
              <w:jc w:val="center"/>
              <w:rPr>
                <w:sz w:val="22"/>
                <w:szCs w:val="22"/>
              </w:rPr>
            </w:pPr>
            <w:r w:rsidRPr="00EF18F8">
              <w:rPr>
                <w:sz w:val="22"/>
                <w:szCs w:val="22"/>
              </w:rPr>
              <w:t>7640</w:t>
            </w:r>
          </w:p>
        </w:tc>
      </w:tr>
      <w:tr w:rsidR="000C555C" w14:paraId="68451D22" w14:textId="77777777" w:rsidTr="00136C73">
        <w:tc>
          <w:tcPr>
            <w:tcW w:w="2312" w:type="dxa"/>
          </w:tcPr>
          <w:p w14:paraId="2BA2AA76" w14:textId="77777777" w:rsidR="000C555C" w:rsidRPr="00EF18F8" w:rsidRDefault="000C555C" w:rsidP="00136C73">
            <w:pPr>
              <w:rPr>
                <w:sz w:val="22"/>
                <w:szCs w:val="22"/>
              </w:rPr>
            </w:pPr>
            <w:r w:rsidRPr="00EF18F8">
              <w:rPr>
                <w:sz w:val="22"/>
                <w:szCs w:val="22"/>
              </w:rPr>
              <w:t>SmS_CD33-OCIAML2</w:t>
            </w:r>
          </w:p>
        </w:tc>
        <w:tc>
          <w:tcPr>
            <w:tcW w:w="2340" w:type="dxa"/>
          </w:tcPr>
          <w:p w14:paraId="1A723A73" w14:textId="77777777" w:rsidR="000C555C" w:rsidRPr="00EF18F8" w:rsidRDefault="000C555C" w:rsidP="00136C73">
            <w:pPr>
              <w:jc w:val="center"/>
              <w:rPr>
                <w:sz w:val="22"/>
                <w:szCs w:val="22"/>
              </w:rPr>
            </w:pPr>
            <w:r w:rsidRPr="00EF18F8">
              <w:rPr>
                <w:sz w:val="22"/>
                <w:szCs w:val="22"/>
              </w:rPr>
              <w:t>10241</w:t>
            </w:r>
          </w:p>
        </w:tc>
        <w:tc>
          <w:tcPr>
            <w:tcW w:w="2340" w:type="dxa"/>
          </w:tcPr>
          <w:p w14:paraId="2B390F7E" w14:textId="77777777" w:rsidR="000C555C" w:rsidRPr="00EF18F8" w:rsidRDefault="000C555C" w:rsidP="00136C73">
            <w:pPr>
              <w:jc w:val="center"/>
              <w:rPr>
                <w:sz w:val="22"/>
                <w:szCs w:val="22"/>
              </w:rPr>
            </w:pPr>
            <w:r w:rsidRPr="00EF18F8">
              <w:rPr>
                <w:sz w:val="22"/>
                <w:szCs w:val="22"/>
              </w:rPr>
              <w:t>9764</w:t>
            </w:r>
          </w:p>
        </w:tc>
        <w:tc>
          <w:tcPr>
            <w:tcW w:w="2070" w:type="dxa"/>
          </w:tcPr>
          <w:p w14:paraId="471413B7" w14:textId="77777777" w:rsidR="000C555C" w:rsidRPr="00EF18F8" w:rsidRDefault="000C555C" w:rsidP="00136C73">
            <w:pPr>
              <w:jc w:val="center"/>
              <w:rPr>
                <w:sz w:val="22"/>
                <w:szCs w:val="22"/>
              </w:rPr>
            </w:pPr>
            <w:r w:rsidRPr="00EF18F8">
              <w:rPr>
                <w:sz w:val="22"/>
                <w:szCs w:val="22"/>
              </w:rPr>
              <w:t>7463</w:t>
            </w:r>
          </w:p>
        </w:tc>
      </w:tr>
    </w:tbl>
    <w:p w14:paraId="3E7B9065" w14:textId="77777777" w:rsidR="000C555C" w:rsidRDefault="000C555C" w:rsidP="000C555C"/>
    <w:p w14:paraId="255F53E0" w14:textId="77777777" w:rsidR="000C555C" w:rsidRDefault="000C555C" w:rsidP="000C555C">
      <w:r>
        <w:br w:type="page"/>
      </w:r>
    </w:p>
    <w:p w14:paraId="63C8770D" w14:textId="7A7A798D" w:rsidR="00DC06ED" w:rsidRDefault="00DC06ED" w:rsidP="00DC06ED">
      <w:pPr>
        <w:pStyle w:val="berschrift1"/>
      </w:pPr>
      <w:r>
        <w:lastRenderedPageBreak/>
        <w:t xml:space="preserve">Supplemental </w:t>
      </w:r>
      <w:r w:rsidR="000C555C">
        <w:t>Figures</w:t>
      </w:r>
    </w:p>
    <w:p w14:paraId="0D8D096B" w14:textId="4CBAE8D5" w:rsidR="007700BC" w:rsidRDefault="008A02F2" w:rsidP="007700BC">
      <w:pPr>
        <w:pStyle w:val="berschrift2"/>
      </w:pPr>
      <w:r w:rsidRPr="00E42AED">
        <w:t xml:space="preserve">Supplemental Figure </w:t>
      </w:r>
      <w:r w:rsidR="008B548F" w:rsidRPr="00E42AED">
        <w:t>1</w:t>
      </w:r>
    </w:p>
    <w:p w14:paraId="1A5DEDF3" w14:textId="60F7BF61" w:rsidR="00FB62A7" w:rsidRDefault="00263EF1" w:rsidP="00FB62A7">
      <w:r>
        <w:rPr>
          <w:noProof/>
        </w:rPr>
        <w:drawing>
          <wp:inline distT="0" distB="0" distL="0" distR="0" wp14:anchorId="616C180C" wp14:editId="3D6EDBEC">
            <wp:extent cx="6480810" cy="5450205"/>
            <wp:effectExtent l="0" t="0" r="0" b="0"/>
            <wp:docPr id="11943771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80810" cy="5450205"/>
                    </a:xfrm>
                    <a:prstGeom prst="rect">
                      <a:avLst/>
                    </a:prstGeom>
                    <a:noFill/>
                  </pic:spPr>
                </pic:pic>
              </a:graphicData>
            </a:graphic>
          </wp:inline>
        </w:drawing>
      </w:r>
    </w:p>
    <w:p w14:paraId="4867C80E" w14:textId="77777777" w:rsidR="006B2315" w:rsidRPr="002058D2" w:rsidRDefault="006B2315" w:rsidP="006B2315">
      <w:pPr>
        <w:jc w:val="both"/>
        <w:rPr>
          <w:i/>
          <w:iCs/>
          <w:sz w:val="18"/>
          <w:szCs w:val="18"/>
        </w:rPr>
      </w:pPr>
      <w:r w:rsidRPr="002058D2">
        <w:rPr>
          <w:b/>
          <w:bCs/>
          <w:i/>
          <w:iCs/>
          <w:sz w:val="18"/>
          <w:szCs w:val="18"/>
        </w:rPr>
        <w:t xml:space="preserve">Figure S1: (CAR-)NK cells demonstrated high purity, viability, and activity for a duration of at least 18 days following transduction, which constituted the experimental timeframe. </w:t>
      </w:r>
      <w:r w:rsidRPr="002058D2">
        <w:rPr>
          <w:i/>
          <w:iCs/>
          <w:sz w:val="18"/>
          <w:szCs w:val="18"/>
        </w:rPr>
        <w:t xml:space="preserve">Flow cytometry analysis of CD56 (A), CD3 (B) and CD16 (C) expression of NT- and CD33-/CD123-CAR-NK cells following lentiviral transduction (n=6). (D) Viability assessment via 7AAD negative cells over time, after transduction (n=2). Points show mean values with corresponding standard deviation. Statistical analysis was carried out by two-way ANOVA with no significant differences found between groups. </w:t>
      </w:r>
    </w:p>
    <w:p w14:paraId="3D069DB8" w14:textId="77777777" w:rsidR="006B2315" w:rsidRPr="00FB62A7" w:rsidRDefault="006B2315" w:rsidP="00FB62A7"/>
    <w:p w14:paraId="2F02D27C" w14:textId="68CC8F96" w:rsidR="008B183A" w:rsidRDefault="008B183A" w:rsidP="008B183A">
      <w:pPr>
        <w:pStyle w:val="berschrift2"/>
      </w:pPr>
      <w:r>
        <w:lastRenderedPageBreak/>
        <w:t>Supplemental Figure 2</w:t>
      </w:r>
    </w:p>
    <w:p w14:paraId="5598A43C" w14:textId="50F9623B" w:rsidR="00DC06ED" w:rsidRDefault="00263EF1" w:rsidP="008B183A">
      <w:r>
        <w:rPr>
          <w:noProof/>
        </w:rPr>
        <w:drawing>
          <wp:inline distT="0" distB="0" distL="0" distR="0" wp14:anchorId="4A41553D" wp14:editId="13377111">
            <wp:extent cx="6480810" cy="4359275"/>
            <wp:effectExtent l="0" t="0" r="0" b="0"/>
            <wp:docPr id="97493565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80810" cy="4359275"/>
                    </a:xfrm>
                    <a:prstGeom prst="rect">
                      <a:avLst/>
                    </a:prstGeom>
                    <a:noFill/>
                  </pic:spPr>
                </pic:pic>
              </a:graphicData>
            </a:graphic>
          </wp:inline>
        </w:drawing>
      </w:r>
    </w:p>
    <w:p w14:paraId="0BD13FFE" w14:textId="77777777" w:rsidR="006B2315" w:rsidRPr="002058D2" w:rsidRDefault="006B2315" w:rsidP="006B2315">
      <w:pPr>
        <w:jc w:val="both"/>
        <w:rPr>
          <w:i/>
          <w:iCs/>
          <w:sz w:val="18"/>
          <w:szCs w:val="18"/>
        </w:rPr>
      </w:pPr>
      <w:r w:rsidRPr="002058D2">
        <w:rPr>
          <w:b/>
          <w:bCs/>
          <w:i/>
          <w:iCs/>
          <w:sz w:val="18"/>
          <w:szCs w:val="18"/>
        </w:rPr>
        <w:t xml:space="preserve">Figure S2: Comparison of small-scale and large-scale produced CAR-NK cell products and marker expression on target cell line. </w:t>
      </w:r>
      <w:r w:rsidRPr="002058D2">
        <w:rPr>
          <w:i/>
          <w:iCs/>
          <w:sz w:val="18"/>
          <w:szCs w:val="18"/>
        </w:rPr>
        <w:t xml:space="preserve">Fold expansion (A), total cell count (B) and viability (C) of small-scale and large-scale produced CD123-CAR-NK cells over time, after lentiviral transduction with the </w:t>
      </w:r>
      <w:proofErr w:type="spellStart"/>
      <w:r w:rsidRPr="002058D2">
        <w:rPr>
          <w:i/>
          <w:iCs/>
          <w:sz w:val="18"/>
          <w:szCs w:val="18"/>
        </w:rPr>
        <w:t>CliniMACS</w:t>
      </w:r>
      <w:proofErr w:type="spellEnd"/>
      <w:r w:rsidRPr="002058D2">
        <w:rPr>
          <w:i/>
          <w:iCs/>
          <w:sz w:val="18"/>
          <w:szCs w:val="18"/>
        </w:rPr>
        <w:t xml:space="preserve"> Prodigy system (n=1). (D) Representative CAR expression on day 14 post transduction (n=1). (E) Percentage of CD3 and NKG2C positive cells on the day of transplantation (d14 post transduction). (F) Comparison of CD33 and CD123 surface expression of WT OCI-AML2 and CD123 transduced OCI-AML2 cells (OCI-AML2</w:t>
      </w:r>
      <w:r w:rsidRPr="002058D2">
        <w:rPr>
          <w:i/>
          <w:iCs/>
          <w:sz w:val="18"/>
          <w:szCs w:val="18"/>
          <w:vertAlign w:val="superscript"/>
        </w:rPr>
        <w:t>CD123+</w:t>
      </w:r>
      <w:r w:rsidRPr="002058D2">
        <w:rPr>
          <w:i/>
          <w:iCs/>
          <w:sz w:val="18"/>
          <w:szCs w:val="18"/>
        </w:rPr>
        <w:t>).</w:t>
      </w:r>
    </w:p>
    <w:p w14:paraId="601F95D8" w14:textId="77777777" w:rsidR="006B2315" w:rsidRDefault="006B2315" w:rsidP="008B183A"/>
    <w:p w14:paraId="5557530E" w14:textId="54DE60AF" w:rsidR="008B548F" w:rsidRPr="008B548F" w:rsidRDefault="008B548F" w:rsidP="008B548F">
      <w:pPr>
        <w:pStyle w:val="berschrift2"/>
      </w:pPr>
      <w:r>
        <w:lastRenderedPageBreak/>
        <w:t xml:space="preserve">Supplemental Figure </w:t>
      </w:r>
      <w:r w:rsidR="008B183A">
        <w:t>3</w:t>
      </w:r>
    </w:p>
    <w:p w14:paraId="0CFF0BA8" w14:textId="4E2EFF05" w:rsidR="00DC06ED" w:rsidRDefault="00263EF1" w:rsidP="00DC06ED">
      <w:r>
        <w:rPr>
          <w:noProof/>
        </w:rPr>
        <w:drawing>
          <wp:inline distT="0" distB="0" distL="0" distR="0" wp14:anchorId="79F92781" wp14:editId="0EF0FD38">
            <wp:extent cx="6480810" cy="5755005"/>
            <wp:effectExtent l="0" t="0" r="0" b="0"/>
            <wp:docPr id="11692374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810" cy="5755005"/>
                    </a:xfrm>
                    <a:prstGeom prst="rect">
                      <a:avLst/>
                    </a:prstGeom>
                    <a:noFill/>
                  </pic:spPr>
                </pic:pic>
              </a:graphicData>
            </a:graphic>
          </wp:inline>
        </w:drawing>
      </w:r>
    </w:p>
    <w:p w14:paraId="0BE226B4" w14:textId="77777777" w:rsidR="006B2315" w:rsidRPr="002058D2" w:rsidRDefault="006B2315" w:rsidP="006B2315">
      <w:pPr>
        <w:jc w:val="both"/>
        <w:rPr>
          <w:i/>
          <w:iCs/>
          <w:sz w:val="18"/>
          <w:szCs w:val="18"/>
        </w:rPr>
      </w:pPr>
      <w:r w:rsidRPr="002058D2">
        <w:rPr>
          <w:b/>
          <w:bCs/>
          <w:i/>
          <w:iCs/>
          <w:sz w:val="18"/>
          <w:szCs w:val="18"/>
        </w:rPr>
        <w:t>Figure S3: Gating strategy for flow cytometric analysis of human immune and leukemic cell populations and tumor load on day of NK cell injection in AML PDX models.</w:t>
      </w:r>
      <w:r w:rsidRPr="002058D2">
        <w:rPr>
          <w:i/>
          <w:iCs/>
          <w:sz w:val="18"/>
          <w:szCs w:val="18"/>
        </w:rPr>
        <w:t xml:space="preserve"> (A) Samples from peripheral blood, bone marrow, spleen, or liver were processed into single-cell suspensions. Cells were first gated on FSC-A/SSC-A to exclude debris, followed by singlet discrimination using FSC-W/FSC-A. Live cells were identified using LIVE/DEAD Fixable Aqua viability dye. Human cells were gated as hCD45</w:t>
      </w:r>
      <w:r w:rsidRPr="002058D2">
        <w:rPr>
          <w:rFonts w:ascii="Cambria Math" w:hAnsi="Cambria Math" w:cs="Cambria Math"/>
          <w:i/>
          <w:iCs/>
          <w:sz w:val="18"/>
          <w:szCs w:val="18"/>
        </w:rPr>
        <w:t>⁺</w:t>
      </w:r>
      <w:r w:rsidRPr="002058D2">
        <w:rPr>
          <w:i/>
          <w:iCs/>
          <w:sz w:val="18"/>
          <w:szCs w:val="18"/>
        </w:rPr>
        <w:t xml:space="preserve"> and mCD45</w:t>
      </w:r>
      <w:r w:rsidRPr="002058D2">
        <w:rPr>
          <w:rFonts w:ascii="Cambria Math" w:hAnsi="Cambria Math" w:cs="Cambria Math"/>
          <w:i/>
          <w:iCs/>
          <w:sz w:val="18"/>
          <w:szCs w:val="18"/>
        </w:rPr>
        <w:t>⁻</w:t>
      </w:r>
      <w:r w:rsidRPr="002058D2">
        <w:rPr>
          <w:i/>
          <w:iCs/>
          <w:sz w:val="18"/>
          <w:szCs w:val="18"/>
        </w:rPr>
        <w:t>. Within the hCD45</w:t>
      </w:r>
      <w:r w:rsidRPr="002058D2">
        <w:rPr>
          <w:rFonts w:ascii="Cambria Math" w:hAnsi="Cambria Math" w:cs="Cambria Math"/>
          <w:i/>
          <w:iCs/>
          <w:sz w:val="18"/>
          <w:szCs w:val="18"/>
        </w:rPr>
        <w:t>⁺</w:t>
      </w:r>
      <w:r w:rsidRPr="002058D2">
        <w:rPr>
          <w:i/>
          <w:iCs/>
          <w:sz w:val="18"/>
          <w:szCs w:val="18"/>
        </w:rPr>
        <w:t xml:space="preserve"> population, NK cells were defined as CD56</w:t>
      </w:r>
      <w:r w:rsidRPr="002058D2">
        <w:rPr>
          <w:rFonts w:ascii="Cambria Math" w:hAnsi="Cambria Math" w:cs="Cambria Math"/>
          <w:i/>
          <w:iCs/>
          <w:sz w:val="18"/>
          <w:szCs w:val="18"/>
        </w:rPr>
        <w:t>⁺</w:t>
      </w:r>
      <w:r w:rsidRPr="002058D2">
        <w:rPr>
          <w:i/>
          <w:iCs/>
          <w:sz w:val="18"/>
          <w:szCs w:val="18"/>
        </w:rPr>
        <w:t>, and leukemic cells were identified as CD33</w:t>
      </w:r>
      <w:r w:rsidRPr="002058D2">
        <w:rPr>
          <w:rFonts w:ascii="Cambria Math" w:hAnsi="Cambria Math" w:cs="Cambria Math"/>
          <w:i/>
          <w:iCs/>
          <w:sz w:val="18"/>
          <w:szCs w:val="18"/>
        </w:rPr>
        <w:t>⁺</w:t>
      </w:r>
      <w:r w:rsidRPr="002058D2">
        <w:rPr>
          <w:i/>
          <w:iCs/>
          <w:sz w:val="18"/>
          <w:szCs w:val="18"/>
        </w:rPr>
        <w:t xml:space="preserve"> or CD123</w:t>
      </w:r>
      <w:r w:rsidRPr="002058D2">
        <w:rPr>
          <w:rFonts w:ascii="Cambria Math" w:hAnsi="Cambria Math" w:cs="Cambria Math"/>
          <w:i/>
          <w:iCs/>
          <w:sz w:val="18"/>
          <w:szCs w:val="18"/>
        </w:rPr>
        <w:t>⁺</w:t>
      </w:r>
      <w:r w:rsidRPr="002058D2">
        <w:rPr>
          <w:i/>
          <w:iCs/>
          <w:sz w:val="18"/>
          <w:szCs w:val="18"/>
        </w:rPr>
        <w:t>. Gates were drawn based on fluorescence-minus-one (FMO) controls. Representative plots are shown. (B) Tumor load was determined on day 0 based on human CD45+ cells in bone marrow aspirates. Mice were then grouped accordingly.</w:t>
      </w:r>
    </w:p>
    <w:p w14:paraId="5FDF9672" w14:textId="77777777" w:rsidR="006B2315" w:rsidRPr="00B87D8A" w:rsidRDefault="006B2315" w:rsidP="00DC06ED"/>
    <w:p w14:paraId="42D9A2AE" w14:textId="76F5A97D" w:rsidR="00185332" w:rsidRDefault="00185332" w:rsidP="008202CD">
      <w:pPr>
        <w:pStyle w:val="berschrift2"/>
      </w:pPr>
      <w:r>
        <w:lastRenderedPageBreak/>
        <w:t xml:space="preserve">Supplemental Figure </w:t>
      </w:r>
      <w:r w:rsidR="008B183A">
        <w:t>4</w:t>
      </w:r>
    </w:p>
    <w:p w14:paraId="06AF5D3D" w14:textId="3D234805" w:rsidR="008202CD" w:rsidRPr="008202CD" w:rsidRDefault="00263EF1" w:rsidP="008202CD">
      <w:r>
        <w:rPr>
          <w:noProof/>
        </w:rPr>
        <w:drawing>
          <wp:inline distT="0" distB="0" distL="0" distR="0" wp14:anchorId="4C6B4E61" wp14:editId="49D9A1DC">
            <wp:extent cx="6694170" cy="3011805"/>
            <wp:effectExtent l="0" t="0" r="0" b="0"/>
            <wp:docPr id="85225928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94170" cy="3011805"/>
                    </a:xfrm>
                    <a:prstGeom prst="rect">
                      <a:avLst/>
                    </a:prstGeom>
                    <a:noFill/>
                  </pic:spPr>
                </pic:pic>
              </a:graphicData>
            </a:graphic>
          </wp:inline>
        </w:drawing>
      </w:r>
    </w:p>
    <w:p w14:paraId="08FFE7A8" w14:textId="6F210A08" w:rsidR="006B2315" w:rsidRPr="002058D2" w:rsidRDefault="006B2315" w:rsidP="006B2315">
      <w:pPr>
        <w:jc w:val="both"/>
        <w:rPr>
          <w:i/>
          <w:iCs/>
          <w:sz w:val="18"/>
          <w:szCs w:val="18"/>
        </w:rPr>
      </w:pPr>
      <w:r w:rsidRPr="002058D2">
        <w:rPr>
          <w:b/>
          <w:bCs/>
          <w:i/>
          <w:iCs/>
          <w:sz w:val="18"/>
          <w:szCs w:val="18"/>
        </w:rPr>
        <w:t>Figure S4: Tumor load and target downregulation on day of sacrifice in OCI-AML2</w:t>
      </w:r>
      <w:r w:rsidRPr="002058D2">
        <w:rPr>
          <w:b/>
          <w:bCs/>
          <w:i/>
          <w:iCs/>
          <w:sz w:val="18"/>
          <w:szCs w:val="18"/>
          <w:vertAlign w:val="superscript"/>
        </w:rPr>
        <w:t>CD123+</w:t>
      </w:r>
      <w:r w:rsidRPr="002058D2">
        <w:rPr>
          <w:b/>
          <w:bCs/>
          <w:i/>
          <w:iCs/>
          <w:sz w:val="18"/>
          <w:szCs w:val="18"/>
        </w:rPr>
        <w:t xml:space="preserve">-xenograft model. </w:t>
      </w:r>
      <w:r w:rsidRPr="002058D2">
        <w:rPr>
          <w:i/>
          <w:iCs/>
          <w:sz w:val="18"/>
          <w:szCs w:val="18"/>
        </w:rPr>
        <w:t xml:space="preserve">Mice were sacrificed when scoring criteria were reached in the survival setting and bone marrow (A), spleen (B) and chloroma (C) were analyzed via flow cytometry for detection of GFP positive tumor cells. CD33 and CD123 expression </w:t>
      </w:r>
      <w:proofErr w:type="gramStart"/>
      <w:r w:rsidRPr="002058D2">
        <w:rPr>
          <w:i/>
          <w:iCs/>
          <w:sz w:val="18"/>
          <w:szCs w:val="18"/>
        </w:rPr>
        <w:t>was</w:t>
      </w:r>
      <w:proofErr w:type="gramEnd"/>
      <w:r w:rsidRPr="002058D2">
        <w:rPr>
          <w:i/>
          <w:iCs/>
          <w:sz w:val="18"/>
          <w:szCs w:val="18"/>
        </w:rPr>
        <w:t xml:space="preserve"> assessed on tumor cells to determine downregulation of CAR targets on OCI-AML2</w:t>
      </w:r>
      <w:r w:rsidRPr="002058D2">
        <w:rPr>
          <w:i/>
          <w:iCs/>
          <w:sz w:val="18"/>
          <w:szCs w:val="18"/>
          <w:vertAlign w:val="superscript"/>
        </w:rPr>
        <w:t>CD123+</w:t>
      </w:r>
      <w:r w:rsidRPr="002058D2">
        <w:rPr>
          <w:i/>
          <w:iCs/>
          <w:sz w:val="18"/>
          <w:szCs w:val="18"/>
        </w:rPr>
        <w:t>.</w:t>
      </w:r>
    </w:p>
    <w:p w14:paraId="02A1CC15" w14:textId="5C66DD00" w:rsidR="00F84B32" w:rsidRDefault="00F84B32">
      <w:pPr>
        <w:rPr>
          <w:rFonts w:asciiTheme="majorHAnsi" w:eastAsiaTheme="majorEastAsia" w:hAnsiTheme="majorHAnsi" w:cstheme="majorBidi"/>
          <w:b/>
          <w:color w:val="000000" w:themeColor="text1"/>
          <w:sz w:val="28"/>
          <w:szCs w:val="32"/>
        </w:rPr>
      </w:pPr>
    </w:p>
    <w:p w14:paraId="04B5D89B" w14:textId="492A9BA4" w:rsidR="00964EA2" w:rsidRDefault="00964EA2" w:rsidP="00964EA2">
      <w:pPr>
        <w:pStyle w:val="berschrift2"/>
        <w:rPr>
          <w:noProof/>
        </w:rPr>
      </w:pPr>
      <w:r>
        <w:t>Supplemental Figure 5</w:t>
      </w:r>
    </w:p>
    <w:p w14:paraId="15F704AF" w14:textId="08E305FC" w:rsidR="000475FC" w:rsidRDefault="00263EF1" w:rsidP="000475FC">
      <w:r>
        <w:rPr>
          <w:noProof/>
        </w:rPr>
        <w:drawing>
          <wp:inline distT="0" distB="0" distL="0" distR="0" wp14:anchorId="356F20D2" wp14:editId="0EC724FF">
            <wp:extent cx="6498590" cy="2212975"/>
            <wp:effectExtent l="0" t="0" r="0" b="0"/>
            <wp:docPr id="179213634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98590" cy="2212975"/>
                    </a:xfrm>
                    <a:prstGeom prst="rect">
                      <a:avLst/>
                    </a:prstGeom>
                    <a:noFill/>
                  </pic:spPr>
                </pic:pic>
              </a:graphicData>
            </a:graphic>
          </wp:inline>
        </w:drawing>
      </w:r>
    </w:p>
    <w:p w14:paraId="22DA57B1" w14:textId="77777777" w:rsidR="006B2315" w:rsidRPr="002058D2" w:rsidRDefault="006B2315" w:rsidP="006B2315">
      <w:pPr>
        <w:jc w:val="both"/>
        <w:rPr>
          <w:i/>
          <w:iCs/>
          <w:sz w:val="18"/>
          <w:szCs w:val="18"/>
        </w:rPr>
      </w:pPr>
      <w:r w:rsidRPr="002058D2">
        <w:rPr>
          <w:b/>
          <w:bCs/>
          <w:i/>
          <w:iCs/>
          <w:sz w:val="18"/>
          <w:szCs w:val="18"/>
        </w:rPr>
        <w:t xml:space="preserve">Figure S5. A. </w:t>
      </w:r>
      <w:r w:rsidRPr="002058D2">
        <w:rPr>
          <w:i/>
          <w:iCs/>
          <w:sz w:val="18"/>
          <w:szCs w:val="18"/>
        </w:rPr>
        <w:t xml:space="preserve">Number of absolute NK cells and CAR+ NK cells per sample. </w:t>
      </w:r>
      <w:r w:rsidRPr="002058D2">
        <w:rPr>
          <w:b/>
          <w:bCs/>
          <w:i/>
          <w:iCs/>
          <w:sz w:val="18"/>
          <w:szCs w:val="18"/>
        </w:rPr>
        <w:t xml:space="preserve">B. </w:t>
      </w:r>
      <w:r w:rsidRPr="002058D2">
        <w:rPr>
          <w:i/>
          <w:iCs/>
          <w:sz w:val="18"/>
          <w:szCs w:val="18"/>
        </w:rPr>
        <w:t xml:space="preserve">Scoring of the four NK clusters with respect to established NK1, NK2 and NK3 signatures from </w:t>
      </w:r>
      <w:proofErr w:type="spellStart"/>
      <w:r w:rsidRPr="002058D2">
        <w:rPr>
          <w:i/>
          <w:iCs/>
          <w:sz w:val="18"/>
          <w:szCs w:val="18"/>
        </w:rPr>
        <w:t>Rebuffet</w:t>
      </w:r>
      <w:proofErr w:type="spellEnd"/>
      <w:r w:rsidRPr="002058D2">
        <w:rPr>
          <w:i/>
          <w:iCs/>
          <w:sz w:val="18"/>
          <w:szCs w:val="18"/>
        </w:rPr>
        <w:t xml:space="preserve"> et al. 2024.</w:t>
      </w:r>
    </w:p>
    <w:p w14:paraId="77CE1427" w14:textId="77777777" w:rsidR="006B2315" w:rsidRPr="000475FC" w:rsidRDefault="006B2315" w:rsidP="000475FC"/>
    <w:sectPr w:rsidR="006B2315" w:rsidRPr="000475FC" w:rsidSect="00F84B32">
      <w:footerReference w:type="default" r:id="rId14"/>
      <w:pgSz w:w="11906" w:h="16838"/>
      <w:pgMar w:top="1417" w:right="1417" w:bottom="1134"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56897" w14:textId="77777777" w:rsidR="00FA17EF" w:rsidRDefault="00FA17EF" w:rsidP="00F84B32">
      <w:pPr>
        <w:spacing w:after="0" w:line="240" w:lineRule="auto"/>
      </w:pPr>
      <w:r>
        <w:separator/>
      </w:r>
    </w:p>
  </w:endnote>
  <w:endnote w:type="continuationSeparator" w:id="0">
    <w:p w14:paraId="2DD8F7D2" w14:textId="77777777" w:rsidR="00FA17EF" w:rsidRDefault="00FA17EF" w:rsidP="00F84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106652"/>
      <w:docPartObj>
        <w:docPartGallery w:val="Page Numbers (Bottom of Page)"/>
        <w:docPartUnique/>
      </w:docPartObj>
    </w:sdtPr>
    <w:sdtContent>
      <w:p w14:paraId="40D3C2D3" w14:textId="307FDF32" w:rsidR="00F84B32" w:rsidRDefault="00F84B32">
        <w:pPr>
          <w:pStyle w:val="Fuzeile"/>
          <w:jc w:val="right"/>
        </w:pPr>
        <w:r>
          <w:fldChar w:fldCharType="begin"/>
        </w:r>
        <w:r>
          <w:instrText>PAGE   \* MERGEFORMAT</w:instrText>
        </w:r>
        <w:r>
          <w:fldChar w:fldCharType="separate"/>
        </w:r>
        <w:r>
          <w:rPr>
            <w:lang w:val="de-DE"/>
          </w:rPr>
          <w:t>2</w:t>
        </w:r>
        <w:r>
          <w:fldChar w:fldCharType="end"/>
        </w:r>
      </w:p>
    </w:sdtContent>
  </w:sdt>
  <w:p w14:paraId="05855021" w14:textId="77777777" w:rsidR="00F84B32" w:rsidRDefault="00F84B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2D21C" w14:textId="77777777" w:rsidR="00FA17EF" w:rsidRDefault="00FA17EF" w:rsidP="00F84B32">
      <w:pPr>
        <w:spacing w:after="0" w:line="240" w:lineRule="auto"/>
      </w:pPr>
      <w:r>
        <w:separator/>
      </w:r>
    </w:p>
  </w:footnote>
  <w:footnote w:type="continuationSeparator" w:id="0">
    <w:p w14:paraId="49AF69EE" w14:textId="77777777" w:rsidR="00FA17EF" w:rsidRDefault="00FA17EF" w:rsidP="00F84B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80137"/>
    <w:multiLevelType w:val="multilevel"/>
    <w:tmpl w:val="A1965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79142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5D5"/>
    <w:rsid w:val="00006034"/>
    <w:rsid w:val="000172FF"/>
    <w:rsid w:val="000200CD"/>
    <w:rsid w:val="00023879"/>
    <w:rsid w:val="00025208"/>
    <w:rsid w:val="00041EA0"/>
    <w:rsid w:val="000455AA"/>
    <w:rsid w:val="000475FC"/>
    <w:rsid w:val="00053BF6"/>
    <w:rsid w:val="00054387"/>
    <w:rsid w:val="000574F9"/>
    <w:rsid w:val="00060E96"/>
    <w:rsid w:val="0006740A"/>
    <w:rsid w:val="0008388D"/>
    <w:rsid w:val="0008435A"/>
    <w:rsid w:val="000906C3"/>
    <w:rsid w:val="000A6CC6"/>
    <w:rsid w:val="000B478B"/>
    <w:rsid w:val="000B70CE"/>
    <w:rsid w:val="000C0C00"/>
    <w:rsid w:val="000C4EC7"/>
    <w:rsid w:val="000C555C"/>
    <w:rsid w:val="000C709B"/>
    <w:rsid w:val="000D5EB6"/>
    <w:rsid w:val="000E40F5"/>
    <w:rsid w:val="00111F79"/>
    <w:rsid w:val="001273C4"/>
    <w:rsid w:val="00130FF4"/>
    <w:rsid w:val="0013420F"/>
    <w:rsid w:val="00161627"/>
    <w:rsid w:val="0016313E"/>
    <w:rsid w:val="00175724"/>
    <w:rsid w:val="00185332"/>
    <w:rsid w:val="001904E3"/>
    <w:rsid w:val="00192FF3"/>
    <w:rsid w:val="001B4D01"/>
    <w:rsid w:val="001D1BBD"/>
    <w:rsid w:val="001D5717"/>
    <w:rsid w:val="001D7449"/>
    <w:rsid w:val="001E11CC"/>
    <w:rsid w:val="001E3F4F"/>
    <w:rsid w:val="001E7CDD"/>
    <w:rsid w:val="00200AA7"/>
    <w:rsid w:val="002058D2"/>
    <w:rsid w:val="00224E97"/>
    <w:rsid w:val="00226392"/>
    <w:rsid w:val="00230693"/>
    <w:rsid w:val="00253771"/>
    <w:rsid w:val="00256BEC"/>
    <w:rsid w:val="002621BB"/>
    <w:rsid w:val="00263EF1"/>
    <w:rsid w:val="002759C8"/>
    <w:rsid w:val="0028511E"/>
    <w:rsid w:val="00286652"/>
    <w:rsid w:val="00287FA7"/>
    <w:rsid w:val="002A0391"/>
    <w:rsid w:val="002A39E6"/>
    <w:rsid w:val="002B2539"/>
    <w:rsid w:val="002E1546"/>
    <w:rsid w:val="002E225A"/>
    <w:rsid w:val="002F623A"/>
    <w:rsid w:val="00306F84"/>
    <w:rsid w:val="00312092"/>
    <w:rsid w:val="00313627"/>
    <w:rsid w:val="003168BF"/>
    <w:rsid w:val="0032018F"/>
    <w:rsid w:val="00321102"/>
    <w:rsid w:val="00323455"/>
    <w:rsid w:val="003272DA"/>
    <w:rsid w:val="00330441"/>
    <w:rsid w:val="003325D5"/>
    <w:rsid w:val="00337A0B"/>
    <w:rsid w:val="003536B0"/>
    <w:rsid w:val="003547A6"/>
    <w:rsid w:val="0036084B"/>
    <w:rsid w:val="00361AAD"/>
    <w:rsid w:val="00363167"/>
    <w:rsid w:val="00373B9A"/>
    <w:rsid w:val="0038329B"/>
    <w:rsid w:val="00395126"/>
    <w:rsid w:val="003A20C4"/>
    <w:rsid w:val="003B2991"/>
    <w:rsid w:val="003B2A7A"/>
    <w:rsid w:val="003C2203"/>
    <w:rsid w:val="003D1A55"/>
    <w:rsid w:val="003D2D0F"/>
    <w:rsid w:val="003D3E51"/>
    <w:rsid w:val="003D5778"/>
    <w:rsid w:val="003E2A81"/>
    <w:rsid w:val="003E564C"/>
    <w:rsid w:val="0041126C"/>
    <w:rsid w:val="004146F7"/>
    <w:rsid w:val="00420652"/>
    <w:rsid w:val="00435364"/>
    <w:rsid w:val="004377ED"/>
    <w:rsid w:val="00444CF8"/>
    <w:rsid w:val="0045515B"/>
    <w:rsid w:val="004710AA"/>
    <w:rsid w:val="004752B5"/>
    <w:rsid w:val="004840AD"/>
    <w:rsid w:val="0049043F"/>
    <w:rsid w:val="004B05C4"/>
    <w:rsid w:val="004F028F"/>
    <w:rsid w:val="004F7170"/>
    <w:rsid w:val="004F7CA0"/>
    <w:rsid w:val="00504776"/>
    <w:rsid w:val="00504B19"/>
    <w:rsid w:val="00513E9E"/>
    <w:rsid w:val="005158D2"/>
    <w:rsid w:val="00537ABF"/>
    <w:rsid w:val="00547091"/>
    <w:rsid w:val="00547236"/>
    <w:rsid w:val="00552CFB"/>
    <w:rsid w:val="00567F5C"/>
    <w:rsid w:val="00572412"/>
    <w:rsid w:val="00580398"/>
    <w:rsid w:val="00595E5C"/>
    <w:rsid w:val="005B2112"/>
    <w:rsid w:val="005C0737"/>
    <w:rsid w:val="005D35B5"/>
    <w:rsid w:val="005D4462"/>
    <w:rsid w:val="005E29C8"/>
    <w:rsid w:val="00621FCB"/>
    <w:rsid w:val="00634B6C"/>
    <w:rsid w:val="00646F4B"/>
    <w:rsid w:val="00647AE8"/>
    <w:rsid w:val="0067215E"/>
    <w:rsid w:val="006A450B"/>
    <w:rsid w:val="006B1371"/>
    <w:rsid w:val="006B2315"/>
    <w:rsid w:val="006B62B7"/>
    <w:rsid w:val="006D0707"/>
    <w:rsid w:val="006D6A5F"/>
    <w:rsid w:val="006D7D0D"/>
    <w:rsid w:val="006E3B69"/>
    <w:rsid w:val="006E5043"/>
    <w:rsid w:val="006F1CAD"/>
    <w:rsid w:val="006F4E79"/>
    <w:rsid w:val="00702D4C"/>
    <w:rsid w:val="0070512B"/>
    <w:rsid w:val="0070519E"/>
    <w:rsid w:val="0071383D"/>
    <w:rsid w:val="007166F5"/>
    <w:rsid w:val="00734F1E"/>
    <w:rsid w:val="00736B37"/>
    <w:rsid w:val="0073733E"/>
    <w:rsid w:val="0074615F"/>
    <w:rsid w:val="0074736D"/>
    <w:rsid w:val="007505D3"/>
    <w:rsid w:val="007700BC"/>
    <w:rsid w:val="00777F80"/>
    <w:rsid w:val="0078598B"/>
    <w:rsid w:val="007A3EBD"/>
    <w:rsid w:val="007A7DEF"/>
    <w:rsid w:val="007B533D"/>
    <w:rsid w:val="007B6807"/>
    <w:rsid w:val="007C670A"/>
    <w:rsid w:val="007D24AA"/>
    <w:rsid w:val="007D3F96"/>
    <w:rsid w:val="007E06DA"/>
    <w:rsid w:val="007E3796"/>
    <w:rsid w:val="007F0366"/>
    <w:rsid w:val="007F2D7A"/>
    <w:rsid w:val="007F6FB8"/>
    <w:rsid w:val="00806259"/>
    <w:rsid w:val="00817A36"/>
    <w:rsid w:val="00820063"/>
    <w:rsid w:val="008202CD"/>
    <w:rsid w:val="0082055F"/>
    <w:rsid w:val="00832470"/>
    <w:rsid w:val="00836B39"/>
    <w:rsid w:val="00844160"/>
    <w:rsid w:val="0086753B"/>
    <w:rsid w:val="00871C02"/>
    <w:rsid w:val="0089339D"/>
    <w:rsid w:val="00897796"/>
    <w:rsid w:val="008A02F2"/>
    <w:rsid w:val="008A345B"/>
    <w:rsid w:val="008A374D"/>
    <w:rsid w:val="008B183A"/>
    <w:rsid w:val="008B548F"/>
    <w:rsid w:val="008C53F8"/>
    <w:rsid w:val="008C6B6E"/>
    <w:rsid w:val="008C7AED"/>
    <w:rsid w:val="008F29AD"/>
    <w:rsid w:val="009052F7"/>
    <w:rsid w:val="00950536"/>
    <w:rsid w:val="00950DED"/>
    <w:rsid w:val="00964EA2"/>
    <w:rsid w:val="009650BA"/>
    <w:rsid w:val="00970A2A"/>
    <w:rsid w:val="00971D9A"/>
    <w:rsid w:val="009957D2"/>
    <w:rsid w:val="009B1505"/>
    <w:rsid w:val="009B1DB6"/>
    <w:rsid w:val="009B7BD6"/>
    <w:rsid w:val="009C7810"/>
    <w:rsid w:val="009D2FB7"/>
    <w:rsid w:val="009D342B"/>
    <w:rsid w:val="009F56DB"/>
    <w:rsid w:val="00A027F5"/>
    <w:rsid w:val="00A02C38"/>
    <w:rsid w:val="00A07F9C"/>
    <w:rsid w:val="00A21010"/>
    <w:rsid w:val="00A21504"/>
    <w:rsid w:val="00A22FF5"/>
    <w:rsid w:val="00A26032"/>
    <w:rsid w:val="00A265BE"/>
    <w:rsid w:val="00A27095"/>
    <w:rsid w:val="00A353A4"/>
    <w:rsid w:val="00A46A70"/>
    <w:rsid w:val="00A47B02"/>
    <w:rsid w:val="00A52959"/>
    <w:rsid w:val="00A61B77"/>
    <w:rsid w:val="00A653DC"/>
    <w:rsid w:val="00A659ED"/>
    <w:rsid w:val="00A6751D"/>
    <w:rsid w:val="00A76E6E"/>
    <w:rsid w:val="00A778FF"/>
    <w:rsid w:val="00A9354C"/>
    <w:rsid w:val="00A978B5"/>
    <w:rsid w:val="00AC1F59"/>
    <w:rsid w:val="00AC36FA"/>
    <w:rsid w:val="00AC4DF1"/>
    <w:rsid w:val="00AD1016"/>
    <w:rsid w:val="00AF1152"/>
    <w:rsid w:val="00B01A6B"/>
    <w:rsid w:val="00B05139"/>
    <w:rsid w:val="00B05EC3"/>
    <w:rsid w:val="00B15735"/>
    <w:rsid w:val="00B177A1"/>
    <w:rsid w:val="00B218E8"/>
    <w:rsid w:val="00B26B93"/>
    <w:rsid w:val="00B31AB0"/>
    <w:rsid w:val="00B3524E"/>
    <w:rsid w:val="00B368F6"/>
    <w:rsid w:val="00B36944"/>
    <w:rsid w:val="00B402A0"/>
    <w:rsid w:val="00B41507"/>
    <w:rsid w:val="00B5090D"/>
    <w:rsid w:val="00B553CB"/>
    <w:rsid w:val="00B80CC7"/>
    <w:rsid w:val="00B87D8A"/>
    <w:rsid w:val="00B93DB8"/>
    <w:rsid w:val="00B96E8E"/>
    <w:rsid w:val="00B970B9"/>
    <w:rsid w:val="00BA0229"/>
    <w:rsid w:val="00BA5697"/>
    <w:rsid w:val="00BC21D1"/>
    <w:rsid w:val="00BC3223"/>
    <w:rsid w:val="00BF2FF0"/>
    <w:rsid w:val="00BF54C8"/>
    <w:rsid w:val="00C01BE8"/>
    <w:rsid w:val="00C05FBF"/>
    <w:rsid w:val="00C31C7A"/>
    <w:rsid w:val="00C327F7"/>
    <w:rsid w:val="00C50B67"/>
    <w:rsid w:val="00C55822"/>
    <w:rsid w:val="00C66758"/>
    <w:rsid w:val="00C82C92"/>
    <w:rsid w:val="00CA364F"/>
    <w:rsid w:val="00CA6125"/>
    <w:rsid w:val="00CB0073"/>
    <w:rsid w:val="00CC7899"/>
    <w:rsid w:val="00CD08A6"/>
    <w:rsid w:val="00CD2B48"/>
    <w:rsid w:val="00CE4DB2"/>
    <w:rsid w:val="00CF4BC5"/>
    <w:rsid w:val="00CF4CA1"/>
    <w:rsid w:val="00D117F8"/>
    <w:rsid w:val="00D12B0F"/>
    <w:rsid w:val="00D32D2E"/>
    <w:rsid w:val="00D52CAE"/>
    <w:rsid w:val="00D65667"/>
    <w:rsid w:val="00D85A7E"/>
    <w:rsid w:val="00D94894"/>
    <w:rsid w:val="00DC06ED"/>
    <w:rsid w:val="00DD07F6"/>
    <w:rsid w:val="00DE77A4"/>
    <w:rsid w:val="00DE7C10"/>
    <w:rsid w:val="00E1590D"/>
    <w:rsid w:val="00E31B2A"/>
    <w:rsid w:val="00E368A2"/>
    <w:rsid w:val="00E3721E"/>
    <w:rsid w:val="00E41491"/>
    <w:rsid w:val="00E42AED"/>
    <w:rsid w:val="00E4371A"/>
    <w:rsid w:val="00E64904"/>
    <w:rsid w:val="00E71C3D"/>
    <w:rsid w:val="00E7672A"/>
    <w:rsid w:val="00E77D72"/>
    <w:rsid w:val="00E801D6"/>
    <w:rsid w:val="00E805C7"/>
    <w:rsid w:val="00E87B77"/>
    <w:rsid w:val="00E9021C"/>
    <w:rsid w:val="00E92C51"/>
    <w:rsid w:val="00ED4545"/>
    <w:rsid w:val="00ED4D34"/>
    <w:rsid w:val="00EF18F8"/>
    <w:rsid w:val="00EF613F"/>
    <w:rsid w:val="00F02D02"/>
    <w:rsid w:val="00F114EF"/>
    <w:rsid w:val="00F17098"/>
    <w:rsid w:val="00F208E0"/>
    <w:rsid w:val="00F244D9"/>
    <w:rsid w:val="00F628A8"/>
    <w:rsid w:val="00F633FB"/>
    <w:rsid w:val="00F83C23"/>
    <w:rsid w:val="00F84B32"/>
    <w:rsid w:val="00F90A32"/>
    <w:rsid w:val="00FA0F0D"/>
    <w:rsid w:val="00FA17EF"/>
    <w:rsid w:val="00FB62A7"/>
    <w:rsid w:val="00FC1963"/>
    <w:rsid w:val="00FC7211"/>
    <w:rsid w:val="00FD47D3"/>
    <w:rsid w:val="00FD67A7"/>
    <w:rsid w:val="00FF64F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99798"/>
  <w15:chartTrackingRefBased/>
  <w15:docId w15:val="{65F34D91-BAB0-4A9B-9064-C20ABFE2B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1383D"/>
    <w:pPr>
      <w:keepNext/>
      <w:keepLines/>
      <w:spacing w:before="120" w:after="120"/>
      <w:outlineLvl w:val="0"/>
    </w:pPr>
    <w:rPr>
      <w:rFonts w:asciiTheme="majorHAnsi" w:eastAsiaTheme="majorEastAsia" w:hAnsiTheme="majorHAnsi" w:cstheme="majorBidi"/>
      <w:b/>
      <w:color w:val="000000" w:themeColor="text1"/>
      <w:sz w:val="32"/>
      <w:szCs w:val="40"/>
    </w:rPr>
  </w:style>
  <w:style w:type="paragraph" w:styleId="berschrift2">
    <w:name w:val="heading 2"/>
    <w:basedOn w:val="Standard"/>
    <w:next w:val="Standard"/>
    <w:link w:val="berschrift2Zchn"/>
    <w:uiPriority w:val="9"/>
    <w:unhideWhenUsed/>
    <w:qFormat/>
    <w:rsid w:val="00323455"/>
    <w:pPr>
      <w:keepNext/>
      <w:keepLines/>
      <w:spacing w:before="160" w:after="80"/>
      <w:outlineLvl w:val="1"/>
    </w:pPr>
    <w:rPr>
      <w:rFonts w:asciiTheme="majorHAnsi" w:eastAsiaTheme="majorEastAsia" w:hAnsiTheme="majorHAnsi" w:cstheme="majorBidi"/>
      <w:b/>
      <w:color w:val="000000" w:themeColor="text1"/>
      <w:sz w:val="28"/>
      <w:szCs w:val="32"/>
    </w:rPr>
  </w:style>
  <w:style w:type="paragraph" w:styleId="berschrift3">
    <w:name w:val="heading 3"/>
    <w:basedOn w:val="berschrift2"/>
    <w:next w:val="Standard"/>
    <w:link w:val="berschrift3Zchn"/>
    <w:uiPriority w:val="9"/>
    <w:unhideWhenUsed/>
    <w:qFormat/>
    <w:rsid w:val="00B177A1"/>
    <w:pPr>
      <w:outlineLvl w:val="2"/>
    </w:pPr>
    <w:rPr>
      <w:sz w:val="24"/>
      <w:szCs w:val="24"/>
    </w:rPr>
  </w:style>
  <w:style w:type="paragraph" w:styleId="berschrift4">
    <w:name w:val="heading 4"/>
    <w:basedOn w:val="Standard"/>
    <w:next w:val="Standard"/>
    <w:link w:val="berschrift4Zchn"/>
    <w:uiPriority w:val="9"/>
    <w:semiHidden/>
    <w:unhideWhenUsed/>
    <w:qFormat/>
    <w:rsid w:val="003325D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325D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325D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325D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325D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325D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1383D"/>
    <w:rPr>
      <w:rFonts w:asciiTheme="majorHAnsi" w:eastAsiaTheme="majorEastAsia" w:hAnsiTheme="majorHAnsi" w:cstheme="majorBidi"/>
      <w:b/>
      <w:color w:val="000000" w:themeColor="text1"/>
      <w:sz w:val="32"/>
      <w:szCs w:val="40"/>
    </w:rPr>
  </w:style>
  <w:style w:type="character" w:customStyle="1" w:styleId="berschrift2Zchn">
    <w:name w:val="Überschrift 2 Zchn"/>
    <w:basedOn w:val="Absatz-Standardschriftart"/>
    <w:link w:val="berschrift2"/>
    <w:uiPriority w:val="9"/>
    <w:rsid w:val="00323455"/>
    <w:rPr>
      <w:rFonts w:asciiTheme="majorHAnsi" w:eastAsiaTheme="majorEastAsia" w:hAnsiTheme="majorHAnsi" w:cstheme="majorBidi"/>
      <w:b/>
      <w:color w:val="000000" w:themeColor="text1"/>
      <w:sz w:val="28"/>
      <w:szCs w:val="32"/>
    </w:rPr>
  </w:style>
  <w:style w:type="character" w:customStyle="1" w:styleId="berschrift3Zchn">
    <w:name w:val="Überschrift 3 Zchn"/>
    <w:basedOn w:val="Absatz-Standardschriftart"/>
    <w:link w:val="berschrift3"/>
    <w:uiPriority w:val="9"/>
    <w:rsid w:val="00B177A1"/>
    <w:rPr>
      <w:rFonts w:asciiTheme="majorHAnsi" w:eastAsiaTheme="majorEastAsia" w:hAnsiTheme="majorHAnsi" w:cstheme="majorBidi"/>
      <w:b/>
      <w:color w:val="000000" w:themeColor="text1"/>
    </w:rPr>
  </w:style>
  <w:style w:type="character" w:customStyle="1" w:styleId="berschrift4Zchn">
    <w:name w:val="Überschrift 4 Zchn"/>
    <w:basedOn w:val="Absatz-Standardschriftart"/>
    <w:link w:val="berschrift4"/>
    <w:uiPriority w:val="9"/>
    <w:semiHidden/>
    <w:rsid w:val="003325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325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325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325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325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325D5"/>
    <w:rPr>
      <w:rFonts w:eastAsiaTheme="majorEastAsia" w:cstheme="majorBidi"/>
      <w:color w:val="272727" w:themeColor="text1" w:themeTint="D8"/>
    </w:rPr>
  </w:style>
  <w:style w:type="paragraph" w:styleId="Titel">
    <w:name w:val="Title"/>
    <w:basedOn w:val="Standard"/>
    <w:next w:val="Standard"/>
    <w:link w:val="TitelZchn"/>
    <w:uiPriority w:val="10"/>
    <w:qFormat/>
    <w:rsid w:val="003325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325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325D5"/>
    <w:pPr>
      <w:numPr>
        <w:ilvl w:val="1"/>
      </w:numPr>
    </w:pPr>
    <w:rPr>
      <w:rFonts w:eastAsiaTheme="majorEastAsia" w:cstheme="majorBidi"/>
      <w:color w:val="000000" w:themeColor="text1"/>
      <w:spacing w:val="15"/>
      <w:sz w:val="28"/>
      <w:szCs w:val="28"/>
    </w:rPr>
  </w:style>
  <w:style w:type="character" w:customStyle="1" w:styleId="UntertitelZchn">
    <w:name w:val="Untertitel Zchn"/>
    <w:basedOn w:val="Absatz-Standardschriftart"/>
    <w:link w:val="Untertitel"/>
    <w:uiPriority w:val="11"/>
    <w:rsid w:val="003325D5"/>
    <w:rPr>
      <w:rFonts w:eastAsiaTheme="majorEastAsia" w:cstheme="majorBidi"/>
      <w:color w:val="000000" w:themeColor="text1"/>
      <w:spacing w:val="15"/>
      <w:sz w:val="28"/>
      <w:szCs w:val="28"/>
    </w:rPr>
  </w:style>
  <w:style w:type="paragraph" w:styleId="Zitat">
    <w:name w:val="Quote"/>
    <w:basedOn w:val="Standard"/>
    <w:next w:val="Standard"/>
    <w:link w:val="ZitatZchn"/>
    <w:uiPriority w:val="29"/>
    <w:qFormat/>
    <w:rsid w:val="003325D5"/>
    <w:pPr>
      <w:spacing w:before="160"/>
      <w:jc w:val="center"/>
    </w:pPr>
    <w:rPr>
      <w:i/>
      <w:iCs/>
      <w:color w:val="000000" w:themeColor="text1"/>
    </w:rPr>
  </w:style>
  <w:style w:type="character" w:customStyle="1" w:styleId="ZitatZchn">
    <w:name w:val="Zitat Zchn"/>
    <w:basedOn w:val="Absatz-Standardschriftart"/>
    <w:link w:val="Zitat"/>
    <w:uiPriority w:val="29"/>
    <w:rsid w:val="003325D5"/>
    <w:rPr>
      <w:i/>
      <w:iCs/>
      <w:color w:val="000000" w:themeColor="text1"/>
    </w:rPr>
  </w:style>
  <w:style w:type="paragraph" w:styleId="Listenabsatz">
    <w:name w:val="List Paragraph"/>
    <w:basedOn w:val="Standard"/>
    <w:uiPriority w:val="34"/>
    <w:qFormat/>
    <w:rsid w:val="003325D5"/>
    <w:pPr>
      <w:ind w:left="720"/>
      <w:contextualSpacing/>
    </w:pPr>
  </w:style>
  <w:style w:type="character" w:styleId="IntensiveHervorhebung">
    <w:name w:val="Intense Emphasis"/>
    <w:basedOn w:val="Absatz-Standardschriftart"/>
    <w:uiPriority w:val="21"/>
    <w:qFormat/>
    <w:rsid w:val="003325D5"/>
    <w:rPr>
      <w:i/>
      <w:iCs/>
      <w:color w:val="0F4761" w:themeColor="accent1" w:themeShade="BF"/>
    </w:rPr>
  </w:style>
  <w:style w:type="paragraph" w:styleId="IntensivesZitat">
    <w:name w:val="Intense Quote"/>
    <w:basedOn w:val="Standard"/>
    <w:next w:val="Standard"/>
    <w:link w:val="IntensivesZitatZchn"/>
    <w:uiPriority w:val="30"/>
    <w:qFormat/>
    <w:rsid w:val="003325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325D5"/>
    <w:rPr>
      <w:i/>
      <w:iCs/>
      <w:color w:val="0F4761" w:themeColor="accent1" w:themeShade="BF"/>
    </w:rPr>
  </w:style>
  <w:style w:type="character" w:styleId="IntensiverVerweis">
    <w:name w:val="Intense Reference"/>
    <w:basedOn w:val="Absatz-Standardschriftart"/>
    <w:uiPriority w:val="32"/>
    <w:qFormat/>
    <w:rsid w:val="003325D5"/>
    <w:rPr>
      <w:b/>
      <w:bCs/>
      <w:smallCaps/>
      <w:color w:val="0F4761" w:themeColor="accent1" w:themeShade="BF"/>
      <w:spacing w:val="5"/>
    </w:rPr>
  </w:style>
  <w:style w:type="paragraph" w:styleId="Beschriftung">
    <w:name w:val="caption"/>
    <w:basedOn w:val="Standard"/>
    <w:next w:val="Standard"/>
    <w:uiPriority w:val="35"/>
    <w:unhideWhenUsed/>
    <w:qFormat/>
    <w:rsid w:val="006F4E79"/>
    <w:pPr>
      <w:spacing w:after="200" w:line="240" w:lineRule="auto"/>
    </w:pPr>
    <w:rPr>
      <w:i/>
      <w:iCs/>
      <w:color w:val="0E2841" w:themeColor="text2"/>
      <w:sz w:val="18"/>
      <w:szCs w:val="18"/>
    </w:rPr>
  </w:style>
  <w:style w:type="table" w:styleId="Tabellenraster">
    <w:name w:val="Table Grid"/>
    <w:basedOn w:val="NormaleTabelle"/>
    <w:uiPriority w:val="39"/>
    <w:rsid w:val="00111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2B2539"/>
    <w:rPr>
      <w:sz w:val="16"/>
      <w:szCs w:val="16"/>
    </w:rPr>
  </w:style>
  <w:style w:type="paragraph" w:styleId="Kommentartext">
    <w:name w:val="annotation text"/>
    <w:basedOn w:val="Standard"/>
    <w:link w:val="KommentartextZchn"/>
    <w:uiPriority w:val="99"/>
    <w:unhideWhenUsed/>
    <w:rsid w:val="002B2539"/>
    <w:pPr>
      <w:spacing w:line="240" w:lineRule="auto"/>
    </w:pPr>
    <w:rPr>
      <w:sz w:val="20"/>
      <w:szCs w:val="20"/>
    </w:rPr>
  </w:style>
  <w:style w:type="character" w:customStyle="1" w:styleId="KommentartextZchn">
    <w:name w:val="Kommentartext Zchn"/>
    <w:basedOn w:val="Absatz-Standardschriftart"/>
    <w:link w:val="Kommentartext"/>
    <w:uiPriority w:val="99"/>
    <w:rsid w:val="002B2539"/>
    <w:rPr>
      <w:sz w:val="20"/>
      <w:szCs w:val="20"/>
    </w:rPr>
  </w:style>
  <w:style w:type="paragraph" w:styleId="Kommentarthema">
    <w:name w:val="annotation subject"/>
    <w:basedOn w:val="Kommentartext"/>
    <w:next w:val="Kommentartext"/>
    <w:link w:val="KommentarthemaZchn"/>
    <w:uiPriority w:val="99"/>
    <w:semiHidden/>
    <w:unhideWhenUsed/>
    <w:rsid w:val="002B2539"/>
    <w:rPr>
      <w:b/>
      <w:bCs/>
    </w:rPr>
  </w:style>
  <w:style w:type="character" w:customStyle="1" w:styleId="KommentarthemaZchn">
    <w:name w:val="Kommentarthema Zchn"/>
    <w:basedOn w:val="KommentartextZchn"/>
    <w:link w:val="Kommentarthema"/>
    <w:uiPriority w:val="99"/>
    <w:semiHidden/>
    <w:rsid w:val="002B2539"/>
    <w:rPr>
      <w:b/>
      <w:bCs/>
      <w:sz w:val="20"/>
      <w:szCs w:val="20"/>
    </w:rPr>
  </w:style>
  <w:style w:type="character" w:styleId="Hyperlink">
    <w:name w:val="Hyperlink"/>
    <w:basedOn w:val="Absatz-Standardschriftart"/>
    <w:uiPriority w:val="99"/>
    <w:unhideWhenUsed/>
    <w:rsid w:val="001E11CC"/>
    <w:rPr>
      <w:color w:val="467886"/>
      <w:u w:val="single"/>
    </w:rPr>
  </w:style>
  <w:style w:type="character" w:styleId="Fett">
    <w:name w:val="Strong"/>
    <w:qFormat/>
    <w:rsid w:val="001E11CC"/>
    <w:rPr>
      <w:b/>
      <w:bCs/>
    </w:rPr>
  </w:style>
  <w:style w:type="character" w:styleId="Hervorhebung">
    <w:name w:val="Emphasis"/>
    <w:qFormat/>
    <w:rsid w:val="001E11CC"/>
    <w:rPr>
      <w:i/>
      <w:iCs/>
    </w:rPr>
  </w:style>
  <w:style w:type="paragraph" w:styleId="berarbeitung">
    <w:name w:val="Revision"/>
    <w:hidden/>
    <w:uiPriority w:val="99"/>
    <w:semiHidden/>
    <w:rsid w:val="00321102"/>
    <w:pPr>
      <w:spacing w:after="0" w:line="240" w:lineRule="auto"/>
    </w:pPr>
  </w:style>
  <w:style w:type="character" w:styleId="BesuchterLink">
    <w:name w:val="FollowedHyperlink"/>
    <w:basedOn w:val="Absatz-Standardschriftart"/>
    <w:uiPriority w:val="99"/>
    <w:semiHidden/>
    <w:unhideWhenUsed/>
    <w:rsid w:val="000475FC"/>
    <w:rPr>
      <w:color w:val="96607D" w:themeColor="followedHyperlink"/>
      <w:u w:val="single"/>
    </w:rPr>
  </w:style>
  <w:style w:type="character" w:styleId="Zeilennummer">
    <w:name w:val="line number"/>
    <w:basedOn w:val="Absatz-Standardschriftart"/>
    <w:uiPriority w:val="99"/>
    <w:semiHidden/>
    <w:unhideWhenUsed/>
    <w:rsid w:val="00F84B32"/>
  </w:style>
  <w:style w:type="paragraph" w:styleId="Kopfzeile">
    <w:name w:val="header"/>
    <w:basedOn w:val="Standard"/>
    <w:link w:val="KopfzeileZchn"/>
    <w:uiPriority w:val="99"/>
    <w:unhideWhenUsed/>
    <w:rsid w:val="00F84B32"/>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F84B32"/>
  </w:style>
  <w:style w:type="paragraph" w:styleId="Fuzeile">
    <w:name w:val="footer"/>
    <w:basedOn w:val="Standard"/>
    <w:link w:val="FuzeileZchn"/>
    <w:uiPriority w:val="99"/>
    <w:unhideWhenUsed/>
    <w:rsid w:val="00F84B32"/>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F84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15334">
      <w:bodyDiv w:val="1"/>
      <w:marLeft w:val="0"/>
      <w:marRight w:val="0"/>
      <w:marTop w:val="0"/>
      <w:marBottom w:val="0"/>
      <w:divBdr>
        <w:top w:val="none" w:sz="0" w:space="0" w:color="auto"/>
        <w:left w:val="none" w:sz="0" w:space="0" w:color="auto"/>
        <w:bottom w:val="none" w:sz="0" w:space="0" w:color="auto"/>
        <w:right w:val="none" w:sz="0" w:space="0" w:color="auto"/>
      </w:divBdr>
    </w:div>
    <w:div w:id="919409919">
      <w:bodyDiv w:val="1"/>
      <w:marLeft w:val="0"/>
      <w:marRight w:val="0"/>
      <w:marTop w:val="0"/>
      <w:marBottom w:val="0"/>
      <w:divBdr>
        <w:top w:val="none" w:sz="0" w:space="0" w:color="auto"/>
        <w:left w:val="none" w:sz="0" w:space="0" w:color="auto"/>
        <w:bottom w:val="none" w:sz="0" w:space="0" w:color="auto"/>
        <w:right w:val="none" w:sz="0" w:space="0" w:color="auto"/>
      </w:divBdr>
    </w:div>
    <w:div w:id="943149741">
      <w:bodyDiv w:val="1"/>
      <w:marLeft w:val="0"/>
      <w:marRight w:val="0"/>
      <w:marTop w:val="0"/>
      <w:marBottom w:val="0"/>
      <w:divBdr>
        <w:top w:val="none" w:sz="0" w:space="0" w:color="auto"/>
        <w:left w:val="none" w:sz="0" w:space="0" w:color="auto"/>
        <w:bottom w:val="none" w:sz="0" w:space="0" w:color="auto"/>
        <w:right w:val="none" w:sz="0" w:space="0" w:color="auto"/>
      </w:divBdr>
    </w:div>
    <w:div w:id="1376780532">
      <w:bodyDiv w:val="1"/>
      <w:marLeft w:val="0"/>
      <w:marRight w:val="0"/>
      <w:marTop w:val="0"/>
      <w:marBottom w:val="0"/>
      <w:divBdr>
        <w:top w:val="none" w:sz="0" w:space="0" w:color="auto"/>
        <w:left w:val="none" w:sz="0" w:space="0" w:color="auto"/>
        <w:bottom w:val="none" w:sz="0" w:space="0" w:color="auto"/>
        <w:right w:val="none" w:sz="0" w:space="0" w:color="auto"/>
      </w:divBdr>
      <w:divsChild>
        <w:div w:id="449975105">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2092463167">
      <w:bodyDiv w:val="1"/>
      <w:marLeft w:val="0"/>
      <w:marRight w:val="0"/>
      <w:marTop w:val="0"/>
      <w:marBottom w:val="0"/>
      <w:divBdr>
        <w:top w:val="none" w:sz="0" w:space="0" w:color="auto"/>
        <w:left w:val="none" w:sz="0" w:space="0" w:color="auto"/>
        <w:bottom w:val="none" w:sz="0" w:space="0" w:color="auto"/>
        <w:right w:val="none" w:sz="0" w:space="0" w:color="auto"/>
      </w:divBdr>
      <w:divsChild>
        <w:div w:id="1507790812">
          <w:marLeft w:val="0"/>
          <w:marRight w:val="0"/>
          <w:marTop w:val="0"/>
          <w:marBottom w:val="0"/>
          <w:divBdr>
            <w:top w:val="none" w:sz="0" w:space="0" w:color="auto"/>
            <w:left w:val="none" w:sz="0" w:space="0" w:color="auto"/>
            <w:bottom w:val="none" w:sz="0" w:space="0" w:color="auto"/>
            <w:right w:val="none" w:sz="0" w:space="0" w:color="auto"/>
          </w:divBdr>
          <w:divsChild>
            <w:div w:id="42388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carmonalab/SignatuR"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7AD1C-C98E-4C7C-AC71-6595B05AD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7220</Words>
  <Characters>41157</Characters>
  <Application>Microsoft Office Word</Application>
  <DocSecurity>0</DocSecurity>
  <Lines>342</Lines>
  <Paragraphs>96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Fenja Gierschek</dc:creator>
  <cp:keywords/>
  <dc:description/>
  <cp:lastModifiedBy>Fenja Gierschek</cp:lastModifiedBy>
  <cp:revision>2</cp:revision>
  <dcterms:created xsi:type="dcterms:W3CDTF">2026-07-31T09:20:00Z</dcterms:created>
  <dcterms:modified xsi:type="dcterms:W3CDTF">2026-07-31T09:20:00Z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http://www.zotero.org/styles/blood</vt:lpwstr>
  </property>
  <property fmtid="{D5CDD505-2E9C-101B-9397-08002B2CF9AE}" pid="9" name="Mendeley Recent Style Name 3_1">
    <vt:lpwstr>Blood</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http://www.zotero.org/styles/chicago-note-bibliography</vt:lpwstr>
  </property>
  <property fmtid="{D5CDD505-2E9C-101B-9397-08002B2CF9AE}" pid="13" name="Mendeley Recent Style Name 5_1">
    <vt:lpwstr>Chicago Manual of Style 17th edition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http://www.zotero.org/styles/modern-humanities-research-association</vt:lpwstr>
  </property>
  <property fmtid="{D5CDD505-2E9C-101B-9397-08002B2CF9AE}" pid="21" name="Mendeley Recent Style Name 9_1">
    <vt:lpwstr>Modern Humanities Research Association 3rd edition (note with bibliography)</vt:lpwstr>
  </property>
  <property fmtid="{D5CDD505-2E9C-101B-9397-08002B2CF9AE}" pid="22" name="Mendeley Document_1">
    <vt:lpwstr>True</vt:lpwstr>
  </property>
  <property fmtid="{D5CDD505-2E9C-101B-9397-08002B2CF9AE}" pid="23" name="Mendeley Unique User Id_1">
    <vt:lpwstr>6e7714fd-47d1-3740-b5db-fd2e1cdef278</vt:lpwstr>
  </property>
  <property fmtid="{D5CDD505-2E9C-101B-9397-08002B2CF9AE}" pid="24" name="Mendeley Citation Style_1">
    <vt:lpwstr>http://www.zotero.org/styles/blood</vt:lpwstr>
  </property>
</Properties>
</file>