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DFE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rPr>
          <w:rFonts w:hint="default" w:ascii="Times New Roman" w:hAnsi="Times New Roman" w:cs="Times New Roman"/>
          <w:color w:val="000000"/>
          <w:sz w:val="24"/>
          <w:szCs w:val="24"/>
        </w:rPr>
      </w:pPr>
      <w:bookmarkStart w:id="0" w:name="_GoBack"/>
      <w:r>
        <w:rPr>
          <w:rFonts w:hint="default" w:ascii="Times New Roman" w:hAnsi="Times New Roman" w:eastAsia="宋体" w:cs="Times New Roman"/>
          <w:sz w:val="24"/>
          <w:szCs w:val="24"/>
        </w:rPr>
        <w:t>Supplementary 1</w:t>
      </w:r>
      <w:r>
        <w:rPr>
          <w:rFonts w:hint="default" w:ascii="Times New Roman" w:hAnsi="Times New Roman" w:eastAsia="宋体" w:cs="Times New Roman"/>
          <w:sz w:val="24"/>
          <w:szCs w:val="24"/>
          <w:lang w:val="en-US" w:eastAsia="zh-CN"/>
        </w:rPr>
        <w:t xml:space="preserve">. </w:t>
      </w:r>
      <w:r>
        <w:rPr>
          <w:rFonts w:hint="default" w:ascii="Times New Roman" w:hAnsi="Times New Roman" w:cs="Times New Roman"/>
          <w:color w:val="000000"/>
          <w:sz w:val="24"/>
          <w:szCs w:val="24"/>
          <w:bdr w:val="none" w:color="auto" w:sz="0" w:space="0"/>
        </w:rPr>
        <w:t>Expert Feedback and Item Revisions</w:t>
      </w:r>
    </w:p>
    <w:p w14:paraId="1F9CA9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000000"/>
          <w:kern w:val="0"/>
          <w:sz w:val="24"/>
          <w:szCs w:val="24"/>
          <w:u w:val="none"/>
          <w:bdr w:val="none" w:color="auto" w:sz="0" w:space="0"/>
          <w:lang w:val="en-US" w:eastAsia="zh-CN" w:bidi="ar"/>
        </w:rPr>
      </w:pPr>
      <w:r>
        <w:rPr>
          <w:rFonts w:hint="default" w:ascii="Times New Roman" w:hAnsi="Times New Roman" w:eastAsia="宋体" w:cs="Times New Roman"/>
          <w:color w:val="000000"/>
          <w:kern w:val="0"/>
          <w:sz w:val="24"/>
          <w:szCs w:val="24"/>
          <w:u w:val="none"/>
          <w:bdr w:val="none" w:color="auto" w:sz="0" w:space="0"/>
          <w:lang w:val="en-US" w:eastAsia="zh-CN" w:bidi="ar"/>
        </w:rPr>
        <w:t xml:space="preserve">The questionnaire for the first round of consultation contained a hierarchical framework consisting of 6 primary items, 16 secondary items and 32 tertiary items. A total of 17 revision suggestions were submitted by the 16 participating experts. Corresponding adjustments were made as follows: </w:t>
      </w:r>
    </w:p>
    <w:p w14:paraId="5B948C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left"/>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u w:val="none"/>
          <w:bdr w:val="none" w:color="auto" w:sz="0" w:space="0"/>
          <w:lang w:val="en-US" w:eastAsia="zh-CN" w:bidi="ar"/>
        </w:rPr>
        <w:t>(1) New items were supplemented:</w:t>
      </w:r>
    </w:p>
    <w:p w14:paraId="1542DE16">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bdr w:val="none" w:color="auto" w:sz="0" w:space="0"/>
          <w:lang w:val="en-US" w:eastAsia="zh-CN"/>
        </w:rPr>
      </w:pPr>
      <w:r>
        <w:rPr>
          <w:rFonts w:hint="default" w:ascii="Times New Roman" w:hAnsi="Times New Roman" w:cs="Times New Roman"/>
          <w:color w:val="000000"/>
          <w:sz w:val="24"/>
          <w:szCs w:val="24"/>
          <w:bdr w:val="none" w:color="auto" w:sz="0" w:space="0"/>
        </w:rPr>
        <w:t>Add secondary item: Inform patients of the upcoming handover;</w:t>
      </w:r>
      <w:r>
        <w:rPr>
          <w:rFonts w:hint="default" w:ascii="Times New Roman" w:hAnsi="Times New Roman" w:cs="Times New Roman"/>
          <w:color w:val="000000"/>
          <w:sz w:val="24"/>
          <w:szCs w:val="24"/>
          <w:bdr w:val="none" w:color="auto" w:sz="0" w:space="0"/>
          <w:lang w:val="en-US" w:eastAsia="zh-CN"/>
        </w:rPr>
        <w:t xml:space="preserve"> </w:t>
      </w:r>
    </w:p>
    <w:p w14:paraId="7980014D">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bdr w:val="none" w:color="auto" w:sz="0" w:space="0"/>
          <w:lang w:val="en-US" w:eastAsia="zh-CN"/>
        </w:rPr>
      </w:pPr>
      <w:r>
        <w:rPr>
          <w:rFonts w:hint="default" w:ascii="Times New Roman" w:hAnsi="Times New Roman" w:cs="Times New Roman"/>
          <w:color w:val="000000"/>
          <w:sz w:val="24"/>
          <w:szCs w:val="24"/>
          <w:bdr w:val="none" w:color="auto" w:sz="0" w:space="0"/>
        </w:rPr>
        <w:t>Add primary item: Suspension of enteral nutrition for patients with nasogastric tubes;</w:t>
      </w:r>
      <w:r>
        <w:rPr>
          <w:rFonts w:hint="default" w:ascii="Times New Roman" w:hAnsi="Times New Roman" w:cs="Times New Roman"/>
          <w:color w:val="000000"/>
          <w:sz w:val="24"/>
          <w:szCs w:val="24"/>
          <w:bdr w:val="none" w:color="auto" w:sz="0" w:space="0"/>
          <w:lang w:val="en-US" w:eastAsia="zh-CN"/>
        </w:rPr>
        <w:t xml:space="preserve"> </w:t>
      </w:r>
    </w:p>
    <w:p w14:paraId="3A1005EF">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Add secondary item: Oxygen Therapy, together with tertiary items</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Properly worn, Intact connection, and Oxygen flow rate;</w:t>
      </w:r>
    </w:p>
    <w:p w14:paraId="2D7B153B">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Add secondary item: ECG Monitoring, together with tertiary items</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Intact connection and</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Abnorma</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signs and corresponding interventions;</w:t>
      </w:r>
    </w:p>
    <w:p w14:paraId="6EA8789D">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bdr w:val="none" w:color="auto" w:sz="0" w:space="0"/>
        </w:rPr>
      </w:pPr>
      <w:r>
        <w:rPr>
          <w:rFonts w:hint="default" w:ascii="Times New Roman" w:hAnsi="Times New Roman" w:cs="Times New Roman"/>
          <w:color w:val="000000"/>
          <w:sz w:val="24"/>
          <w:szCs w:val="24"/>
          <w:bdr w:val="none" w:color="auto" w:sz="0" w:space="0"/>
        </w:rPr>
        <w:t>Add primary item: Discharge Plan, including secondary items</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Discharge Date and</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rPr>
        <w:t xml:space="preserve">Add primary item: </w:t>
      </w:r>
      <w:r>
        <w:rPr>
          <w:rFonts w:hint="default" w:ascii="Times New Roman" w:hAnsi="Times New Roman" w:cs="Times New Roman"/>
          <w:color w:val="000000"/>
          <w:sz w:val="24"/>
          <w:szCs w:val="24"/>
          <w:bdr w:val="none" w:color="auto" w:sz="0" w:space="0"/>
        </w:rPr>
        <w:t>Take-Home Medications, as well as tertiary items</w:t>
      </w:r>
      <w:r>
        <w:rPr>
          <w:rFonts w:hint="default" w:ascii="Times New Roman" w:hAnsi="Times New Roman" w:cs="Times New Roman"/>
          <w:color w:val="000000"/>
          <w:sz w:val="24"/>
          <w:szCs w:val="24"/>
          <w:bdr w:val="none" w:color="auto" w:sz="0" w:space="0"/>
          <w:lang w:val="en-US" w:eastAsia="zh-CN"/>
        </w:rPr>
        <w:t>:</w:t>
      </w:r>
      <w:r>
        <w:rPr>
          <w:rFonts w:hint="default" w:ascii="Times New Roman" w:hAnsi="Times New Roman" w:cs="Times New Roman"/>
          <w:color w:val="000000"/>
          <w:sz w:val="24"/>
          <w:szCs w:val="24"/>
          <w:bdr w:val="none" w:color="auto" w:sz="0" w:space="0"/>
        </w:rPr>
        <w:t xml:space="preserve"> Medication dispensing</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Family member signature, and</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rPr>
        <w:t xml:space="preserve">Storage of special medications. </w:t>
      </w:r>
    </w:p>
    <w:p w14:paraId="662662E8">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bdr w:val="none" w:color="auto" w:sz="0" w:space="0"/>
        </w:rPr>
      </w:pPr>
      <w:r>
        <w:rPr>
          <w:rFonts w:hint="default" w:ascii="Times New Roman" w:hAnsi="Times New Roman" w:cs="Times New Roman"/>
          <w:color w:val="000000"/>
          <w:sz w:val="24"/>
          <w:szCs w:val="24"/>
          <w:bdr w:val="none" w:color="auto" w:sz="0" w:space="0"/>
        </w:rPr>
        <w:t xml:space="preserve">(2) Revise item "Introduce yourself and incoming staff" to "Introduce </w:t>
      </w:r>
      <w:r>
        <w:rPr>
          <w:rFonts w:hint="default" w:ascii="Times New Roman" w:hAnsi="Times New Roman" w:cs="Times New Roman"/>
          <w:color w:val="000000"/>
          <w:sz w:val="24"/>
          <w:szCs w:val="24"/>
          <w:bdr w:val="none" w:color="auto" w:sz="0" w:space="0"/>
          <w:lang w:val="en-US" w:eastAsia="zh-CN"/>
        </w:rPr>
        <w:t xml:space="preserve">handover and </w:t>
      </w:r>
      <w:r>
        <w:rPr>
          <w:rFonts w:hint="default" w:ascii="Times New Roman" w:hAnsi="Times New Roman" w:cs="Times New Roman"/>
          <w:color w:val="000000"/>
          <w:sz w:val="24"/>
          <w:szCs w:val="24"/>
          <w:bdr w:val="none" w:color="auto" w:sz="0" w:space="0"/>
        </w:rPr>
        <w:t xml:space="preserve">the incoming charge nurse". </w:t>
      </w:r>
    </w:p>
    <w:p w14:paraId="5CF68C49">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(3) Supplementary modifiers were added to specified items:</w:t>
      </w:r>
    </w:p>
    <w:p w14:paraId="103D219A">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Revise "Greet the patient" to "Greet the patient with appropriate address";</w:t>
      </w:r>
    </w:p>
    <w:p w14:paraId="5E93BD37">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Revise "Report the patient’s overnight sleep status" to "Report the overnight sleep status of patients with sleep disturbance";</w:t>
      </w:r>
    </w:p>
    <w:p w14:paraId="1D8E9E83">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Revise "Level of consciousness" to "Level of consciousness (for confused or hard-to-assess patients)"</w:t>
      </w:r>
      <w:r>
        <w:rPr>
          <w:rFonts w:hint="default" w:ascii="Times New Roman" w:hAnsi="Times New Roman" w:cs="Times New Roman"/>
          <w:color w:val="000000"/>
          <w:sz w:val="24"/>
          <w:szCs w:val="24"/>
          <w:bdr w:val="none" w:color="auto" w:sz="0" w:space="0"/>
          <w:lang w:val="en-US" w:eastAsia="zh-CN"/>
        </w:rPr>
        <w:t>;</w:t>
      </w:r>
    </w:p>
    <w:p w14:paraId="550D8542">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 xml:space="preserve">Revise "Open time" to "Open or clamped status", and add a new tertiary item: Current status. </w:t>
      </w:r>
    </w:p>
    <w:p w14:paraId="7BA8FD33">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bdr w:val="none" w:color="auto" w:sz="0" w:space="0"/>
        </w:rPr>
      </w:pPr>
      <w:r>
        <w:rPr>
          <w:rFonts w:hint="default" w:ascii="Times New Roman" w:hAnsi="Times New Roman" w:cs="Times New Roman"/>
          <w:color w:val="000000"/>
          <w:sz w:val="24"/>
          <w:szCs w:val="24"/>
          <w:bdr w:val="none" w:color="auto" w:sz="0" w:space="0"/>
        </w:rPr>
        <w:t>(5) Move the original primary item "Overall Impression" to the beginning and rename it "General Requirements".</w:t>
      </w:r>
    </w:p>
    <w:p w14:paraId="2B3256A4">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bdr w:val="none" w:color="auto" w:sz="0" w:space="0"/>
        </w:rPr>
      </w:pPr>
      <w:r>
        <w:rPr>
          <w:rFonts w:hint="default" w:ascii="Times New Roman" w:hAnsi="Times New Roman" w:cs="Times New Roman"/>
          <w:color w:val="000000"/>
          <w:sz w:val="24"/>
          <w:szCs w:val="24"/>
          <w:bdr w:val="none" w:color="auto" w:sz="0" w:space="0"/>
        </w:rPr>
        <w:t>(6) Add detailed specifications under item</w:t>
      </w:r>
      <w:r>
        <w:rPr>
          <w:rFonts w:hint="default" w:ascii="Times New Roman" w:hAnsi="Times New Roman" w:cs="Times New Roman"/>
          <w:color w:val="000000"/>
          <w:sz w:val="24"/>
          <w:szCs w:val="24"/>
          <w:bdr w:val="none" w:color="auto" w:sz="0" w:space="0"/>
          <w:lang w:val="en-US" w:eastAsia="zh-CN"/>
        </w:rPr>
        <w:t xml:space="preserve"> </w:t>
      </w:r>
      <w:r>
        <w:rPr>
          <w:rFonts w:hint="default" w:ascii="Times New Roman" w:hAnsi="Times New Roman" w:cs="Times New Roman"/>
          <w:color w:val="000000"/>
          <w:sz w:val="24"/>
          <w:szCs w:val="24"/>
          <w:bdr w:val="none" w:color="auto" w:sz="0" w:space="0"/>
          <w:lang w:val="en-US" w:eastAsia="zh-CN"/>
        </w:rPr>
        <w:t>“</w:t>
      </w:r>
      <w:r>
        <w:rPr>
          <w:rFonts w:hint="default" w:ascii="Times New Roman" w:hAnsi="Times New Roman" w:cs="Times New Roman"/>
          <w:color w:val="000000"/>
          <w:sz w:val="24"/>
          <w:szCs w:val="24"/>
          <w:bdr w:val="none" w:color="auto" w:sz="0" w:space="0"/>
        </w:rPr>
        <w:t>Positioning Standards</w:t>
      </w:r>
      <w:r>
        <w:rPr>
          <w:rFonts w:hint="default" w:ascii="Times New Roman" w:hAnsi="Times New Roman" w:cs="Times New Roman"/>
          <w:color w:val="000000"/>
          <w:sz w:val="24"/>
          <w:szCs w:val="24"/>
          <w:bdr w:val="none" w:color="auto" w:sz="0" w:space="0"/>
          <w:lang w:val="en-US" w:eastAsia="zh-CN"/>
        </w:rPr>
        <w:t>”</w:t>
      </w:r>
      <w:r>
        <w:rPr>
          <w:rFonts w:hint="default" w:ascii="Times New Roman" w:hAnsi="Times New Roman" w:cs="Times New Roman"/>
          <w:color w:val="000000"/>
          <w:sz w:val="24"/>
          <w:szCs w:val="24"/>
          <w:bdr w:val="none" w:color="auto" w:sz="0" w:space="0"/>
        </w:rPr>
        <w:t xml:space="preserve">: The outgoing and charge nurses stand on either side of the patient’s torso; other nurses line up along both sides of the patient’s lower limbs. For sites with critical catheters, the standing priority order is incoming charge nurse, outgoing charge nurse, head nurse, and other qualified nurses. </w:t>
      </w:r>
    </w:p>
    <w:p w14:paraId="7131A142">
      <w:pPr>
        <w:keepNext w:val="0"/>
        <w:keepLines w:val="0"/>
        <w:widowControl/>
        <w:numPr>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rightChars="0"/>
        <w:jc w:val="left"/>
        <w:rPr>
          <w:rFonts w:hint="default" w:ascii="Times New Roman" w:hAnsi="Times New Roman" w:cs="Times New Roman"/>
          <w:color w:val="000000"/>
          <w:sz w:val="24"/>
          <w:szCs w:val="24"/>
        </w:rPr>
      </w:pPr>
      <w:r>
        <w:rPr>
          <w:rFonts w:hint="default" w:ascii="Times New Roman" w:hAnsi="Times New Roman" w:cs="Times New Roman"/>
          <w:color w:val="000000"/>
          <w:sz w:val="24"/>
          <w:szCs w:val="24"/>
          <w:bdr w:val="none" w:color="auto" w:sz="0" w:space="0"/>
        </w:rPr>
        <w:t>(7) The following expert suggestions were discussed by the research team but not adopted: oral medication management, special medication reminders, double-check of infusion connections, mutual confirmation of catheter-related complications, ventricular drainage tubes and suction tubes, clear marking of catheter opening positions, and wristband tightness inspection to prevent loosening or loss.</w:t>
      </w:r>
    </w:p>
    <w:p w14:paraId="1B743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Fonts w:hint="default" w:ascii="Times New Roman" w:hAnsi="Times New Roman" w:eastAsia="宋体" w:cs="Times New Roman"/>
          <w:color w:val="000000"/>
          <w:kern w:val="0"/>
          <w:sz w:val="24"/>
          <w:szCs w:val="24"/>
          <w:u w:val="none"/>
          <w:bdr w:val="none" w:color="auto" w:sz="0" w:space="0"/>
          <w:lang w:val="en-US" w:eastAsia="zh-CN" w:bidi="ar"/>
        </w:rPr>
      </w:pPr>
      <w:r>
        <w:rPr>
          <w:rFonts w:hint="default" w:ascii="Times New Roman" w:hAnsi="Times New Roman" w:eastAsia="宋体" w:cs="Times New Roman"/>
          <w:color w:val="000000"/>
          <w:kern w:val="0"/>
          <w:sz w:val="24"/>
          <w:szCs w:val="24"/>
          <w:u w:val="none"/>
          <w:bdr w:val="none" w:color="auto" w:sz="0" w:space="0"/>
          <w:lang w:val="en-US" w:eastAsia="zh-CN" w:bidi="ar"/>
        </w:rPr>
        <w:t xml:space="preserve">The questionnaire for the second round of consultation covered 3 primary items, 8 secondary items and 10 tertiary items, with 8 expert comments collected. Revisions based on expert consensus were listed below: </w:t>
      </w:r>
    </w:p>
    <w:p w14:paraId="15E19D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left"/>
        <w:rPr>
          <w:rFonts w:hint="default" w:ascii="Times New Roman" w:hAnsi="Times New Roman" w:eastAsia="宋体" w:cs="Times New Roman"/>
          <w:color w:val="000000"/>
          <w:kern w:val="0"/>
          <w:sz w:val="24"/>
          <w:szCs w:val="24"/>
          <w:u w:val="none"/>
          <w:bdr w:val="none" w:color="auto" w:sz="0" w:space="0"/>
          <w:lang w:val="en-US" w:eastAsia="zh-CN" w:bidi="ar"/>
        </w:rPr>
      </w:pPr>
      <w:r>
        <w:rPr>
          <w:rFonts w:hint="default" w:ascii="Times New Roman" w:hAnsi="Times New Roman" w:eastAsia="宋体" w:cs="Times New Roman"/>
          <w:color w:val="000000"/>
          <w:kern w:val="0"/>
          <w:sz w:val="24"/>
          <w:szCs w:val="24"/>
          <w:u w:val="none"/>
          <w:bdr w:val="none" w:color="auto" w:sz="0" w:space="0"/>
          <w:lang w:val="en-US" w:eastAsia="zh-CN" w:bidi="ar"/>
        </w:rPr>
        <w:t xml:space="preserve">(1) Remove the lengthy explanatory text under "Positioning Standards" (the standing arrangement can be adjusted according to each hospital’s actual conditions and covered in training sessions), retaining only the item title "Positioning Standards". </w:t>
      </w:r>
    </w:p>
    <w:p w14:paraId="2C5D3E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left"/>
        <w:rPr>
          <w:rFonts w:hint="default" w:ascii="Times New Roman" w:hAnsi="Times New Roman" w:eastAsia="宋体" w:cs="Times New Roman"/>
          <w:color w:val="000000"/>
          <w:kern w:val="0"/>
          <w:sz w:val="24"/>
          <w:szCs w:val="24"/>
          <w:u w:val="none"/>
          <w:bdr w:val="none" w:color="auto" w:sz="0" w:space="0"/>
          <w:lang w:val="en-US" w:eastAsia="zh-CN" w:bidi="ar"/>
        </w:rPr>
      </w:pPr>
      <w:r>
        <w:rPr>
          <w:rFonts w:hint="default" w:ascii="Times New Roman" w:hAnsi="Times New Roman" w:eastAsia="宋体" w:cs="Times New Roman"/>
          <w:color w:val="000000"/>
          <w:kern w:val="0"/>
          <w:sz w:val="24"/>
          <w:szCs w:val="24"/>
          <w:u w:val="none"/>
          <w:bdr w:val="none" w:color="auto" w:sz="0" w:space="0"/>
          <w:lang w:val="en-US" w:eastAsia="zh-CN" w:bidi="ar"/>
        </w:rPr>
        <w:t xml:space="preserve">(2) Address ambiguous timing descriptions raised by two experts regarding "Suspension of enteral nutrition for patients with nasogastric tubes (to be completed by the nurse nearest to the feeding pump)": move this content under the new primary item "1 Pre-handover Preparation" as secondary item 1.4 Suspension of enteral nutrition for patients with nasogastric tubes (to be completed by the nurse nearest to the equipment). </w:t>
      </w:r>
    </w:p>
    <w:p w14:paraId="1669DD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left"/>
        <w:rPr>
          <w:rFonts w:hint="default" w:ascii="Times New Roman" w:hAnsi="Times New Roman" w:eastAsia="宋体" w:cs="Times New Roman"/>
          <w:color w:val="000000"/>
          <w:kern w:val="0"/>
          <w:sz w:val="24"/>
          <w:szCs w:val="24"/>
          <w:u w:val="none"/>
          <w:bdr w:val="none" w:color="auto" w:sz="0" w:space="0"/>
          <w:lang w:val="en-US" w:eastAsia="zh-CN" w:bidi="ar"/>
        </w:rPr>
      </w:pPr>
      <w:r>
        <w:rPr>
          <w:rFonts w:hint="default" w:ascii="Times New Roman" w:hAnsi="Times New Roman" w:eastAsia="宋体" w:cs="Times New Roman"/>
          <w:color w:val="000000"/>
          <w:kern w:val="0"/>
          <w:sz w:val="24"/>
          <w:szCs w:val="24"/>
          <w:u w:val="none"/>
          <w:bdr w:val="none" w:color="auto" w:sz="0" w:space="0"/>
          <w:lang w:val="en-US" w:eastAsia="zh-CN" w:bidi="ar"/>
        </w:rPr>
        <w:t>(3) Add tertiary item</w:t>
      </w:r>
      <w:r>
        <w:rPr>
          <w:rFonts w:hint="default" w:ascii="Times New Roman" w:hAnsi="Times New Roman" w:eastAsia="宋体" w:cs="Times New Roman"/>
          <w:color w:val="000000"/>
          <w:kern w:val="0"/>
          <w:sz w:val="24"/>
          <w:szCs w:val="24"/>
          <w:u w:val="none"/>
          <w:bdr w:val="none" w:color="auto" w:sz="0" w:space="0"/>
          <w:lang w:val="en-US" w:eastAsia="zh-CN" w:bidi="ar"/>
        </w:rPr>
        <w:t xml:space="preserve">: </w:t>
      </w:r>
      <w:r>
        <w:rPr>
          <w:rFonts w:hint="default" w:ascii="Times New Roman" w:hAnsi="Times New Roman" w:eastAsia="宋体" w:cs="Times New Roman"/>
          <w:color w:val="000000"/>
          <w:kern w:val="0"/>
          <w:sz w:val="24"/>
          <w:szCs w:val="24"/>
          <w:u w:val="none"/>
          <w:bdr w:val="none" w:color="auto" w:sz="0" w:space="0"/>
          <w:lang w:val="en-US" w:eastAsia="zh-CN" w:bidi="ar"/>
        </w:rPr>
        <w:t>Oxygen delivery mode; merge original items "Properly worn" and "</w:t>
      </w:r>
      <w:r>
        <w:rPr>
          <w:rFonts w:hint="default" w:ascii="Times New Roman" w:hAnsi="Times New Roman" w:eastAsia="宋体" w:cs="Times New Roman"/>
          <w:color w:val="auto"/>
          <w:kern w:val="0"/>
          <w:sz w:val="24"/>
          <w:szCs w:val="24"/>
          <w:vertAlign w:val="baseline"/>
          <w:lang w:val="en-US" w:eastAsia="zh-CN" w:bidi="ar"/>
        </w:rPr>
        <w:t>Connection Intact</w:t>
      </w:r>
      <w:r>
        <w:rPr>
          <w:rFonts w:hint="default" w:ascii="Times New Roman" w:hAnsi="Times New Roman" w:eastAsia="宋体" w:cs="Times New Roman"/>
          <w:color w:val="000000"/>
          <w:kern w:val="0"/>
          <w:sz w:val="24"/>
          <w:szCs w:val="24"/>
          <w:u w:val="none"/>
          <w:bdr w:val="none" w:color="auto" w:sz="0" w:space="0"/>
          <w:lang w:val="en-US" w:eastAsia="zh-CN" w:bidi="ar"/>
        </w:rPr>
        <w:t xml:space="preserve">" into one single item "Properly connected and worn intact". </w:t>
      </w:r>
    </w:p>
    <w:p w14:paraId="77E72D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right="0"/>
        <w:jc w:val="left"/>
        <w:rPr>
          <w:rFonts w:hint="default" w:ascii="Times New Roman" w:hAnsi="Times New Roman" w:cs="Times New Roman"/>
          <w:color w:val="000000"/>
          <w:sz w:val="24"/>
          <w:szCs w:val="24"/>
        </w:rPr>
      </w:pPr>
      <w:r>
        <w:rPr>
          <w:rFonts w:hint="default" w:ascii="Times New Roman" w:hAnsi="Times New Roman" w:eastAsia="宋体" w:cs="Times New Roman"/>
          <w:color w:val="000000"/>
          <w:kern w:val="0"/>
          <w:sz w:val="24"/>
          <w:szCs w:val="24"/>
          <w:u w:val="none"/>
          <w:bdr w:val="none" w:color="auto" w:sz="0" w:space="0"/>
          <w:lang w:val="en-US" w:eastAsia="zh-CN" w:bidi="ar"/>
        </w:rPr>
        <w:t>(4) Delete secondary item “Discharge Date” in accordance with expert opinions</w:t>
      </w:r>
      <w:r>
        <w:rPr>
          <w:rFonts w:hint="default" w:ascii="Times New Roman" w:hAnsi="Times New Roman" w:eastAsia="宋体" w:cs="Times New Roman"/>
          <w:color w:val="000000"/>
          <w:kern w:val="0"/>
          <w:sz w:val="24"/>
          <w:szCs w:val="24"/>
          <w:u w:val="none"/>
          <w:bdr w:val="none" w:color="auto" w:sz="0" w:space="0"/>
          <w:lang w:val="en-US" w:eastAsia="zh-CN" w:bidi="ar"/>
        </w:rPr>
        <w:t>,</w:t>
      </w:r>
      <w:r>
        <w:rPr>
          <w:rFonts w:hint="default" w:ascii="Times New Roman" w:hAnsi="Times New Roman" w:eastAsia="宋体" w:cs="Times New Roman"/>
          <w:color w:val="000000"/>
          <w:kern w:val="0"/>
          <w:sz w:val="24"/>
          <w:szCs w:val="24"/>
          <w:u w:val="none"/>
          <w:bdr w:val="none" w:color="auto" w:sz="0" w:space="0"/>
          <w:lang w:val="en-US" w:eastAsia="zh-CN" w:bidi="ar"/>
        </w:rPr>
        <w:t xml:space="preserve"> item mean scores and coefficients of variation.</w:t>
      </w:r>
    </w:p>
    <w:p w14:paraId="46F2DF20">
      <w:pPr>
        <w:spacing w:line="360" w:lineRule="auto"/>
        <w:rPr>
          <w:rFonts w:hint="default" w:ascii="Times New Roman" w:hAnsi="Times New Roman" w:cs="Times New Roman"/>
          <w:sz w:val="24"/>
          <w:szCs w:val="24"/>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F034DF"/>
    <w:rsid w:val="3AB607B6"/>
    <w:rsid w:val="48B23E25"/>
    <w:rsid w:val="64037B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Ascii" w:hAnsiTheme="minorAscii" w:cstheme="minorBidi"/>
      <w:kern w:val="0"/>
      <w:sz w:val="24"/>
      <w:szCs w:val="28"/>
      <w:u w:val="none"/>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2023-12-05T00:16:00Z</dcterms:created>
  <dc:creator>Administrator</dc:creator>
  <cp:lastModifiedBy>感恩de种子</cp:lastModifiedBy>
  <dcterms:modified xsi:type="dcterms:W3CDTF">2026-08-14T15:19:00Z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F0C80D7FC7DA4DBF80BF562C8D946ECD_12</vt:lpwstr>
  </property>
  <property fmtid="{D5CDD505-2E9C-101B-9397-08002B2CF9AE}" pid="4" name="KSOTemplateDocerSaveRecord">
    <vt:lpwstr>eyJoZGlkIjoiYWExZjcyMDgzNTU0MjQyYjFjMjc3MWQyMjQ3MmE5OGEiLCJ1c2VySWQiOiI0NDMwMDU3MzYifQ==</vt:lpwstr>
  </property>
</Properties>
</file>