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Supplementary Information</w:t>
      </w:r>
    </w:p>
    <w:p>
      <w:pPr>
        <w:pStyle w:val="Heading1"/>
      </w:pPr>
      <w:r>
        <w:t>S1. Corpus manifest</w:t>
      </w:r>
    </w:p>
    <w:p>
      <w:r>
        <w:t>The source corpus was constructed directly from two public-school English textbooks. Primary expository text was included; page furniture, learning outcomes, marginal prompts, glossaries, grammar exercises and unrelated activities were excluded.</w:t>
      </w:r>
    </w:p>
    <w:tbl>
      <w:tblPr>
        <w:tblW w:type="auto" w:w="0"/>
        <w:jc w:val="center"/>
        <w:tblLayout w:type="autofit"/>
        <w:tblLook w:firstColumn="1" w:firstRow="1" w:lastColumn="0" w:lastRow="0" w:noHBand="0" w:noVBand="1" w:val="04A0"/>
      </w:tblPr>
      <w:tblGrid>
        <w:gridCol w:w="1378"/>
        <w:gridCol w:w="1378"/>
        <w:gridCol w:w="1378"/>
        <w:gridCol w:w="1378"/>
        <w:gridCol w:w="1378"/>
        <w:gridCol w:w="1378"/>
        <w:gridCol w:w="1378"/>
      </w:tblGrid>
      <w:tr>
        <w:tc>
          <w:tcPr>
            <w:tcW w:type="dxa" w:w="1378"/>
            <w:vAlign w:val="center"/>
          </w:tcPr>
          <w:p>
            <w:pPr>
              <w:spacing w:after="40" w:before="40"/>
            </w:pPr>
            <w:r>
              <w:rPr>
                <w:rFonts w:ascii="Times New Roman" w:hAnsi="Times New Roman"/>
                <w:b/>
                <w:sz w:val="18"/>
              </w:rPr>
              <w:t>Unit ID</w:t>
            </w:r>
          </w:p>
        </w:tc>
        <w:tc>
          <w:tcPr>
            <w:tcW w:type="dxa" w:w="1378"/>
            <w:vAlign w:val="center"/>
          </w:tcPr>
          <w:p>
            <w:pPr>
              <w:spacing w:after="40" w:before="40"/>
            </w:pPr>
            <w:r>
              <w:rPr>
                <w:rFonts w:ascii="Times New Roman" w:hAnsi="Times New Roman"/>
                <w:b/>
                <w:sz w:val="18"/>
              </w:rPr>
              <w:t>Grade</w:t>
            </w:r>
          </w:p>
        </w:tc>
        <w:tc>
          <w:tcPr>
            <w:tcW w:type="dxa" w:w="1378"/>
            <w:vAlign w:val="center"/>
          </w:tcPr>
          <w:p>
            <w:pPr>
              <w:spacing w:after="40" w:before="40"/>
            </w:pPr>
            <w:r>
              <w:rPr>
                <w:rFonts w:ascii="Times New Roman" w:hAnsi="Times New Roman"/>
                <w:b/>
                <w:sz w:val="18"/>
              </w:rPr>
              <w:t>Textual unit</w:t>
            </w:r>
          </w:p>
        </w:tc>
        <w:tc>
          <w:tcPr>
            <w:tcW w:type="dxa" w:w="1378"/>
            <w:vAlign w:val="center"/>
          </w:tcPr>
          <w:p>
            <w:pPr>
              <w:spacing w:after="40" w:before="40"/>
            </w:pPr>
            <w:r>
              <w:rPr>
                <w:rFonts w:ascii="Times New Roman" w:hAnsi="Times New Roman"/>
                <w:b/>
                <w:sz w:val="18"/>
              </w:rPr>
              <w:t>PDF pages</w:t>
            </w:r>
          </w:p>
        </w:tc>
        <w:tc>
          <w:tcPr>
            <w:tcW w:type="dxa" w:w="1378"/>
            <w:vAlign w:val="center"/>
          </w:tcPr>
          <w:p>
            <w:pPr>
              <w:spacing w:after="40" w:before="40"/>
            </w:pPr>
            <w:r>
              <w:rPr>
                <w:rFonts w:ascii="Times New Roman" w:hAnsi="Times New Roman"/>
                <w:b/>
                <w:sz w:val="18"/>
              </w:rPr>
              <w:t>Printed pages</w:t>
            </w:r>
          </w:p>
        </w:tc>
        <w:tc>
          <w:tcPr>
            <w:tcW w:type="dxa" w:w="1378"/>
            <w:vAlign w:val="center"/>
          </w:tcPr>
          <w:p>
            <w:pPr>
              <w:spacing w:after="40" w:before="40"/>
            </w:pPr>
            <w:r>
              <w:rPr>
                <w:rFonts w:ascii="Times New Roman" w:hAnsi="Times New Roman"/>
                <w:b/>
                <w:sz w:val="18"/>
              </w:rPr>
              <w:t>Words</w:t>
            </w:r>
          </w:p>
        </w:tc>
        <w:tc>
          <w:tcPr>
            <w:tcW w:type="dxa" w:w="1378"/>
            <w:vAlign w:val="center"/>
          </w:tcPr>
          <w:p>
            <w:pPr>
              <w:spacing w:after="40" w:before="40"/>
            </w:pPr>
            <w:r>
              <w:rPr>
                <w:rFonts w:ascii="Times New Roman" w:hAnsi="Times New Roman"/>
                <w:b/>
                <w:sz w:val="18"/>
              </w:rPr>
              <w:t>Clauses</w:t>
            </w:r>
          </w:p>
        </w:tc>
      </w:tr>
      <w:tr>
        <w:tc>
          <w:tcPr>
            <w:tcW w:type="dxa" w:w="1378"/>
            <w:vAlign w:val="center"/>
          </w:tcPr>
          <w:p>
            <w:pPr>
              <w:spacing w:after="40" w:before="40"/>
            </w:pPr>
            <w:r>
              <w:rPr>
                <w:rFonts w:ascii="Times New Roman" w:hAnsi="Times New Roman"/>
                <w:b w:val="0"/>
                <w:sz w:val="18"/>
              </w:rPr>
              <w:t>G9-SUPP-ENV</w:t>
            </w:r>
          </w:p>
        </w:tc>
        <w:tc>
          <w:tcPr>
            <w:tcW w:type="dxa" w:w="1378"/>
            <w:vAlign w:val="center"/>
          </w:tcPr>
          <w:p>
            <w:pPr>
              <w:spacing w:after="40" w:before="40"/>
            </w:pPr>
            <w:r>
              <w:rPr>
                <w:rFonts w:ascii="Times New Roman" w:hAnsi="Times New Roman"/>
                <w:b w:val="0"/>
                <w:sz w:val="18"/>
              </w:rPr>
              <w:t>Grade 9</w:t>
            </w:r>
          </w:p>
        </w:tc>
        <w:tc>
          <w:tcPr>
            <w:tcW w:type="dxa" w:w="1378"/>
            <w:vAlign w:val="center"/>
          </w:tcPr>
          <w:p>
            <w:pPr>
              <w:spacing w:after="40" w:before="40"/>
            </w:pPr>
            <w:r>
              <w:rPr>
                <w:rFonts w:ascii="Times New Roman" w:hAnsi="Times New Roman"/>
                <w:b w:val="0"/>
                <w:sz w:val="18"/>
              </w:rPr>
              <w:t>Benefits of Science: renewable energy and nature passages</w:t>
            </w:r>
          </w:p>
        </w:tc>
        <w:tc>
          <w:tcPr>
            <w:tcW w:type="dxa" w:w="1378"/>
            <w:vAlign w:val="center"/>
          </w:tcPr>
          <w:p>
            <w:pPr>
              <w:spacing w:after="40" w:before="40"/>
            </w:pPr>
            <w:r>
              <w:rPr>
                <w:rFonts w:ascii="Times New Roman" w:hAnsi="Times New Roman"/>
                <w:b w:val="0"/>
                <w:sz w:val="18"/>
              </w:rPr>
              <w:t>108-109</w:t>
            </w:r>
          </w:p>
        </w:tc>
        <w:tc>
          <w:tcPr>
            <w:tcW w:type="dxa" w:w="1378"/>
            <w:vAlign w:val="center"/>
          </w:tcPr>
          <w:p>
            <w:pPr>
              <w:spacing w:after="40" w:before="40"/>
            </w:pPr>
            <w:r>
              <w:rPr>
                <w:rFonts w:ascii="Times New Roman" w:hAnsi="Times New Roman"/>
                <w:b w:val="0"/>
                <w:sz w:val="18"/>
              </w:rPr>
              <w:t>104-105</w:t>
            </w:r>
          </w:p>
        </w:tc>
        <w:tc>
          <w:tcPr>
            <w:tcW w:type="dxa" w:w="1378"/>
            <w:vAlign w:val="center"/>
          </w:tcPr>
          <w:p>
            <w:pPr>
              <w:spacing w:after="40" w:before="40"/>
            </w:pPr>
            <w:r>
              <w:rPr>
                <w:rFonts w:ascii="Times New Roman" w:hAnsi="Times New Roman"/>
                <w:b w:val="0"/>
                <w:sz w:val="18"/>
              </w:rPr>
              <w:t>230</w:t>
            </w:r>
          </w:p>
        </w:tc>
        <w:tc>
          <w:tcPr>
            <w:tcW w:type="dxa" w:w="1378"/>
            <w:vAlign w:val="center"/>
          </w:tcPr>
          <w:p>
            <w:pPr>
              <w:spacing w:after="40" w:before="40"/>
            </w:pPr>
            <w:r>
              <w:rPr>
                <w:rFonts w:ascii="Times New Roman" w:hAnsi="Times New Roman"/>
                <w:b w:val="0"/>
                <w:sz w:val="18"/>
              </w:rPr>
              <w:t>9</w:t>
            </w:r>
          </w:p>
        </w:tc>
      </w:tr>
      <w:tr>
        <w:tc>
          <w:tcPr>
            <w:tcW w:type="dxa" w:w="1378"/>
            <w:vAlign w:val="center"/>
          </w:tcPr>
          <w:p>
            <w:pPr>
              <w:spacing w:after="40" w:before="40"/>
            </w:pPr>
            <w:r>
              <w:rPr>
                <w:rFonts w:ascii="Times New Roman" w:hAnsi="Times New Roman"/>
                <w:b w:val="0"/>
                <w:sz w:val="18"/>
              </w:rPr>
              <w:t>G9-U9</w:t>
            </w:r>
          </w:p>
        </w:tc>
        <w:tc>
          <w:tcPr>
            <w:tcW w:type="dxa" w:w="1378"/>
            <w:vAlign w:val="center"/>
          </w:tcPr>
          <w:p>
            <w:pPr>
              <w:spacing w:after="40" w:before="40"/>
            </w:pPr>
            <w:r>
              <w:rPr>
                <w:rFonts w:ascii="Times New Roman" w:hAnsi="Times New Roman"/>
                <w:b w:val="0"/>
                <w:sz w:val="18"/>
              </w:rPr>
              <w:t>Grade 9</w:t>
            </w:r>
          </w:p>
        </w:tc>
        <w:tc>
          <w:tcPr>
            <w:tcW w:type="dxa" w:w="1378"/>
            <w:vAlign w:val="center"/>
          </w:tcPr>
          <w:p>
            <w:pPr>
              <w:spacing w:after="40" w:before="40"/>
            </w:pPr>
            <w:r>
              <w:rPr>
                <w:rFonts w:ascii="Times New Roman" w:hAnsi="Times New Roman"/>
                <w:b w:val="0"/>
                <w:sz w:val="18"/>
              </w:rPr>
              <w:t>Unit 9: Quality Education: A Key to Success</w:t>
            </w:r>
          </w:p>
        </w:tc>
        <w:tc>
          <w:tcPr>
            <w:tcW w:type="dxa" w:w="1378"/>
            <w:vAlign w:val="center"/>
          </w:tcPr>
          <w:p>
            <w:pPr>
              <w:spacing w:after="40" w:before="40"/>
            </w:pPr>
            <w:r>
              <w:rPr>
                <w:rFonts w:ascii="Times New Roman" w:hAnsi="Times New Roman"/>
                <w:b w:val="0"/>
                <w:sz w:val="18"/>
              </w:rPr>
              <w:t>110-114</w:t>
            </w:r>
          </w:p>
        </w:tc>
        <w:tc>
          <w:tcPr>
            <w:tcW w:type="dxa" w:w="1378"/>
            <w:vAlign w:val="center"/>
          </w:tcPr>
          <w:p>
            <w:pPr>
              <w:spacing w:after="40" w:before="40"/>
            </w:pPr>
            <w:r>
              <w:rPr>
                <w:rFonts w:ascii="Times New Roman" w:hAnsi="Times New Roman"/>
                <w:b w:val="0"/>
                <w:sz w:val="18"/>
              </w:rPr>
              <w:t>106-110</w:t>
            </w:r>
          </w:p>
        </w:tc>
        <w:tc>
          <w:tcPr>
            <w:tcW w:type="dxa" w:w="1378"/>
            <w:vAlign w:val="center"/>
          </w:tcPr>
          <w:p>
            <w:pPr>
              <w:spacing w:after="40" w:before="40"/>
            </w:pPr>
            <w:r>
              <w:rPr>
                <w:rFonts w:ascii="Times New Roman" w:hAnsi="Times New Roman"/>
                <w:b w:val="0"/>
                <w:sz w:val="18"/>
              </w:rPr>
              <w:t>944</w:t>
            </w:r>
          </w:p>
        </w:tc>
        <w:tc>
          <w:tcPr>
            <w:tcW w:type="dxa" w:w="1378"/>
            <w:vAlign w:val="center"/>
          </w:tcPr>
          <w:p>
            <w:pPr>
              <w:spacing w:after="40" w:before="40"/>
            </w:pPr>
            <w:r>
              <w:rPr>
                <w:rFonts w:ascii="Times New Roman" w:hAnsi="Times New Roman"/>
                <w:b w:val="0"/>
                <w:sz w:val="18"/>
              </w:rPr>
              <w:t>54</w:t>
            </w:r>
          </w:p>
        </w:tc>
      </w:tr>
      <w:tr>
        <w:tc>
          <w:tcPr>
            <w:tcW w:type="dxa" w:w="1378"/>
            <w:vAlign w:val="center"/>
          </w:tcPr>
          <w:p>
            <w:pPr>
              <w:spacing w:after="40" w:before="40"/>
            </w:pPr>
            <w:r>
              <w:rPr>
                <w:rFonts w:ascii="Times New Roman" w:hAnsi="Times New Roman"/>
                <w:b w:val="0"/>
                <w:sz w:val="18"/>
              </w:rPr>
              <w:t>G9-U10</w:t>
            </w:r>
          </w:p>
        </w:tc>
        <w:tc>
          <w:tcPr>
            <w:tcW w:type="dxa" w:w="1378"/>
            <w:vAlign w:val="center"/>
          </w:tcPr>
          <w:p>
            <w:pPr>
              <w:spacing w:after="40" w:before="40"/>
            </w:pPr>
            <w:r>
              <w:rPr>
                <w:rFonts w:ascii="Times New Roman" w:hAnsi="Times New Roman"/>
                <w:b w:val="0"/>
                <w:sz w:val="18"/>
              </w:rPr>
              <w:t>Grade 9</w:t>
            </w:r>
          </w:p>
        </w:tc>
        <w:tc>
          <w:tcPr>
            <w:tcW w:type="dxa" w:w="1378"/>
            <w:vAlign w:val="center"/>
          </w:tcPr>
          <w:p>
            <w:pPr>
              <w:spacing w:after="40" w:before="40"/>
            </w:pPr>
            <w:r>
              <w:rPr>
                <w:rFonts w:ascii="Times New Roman" w:hAnsi="Times New Roman"/>
                <w:b w:val="0"/>
                <w:sz w:val="18"/>
              </w:rPr>
              <w:t>Unit 10: The Silent Predator and the Majestic Prey</w:t>
            </w:r>
          </w:p>
        </w:tc>
        <w:tc>
          <w:tcPr>
            <w:tcW w:type="dxa" w:w="1378"/>
            <w:vAlign w:val="center"/>
          </w:tcPr>
          <w:p>
            <w:pPr>
              <w:spacing w:after="40" w:before="40"/>
            </w:pPr>
            <w:r>
              <w:rPr>
                <w:rFonts w:ascii="Times New Roman" w:hAnsi="Times New Roman"/>
                <w:b w:val="0"/>
                <w:sz w:val="18"/>
              </w:rPr>
              <w:t>124-127</w:t>
            </w:r>
          </w:p>
        </w:tc>
        <w:tc>
          <w:tcPr>
            <w:tcW w:type="dxa" w:w="1378"/>
            <w:vAlign w:val="center"/>
          </w:tcPr>
          <w:p>
            <w:pPr>
              <w:spacing w:after="40" w:before="40"/>
            </w:pPr>
            <w:r>
              <w:rPr>
                <w:rFonts w:ascii="Times New Roman" w:hAnsi="Times New Roman"/>
                <w:b w:val="0"/>
                <w:sz w:val="18"/>
              </w:rPr>
              <w:t>120-123</w:t>
            </w:r>
          </w:p>
        </w:tc>
        <w:tc>
          <w:tcPr>
            <w:tcW w:type="dxa" w:w="1378"/>
            <w:vAlign w:val="center"/>
          </w:tcPr>
          <w:p>
            <w:pPr>
              <w:spacing w:after="40" w:before="40"/>
            </w:pPr>
            <w:r>
              <w:rPr>
                <w:rFonts w:ascii="Times New Roman" w:hAnsi="Times New Roman"/>
                <w:b w:val="0"/>
                <w:sz w:val="18"/>
              </w:rPr>
              <w:t>814</w:t>
            </w:r>
          </w:p>
        </w:tc>
        <w:tc>
          <w:tcPr>
            <w:tcW w:type="dxa" w:w="1378"/>
            <w:vAlign w:val="center"/>
          </w:tcPr>
          <w:p>
            <w:pPr>
              <w:spacing w:after="40" w:before="40"/>
            </w:pPr>
            <w:r>
              <w:rPr>
                <w:rFonts w:ascii="Times New Roman" w:hAnsi="Times New Roman"/>
                <w:b w:val="0"/>
                <w:sz w:val="18"/>
              </w:rPr>
              <w:t>37</w:t>
            </w:r>
          </w:p>
        </w:tc>
      </w:tr>
      <w:tr>
        <w:tc>
          <w:tcPr>
            <w:tcW w:type="dxa" w:w="1378"/>
            <w:vAlign w:val="center"/>
          </w:tcPr>
          <w:p>
            <w:pPr>
              <w:spacing w:after="40" w:before="40"/>
            </w:pPr>
            <w:r>
              <w:rPr>
                <w:rFonts w:ascii="Times New Roman" w:hAnsi="Times New Roman"/>
                <w:b w:val="0"/>
                <w:sz w:val="18"/>
              </w:rPr>
              <w:t>G10-U12</w:t>
            </w:r>
          </w:p>
        </w:tc>
        <w:tc>
          <w:tcPr>
            <w:tcW w:type="dxa" w:w="1378"/>
            <w:vAlign w:val="center"/>
          </w:tcPr>
          <w:p>
            <w:pPr>
              <w:spacing w:after="40" w:before="40"/>
            </w:pPr>
            <w:r>
              <w:rPr>
                <w:rFonts w:ascii="Times New Roman" w:hAnsi="Times New Roman"/>
                <w:b w:val="0"/>
                <w:sz w:val="18"/>
              </w:rPr>
              <w:t>Grade 10</w:t>
            </w:r>
          </w:p>
        </w:tc>
        <w:tc>
          <w:tcPr>
            <w:tcW w:type="dxa" w:w="1378"/>
            <w:vAlign w:val="center"/>
          </w:tcPr>
          <w:p>
            <w:pPr>
              <w:spacing w:after="40" w:before="40"/>
            </w:pPr>
            <w:r>
              <w:rPr>
                <w:rFonts w:ascii="Times New Roman" w:hAnsi="Times New Roman"/>
                <w:b w:val="0"/>
                <w:sz w:val="18"/>
              </w:rPr>
              <w:t>Unit 12: Population Growth and World Food Supplies</w:t>
            </w:r>
          </w:p>
        </w:tc>
        <w:tc>
          <w:tcPr>
            <w:tcW w:type="dxa" w:w="1378"/>
            <w:vAlign w:val="center"/>
          </w:tcPr>
          <w:p>
            <w:pPr>
              <w:spacing w:after="40" w:before="40"/>
            </w:pPr>
            <w:r>
              <w:rPr>
                <w:rFonts w:ascii="Times New Roman" w:hAnsi="Times New Roman"/>
                <w:b w:val="0"/>
                <w:sz w:val="18"/>
              </w:rPr>
              <w:t>148-150</w:t>
            </w:r>
          </w:p>
        </w:tc>
        <w:tc>
          <w:tcPr>
            <w:tcW w:type="dxa" w:w="1378"/>
            <w:vAlign w:val="center"/>
          </w:tcPr>
          <w:p>
            <w:pPr>
              <w:spacing w:after="40" w:before="40"/>
            </w:pPr>
            <w:r>
              <w:rPr>
                <w:rFonts w:ascii="Times New Roman" w:hAnsi="Times New Roman"/>
                <w:b w:val="0"/>
                <w:sz w:val="18"/>
              </w:rPr>
              <w:t>140-142</w:t>
            </w:r>
          </w:p>
        </w:tc>
        <w:tc>
          <w:tcPr>
            <w:tcW w:type="dxa" w:w="1378"/>
            <w:vAlign w:val="center"/>
          </w:tcPr>
          <w:p>
            <w:pPr>
              <w:spacing w:after="40" w:before="40"/>
            </w:pPr>
            <w:r>
              <w:rPr>
                <w:rFonts w:ascii="Times New Roman" w:hAnsi="Times New Roman"/>
                <w:b w:val="0"/>
                <w:sz w:val="18"/>
              </w:rPr>
              <w:t>629</w:t>
            </w:r>
          </w:p>
        </w:tc>
        <w:tc>
          <w:tcPr>
            <w:tcW w:type="dxa" w:w="1378"/>
            <w:vAlign w:val="center"/>
          </w:tcPr>
          <w:p>
            <w:pPr>
              <w:spacing w:after="40" w:before="40"/>
            </w:pPr>
            <w:r>
              <w:rPr>
                <w:rFonts w:ascii="Times New Roman" w:hAnsi="Times New Roman"/>
                <w:b w:val="0"/>
                <w:sz w:val="18"/>
              </w:rPr>
              <w:t>35</w:t>
            </w:r>
          </w:p>
        </w:tc>
      </w:tr>
    </w:tbl>
    <w:p>
      <w:pPr>
        <w:pStyle w:val="Heading1"/>
      </w:pPr>
      <w:r>
        <w:t>S2. Segmentation protocol</w:t>
      </w:r>
    </w:p>
    <w:p>
      <w:r>
        <w:t>Text was transcribed from the selected PDF pages and checked against the rendered page images. Whitespace and extraction artefacts were normalised. Sentence boundaries followed terminal punctuation. Semicolons and selected internal boundaries were divided only where the retained span contained a verbal predicate. Each record received a stable unit-based identifier and page locator. The resulting matrix contains 135 finite-clause records.</w:t>
      </w:r>
    </w:p>
    <w:p>
      <w:pPr>
        <w:pStyle w:val="Heading1"/>
      </w:pPr>
      <w:r>
        <w:t>S3. Operational codebook</w:t>
      </w:r>
    </w:p>
    <w:p>
      <w:r>
        <w:t>All binary codes are non-mutually-exclusive. Agency type is mutually exclusive. Full definitions, lexical boundaries and the validation boundary are provided in codebook.txt.</w:t>
      </w:r>
    </w:p>
    <w:tbl>
      <w:tblPr>
        <w:tblW w:type="auto" w:w="0"/>
        <w:jc w:val="center"/>
        <w:tblLayout w:type="autofit"/>
        <w:tblLook w:firstColumn="1" w:firstRow="1" w:lastColumn="0" w:lastRow="0" w:noHBand="0" w:noVBand="1" w:val="04A0"/>
      </w:tblPr>
      <w:tblGrid>
        <w:gridCol w:w="3216"/>
        <w:gridCol w:w="3216"/>
        <w:gridCol w:w="3216"/>
      </w:tblGrid>
      <w:tr>
        <w:tc>
          <w:tcPr>
            <w:tcW w:type="dxa" w:w="3216"/>
            <w:vAlign w:val="center"/>
          </w:tcPr>
          <w:p>
            <w:pPr>
              <w:spacing w:after="40" w:before="40"/>
            </w:pPr>
            <w:r>
              <w:rPr>
                <w:rFonts w:ascii="Times New Roman" w:hAnsi="Times New Roman"/>
                <w:b/>
                <w:sz w:val="18"/>
              </w:rPr>
              <w:t>Variable</w:t>
            </w:r>
          </w:p>
        </w:tc>
        <w:tc>
          <w:tcPr>
            <w:tcW w:type="dxa" w:w="3216"/>
            <w:vAlign w:val="center"/>
          </w:tcPr>
          <w:p>
            <w:pPr>
              <w:spacing w:after="40" w:before="40"/>
            </w:pPr>
            <w:r>
              <w:rPr>
                <w:rFonts w:ascii="Times New Roman" w:hAnsi="Times New Roman"/>
                <w:b/>
                <w:sz w:val="18"/>
              </w:rPr>
              <w:t>Values</w:t>
            </w:r>
          </w:p>
        </w:tc>
        <w:tc>
          <w:tcPr>
            <w:tcW w:type="dxa" w:w="3216"/>
            <w:vAlign w:val="center"/>
          </w:tcPr>
          <w:p>
            <w:pPr>
              <w:spacing w:after="40" w:before="40"/>
            </w:pPr>
            <w:r>
              <w:rPr>
                <w:rFonts w:ascii="Times New Roman" w:hAnsi="Times New Roman"/>
                <w:b/>
                <w:sz w:val="18"/>
              </w:rPr>
              <w:t>Decision rule</w:t>
            </w:r>
          </w:p>
        </w:tc>
      </w:tr>
      <w:tr>
        <w:tc>
          <w:tcPr>
            <w:tcW w:type="dxa" w:w="3216"/>
            <w:vAlign w:val="center"/>
          </w:tcPr>
          <w:p>
            <w:pPr>
              <w:spacing w:after="40" w:before="40"/>
            </w:pPr>
            <w:r>
              <w:rPr>
                <w:rFonts w:ascii="Times New Roman" w:hAnsi="Times New Roman"/>
                <w:b w:val="0"/>
                <w:sz w:val="18"/>
              </w:rPr>
              <w:t>Agent deletion</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Passive event without an expressed by-agent</w:t>
            </w:r>
          </w:p>
        </w:tc>
      </w:tr>
      <w:tr>
        <w:tc>
          <w:tcPr>
            <w:tcW w:type="dxa" w:w="3216"/>
            <w:vAlign w:val="center"/>
          </w:tcPr>
          <w:p>
            <w:pPr>
              <w:spacing w:after="40" w:before="40"/>
            </w:pPr>
            <w:r>
              <w:rPr>
                <w:rFonts w:ascii="Times New Roman" w:hAnsi="Times New Roman"/>
                <w:b w:val="0"/>
                <w:sz w:val="18"/>
              </w:rPr>
              <w:t>Passive construction</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Disclosed be-auxiliary/past-participle pattern</w:t>
            </w:r>
          </w:p>
        </w:tc>
      </w:tr>
      <w:tr>
        <w:tc>
          <w:tcPr>
            <w:tcW w:type="dxa" w:w="3216"/>
            <w:vAlign w:val="center"/>
          </w:tcPr>
          <w:p>
            <w:pPr>
              <w:spacing w:after="40" w:before="40"/>
            </w:pPr>
            <w:r>
              <w:rPr>
                <w:rFonts w:ascii="Times New Roman" w:hAnsi="Times New Roman"/>
                <w:b w:val="0"/>
                <w:sz w:val="18"/>
              </w:rPr>
              <w:t>Nominalisation</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Listed process noun such as development, conservation, destruction, growth, management, production or depletion</w:t>
            </w:r>
          </w:p>
        </w:tc>
      </w:tr>
      <w:tr>
        <w:tc>
          <w:tcPr>
            <w:tcW w:type="dxa" w:w="3216"/>
            <w:vAlign w:val="center"/>
          </w:tcPr>
          <w:p>
            <w:pPr>
              <w:spacing w:after="40" w:before="40"/>
            </w:pPr>
            <w:r>
              <w:rPr>
                <w:rFonts w:ascii="Times New Roman" w:hAnsi="Times New Roman"/>
                <w:b w:val="0"/>
                <w:sz w:val="18"/>
              </w:rPr>
              <w:t>Individualised responsibility</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Individual or human reference plus obligation or environmental-action language</w:t>
            </w:r>
          </w:p>
        </w:tc>
      </w:tr>
      <w:tr>
        <w:tc>
          <w:tcPr>
            <w:tcW w:type="dxa" w:w="3216"/>
            <w:vAlign w:val="center"/>
          </w:tcPr>
          <w:p>
            <w:pPr>
              <w:spacing w:after="40" w:before="40"/>
            </w:pPr>
            <w:r>
              <w:rPr>
                <w:rFonts w:ascii="Times New Roman" w:hAnsi="Times New Roman"/>
                <w:b w:val="0"/>
                <w:sz w:val="18"/>
              </w:rPr>
              <w:t>Generalised responsibility</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We, people, society, community, countries or world plus obligation or environmental-action language</w:t>
            </w:r>
          </w:p>
        </w:tc>
      </w:tr>
      <w:tr>
        <w:tc>
          <w:tcPr>
            <w:tcW w:type="dxa" w:w="3216"/>
            <w:vAlign w:val="center"/>
          </w:tcPr>
          <w:p>
            <w:pPr>
              <w:spacing w:after="40" w:before="40"/>
            </w:pPr>
            <w:r>
              <w:rPr>
                <w:rFonts w:ascii="Times New Roman" w:hAnsi="Times New Roman"/>
                <w:b w:val="0"/>
                <w:sz w:val="18"/>
              </w:rPr>
              <w:t>Institutional presence</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Named governmental, corporate, educational or civil-society actor</w:t>
            </w:r>
          </w:p>
        </w:tc>
      </w:tr>
      <w:tr>
        <w:tc>
          <w:tcPr>
            <w:tcW w:type="dxa" w:w="3216"/>
            <w:vAlign w:val="center"/>
          </w:tcPr>
          <w:p>
            <w:pPr>
              <w:spacing w:after="40" w:before="40"/>
            </w:pPr>
            <w:r>
              <w:rPr>
                <w:rFonts w:ascii="Times New Roman" w:hAnsi="Times New Roman"/>
                <w:b w:val="0"/>
                <w:sz w:val="18"/>
              </w:rPr>
              <w:t>Institutional absence</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Environmental clause without a named institution</w:t>
            </w:r>
          </w:p>
        </w:tc>
      </w:tr>
      <w:tr>
        <w:tc>
          <w:tcPr>
            <w:tcW w:type="dxa" w:w="3216"/>
            <w:vAlign w:val="center"/>
          </w:tcPr>
          <w:p>
            <w:pPr>
              <w:spacing w:after="40" w:before="40"/>
            </w:pPr>
            <w:r>
              <w:rPr>
                <w:rFonts w:ascii="Times New Roman" w:hAnsi="Times New Roman"/>
                <w:b w:val="0"/>
                <w:sz w:val="18"/>
              </w:rPr>
              <w:t>Moralisation</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Obligation or value marker</w:t>
            </w:r>
          </w:p>
        </w:tc>
      </w:tr>
      <w:tr>
        <w:tc>
          <w:tcPr>
            <w:tcW w:type="dxa" w:w="3216"/>
            <w:vAlign w:val="center"/>
          </w:tcPr>
          <w:p>
            <w:pPr>
              <w:spacing w:after="40" w:before="40"/>
            </w:pPr>
            <w:r>
              <w:rPr>
                <w:rFonts w:ascii="Times New Roman" w:hAnsi="Times New Roman"/>
                <w:b w:val="0"/>
                <w:sz w:val="18"/>
              </w:rPr>
              <w:t>Governance framing</w:t>
            </w:r>
          </w:p>
        </w:tc>
        <w:tc>
          <w:tcPr>
            <w:tcW w:type="dxa" w:w="3216"/>
            <w:vAlign w:val="center"/>
          </w:tcPr>
          <w:p>
            <w:pPr>
              <w:spacing w:after="40" w:before="40"/>
            </w:pPr>
            <w:r>
              <w:rPr>
                <w:rFonts w:ascii="Times New Roman" w:hAnsi="Times New Roman"/>
                <w:b w:val="0"/>
                <w:sz w:val="18"/>
              </w:rPr>
              <w:t>0/1</w:t>
            </w:r>
          </w:p>
        </w:tc>
        <w:tc>
          <w:tcPr>
            <w:tcW w:type="dxa" w:w="3216"/>
            <w:vAlign w:val="center"/>
          </w:tcPr>
          <w:p>
            <w:pPr>
              <w:spacing w:after="40" w:before="40"/>
            </w:pPr>
            <w:r>
              <w:rPr>
                <w:rFonts w:ascii="Times New Roman" w:hAnsi="Times New Roman"/>
                <w:b w:val="0"/>
                <w:sz w:val="18"/>
              </w:rPr>
              <w:t>Named institution plus governance-action language</w:t>
            </w:r>
          </w:p>
        </w:tc>
      </w:tr>
    </w:tbl>
    <w:p>
      <w:pPr>
        <w:pStyle w:val="Heading1"/>
      </w:pPr>
      <w:r>
        <w:t>S4. Reproducibility and validation boundary</w:t>
      </w:r>
    </w:p>
    <w:p>
      <w:r>
        <w:t>The supplied Python script reads the row-level matrix and reproduces all counts, percentages and Wilson intervals using only the standard library. Exact computational reproducibility is not equivalent to human intercoder reliability. No second-coder or Cohen's kappa claim is made. Context-sensitive categories remain operational indicators and are interpreted through close reading.</w:t>
      </w:r>
    </w:p>
    <w:p>
      <w:pPr>
        <w:pStyle w:val="Heading1"/>
      </w:pPr>
      <w:r>
        <w:t>S5. Aggregate verification</w:t>
      </w:r>
    </w:p>
    <w:tbl>
      <w:tblPr>
        <w:tblW w:type="auto" w:w="0"/>
        <w:jc w:val="center"/>
        <w:tblLayout w:type="autofit"/>
        <w:tblLook w:firstColumn="1" w:firstRow="1" w:lastColumn="0" w:lastRow="0" w:noHBand="0" w:noVBand="1" w:val="04A0"/>
      </w:tblPr>
      <w:tblGrid>
        <w:gridCol w:w="1608"/>
        <w:gridCol w:w="1608"/>
        <w:gridCol w:w="1608"/>
        <w:gridCol w:w="1608"/>
        <w:gridCol w:w="1608"/>
        <w:gridCol w:w="1608"/>
      </w:tblGrid>
      <w:tr>
        <w:tc>
          <w:tcPr>
            <w:tcW w:type="dxa" w:w="1608"/>
            <w:vAlign w:val="center"/>
          </w:tcPr>
          <w:p>
            <w:pPr>
              <w:spacing w:after="40" w:before="40"/>
            </w:pPr>
            <w:r>
              <w:rPr>
                <w:rFonts w:ascii="Times New Roman" w:hAnsi="Times New Roman"/>
                <w:b/>
                <w:sz w:val="18"/>
              </w:rPr>
              <w:t>Feature</w:t>
            </w:r>
          </w:p>
        </w:tc>
        <w:tc>
          <w:tcPr>
            <w:tcW w:type="dxa" w:w="1608"/>
            <w:vAlign w:val="center"/>
          </w:tcPr>
          <w:p>
            <w:pPr>
              <w:spacing w:after="40" w:before="40"/>
            </w:pPr>
            <w:r>
              <w:rPr>
                <w:rFonts w:ascii="Times New Roman" w:hAnsi="Times New Roman"/>
                <w:b/>
                <w:sz w:val="18"/>
              </w:rPr>
              <w:t>n</w:t>
            </w:r>
          </w:p>
        </w:tc>
        <w:tc>
          <w:tcPr>
            <w:tcW w:type="dxa" w:w="1608"/>
            <w:vAlign w:val="center"/>
          </w:tcPr>
          <w:p>
            <w:pPr>
              <w:spacing w:after="40" w:before="40"/>
            </w:pPr>
            <w:r>
              <w:rPr>
                <w:rFonts w:ascii="Times New Roman" w:hAnsi="Times New Roman"/>
                <w:b/>
                <w:sz w:val="18"/>
              </w:rPr>
              <w:t>N</w:t>
            </w:r>
          </w:p>
        </w:tc>
        <w:tc>
          <w:tcPr>
            <w:tcW w:type="dxa" w:w="1608"/>
            <w:vAlign w:val="center"/>
          </w:tcPr>
          <w:p>
            <w:pPr>
              <w:spacing w:after="40" w:before="40"/>
            </w:pPr>
            <w:r>
              <w:rPr>
                <w:rFonts w:ascii="Times New Roman" w:hAnsi="Times New Roman"/>
                <w:b/>
                <w:sz w:val="18"/>
              </w:rPr>
              <w:t>%</w:t>
            </w:r>
          </w:p>
        </w:tc>
        <w:tc>
          <w:tcPr>
            <w:tcW w:type="dxa" w:w="1608"/>
            <w:vAlign w:val="center"/>
          </w:tcPr>
          <w:p>
            <w:pPr>
              <w:spacing w:after="40" w:before="40"/>
            </w:pPr>
            <w:r>
              <w:rPr>
                <w:rFonts w:ascii="Times New Roman" w:hAnsi="Times New Roman"/>
                <w:b/>
                <w:sz w:val="18"/>
              </w:rPr>
              <w:t>Wilson low</w:t>
            </w:r>
          </w:p>
        </w:tc>
        <w:tc>
          <w:tcPr>
            <w:tcW w:type="dxa" w:w="1608"/>
            <w:vAlign w:val="center"/>
          </w:tcPr>
          <w:p>
            <w:pPr>
              <w:spacing w:after="40" w:before="40"/>
            </w:pPr>
            <w:r>
              <w:rPr>
                <w:rFonts w:ascii="Times New Roman" w:hAnsi="Times New Roman"/>
                <w:b/>
                <w:sz w:val="18"/>
              </w:rPr>
              <w:t>Wilson high</w:t>
            </w:r>
          </w:p>
        </w:tc>
      </w:tr>
      <w:tr>
        <w:tc>
          <w:tcPr>
            <w:tcW w:type="dxa" w:w="1608"/>
            <w:vAlign w:val="center"/>
          </w:tcPr>
          <w:p>
            <w:pPr>
              <w:spacing w:after="40" w:before="40"/>
            </w:pPr>
            <w:r>
              <w:rPr>
                <w:rFonts w:ascii="Times New Roman" w:hAnsi="Times New Roman"/>
                <w:b w:val="0"/>
                <w:sz w:val="18"/>
              </w:rPr>
              <w:t>Institutional absence</w:t>
            </w:r>
          </w:p>
        </w:tc>
        <w:tc>
          <w:tcPr>
            <w:tcW w:type="dxa" w:w="1608"/>
            <w:vAlign w:val="center"/>
          </w:tcPr>
          <w:p>
            <w:pPr>
              <w:spacing w:after="40" w:before="40"/>
            </w:pPr>
            <w:r>
              <w:rPr>
                <w:rFonts w:ascii="Times New Roman" w:hAnsi="Times New Roman"/>
                <w:b w:val="0"/>
                <w:sz w:val="18"/>
              </w:rPr>
              <w:t>59</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43.7</w:t>
            </w:r>
          </w:p>
        </w:tc>
        <w:tc>
          <w:tcPr>
            <w:tcW w:type="dxa" w:w="1608"/>
            <w:vAlign w:val="center"/>
          </w:tcPr>
          <w:p>
            <w:pPr>
              <w:spacing w:after="40" w:before="40"/>
            </w:pPr>
            <w:r>
              <w:rPr>
                <w:rFonts w:ascii="Times New Roman" w:hAnsi="Times New Roman"/>
                <w:b w:val="0"/>
                <w:sz w:val="18"/>
              </w:rPr>
              <w:t>35.6</w:t>
            </w:r>
          </w:p>
        </w:tc>
        <w:tc>
          <w:tcPr>
            <w:tcW w:type="dxa" w:w="1608"/>
            <w:vAlign w:val="center"/>
          </w:tcPr>
          <w:p>
            <w:pPr>
              <w:spacing w:after="40" w:before="40"/>
            </w:pPr>
            <w:r>
              <w:rPr>
                <w:rFonts w:ascii="Times New Roman" w:hAnsi="Times New Roman"/>
                <w:b w:val="0"/>
                <w:sz w:val="18"/>
              </w:rPr>
              <w:t>52.1</w:t>
            </w:r>
          </w:p>
        </w:tc>
      </w:tr>
      <w:tr>
        <w:tc>
          <w:tcPr>
            <w:tcW w:type="dxa" w:w="1608"/>
            <w:vAlign w:val="center"/>
          </w:tcPr>
          <w:p>
            <w:pPr>
              <w:spacing w:after="40" w:before="40"/>
            </w:pPr>
            <w:r>
              <w:rPr>
                <w:rFonts w:ascii="Times New Roman" w:hAnsi="Times New Roman"/>
                <w:b w:val="0"/>
                <w:sz w:val="18"/>
              </w:rPr>
              <w:t>Agent deletion</w:t>
            </w:r>
          </w:p>
        </w:tc>
        <w:tc>
          <w:tcPr>
            <w:tcW w:type="dxa" w:w="1608"/>
            <w:vAlign w:val="center"/>
          </w:tcPr>
          <w:p>
            <w:pPr>
              <w:spacing w:after="40" w:before="40"/>
            </w:pPr>
            <w:r>
              <w:rPr>
                <w:rFonts w:ascii="Times New Roman" w:hAnsi="Times New Roman"/>
                <w:b w:val="0"/>
                <w:sz w:val="18"/>
              </w:rPr>
              <w:t>17</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12.6</w:t>
            </w:r>
          </w:p>
        </w:tc>
        <w:tc>
          <w:tcPr>
            <w:tcW w:type="dxa" w:w="1608"/>
            <w:vAlign w:val="center"/>
          </w:tcPr>
          <w:p>
            <w:pPr>
              <w:spacing w:after="40" w:before="40"/>
            </w:pPr>
            <w:r>
              <w:rPr>
                <w:rFonts w:ascii="Times New Roman" w:hAnsi="Times New Roman"/>
                <w:b w:val="0"/>
                <w:sz w:val="18"/>
              </w:rPr>
              <w:t>8.0</w:t>
            </w:r>
          </w:p>
        </w:tc>
        <w:tc>
          <w:tcPr>
            <w:tcW w:type="dxa" w:w="1608"/>
            <w:vAlign w:val="center"/>
          </w:tcPr>
          <w:p>
            <w:pPr>
              <w:spacing w:after="40" w:before="40"/>
            </w:pPr>
            <w:r>
              <w:rPr>
                <w:rFonts w:ascii="Times New Roman" w:hAnsi="Times New Roman"/>
                <w:b w:val="0"/>
                <w:sz w:val="18"/>
              </w:rPr>
              <w:t>19.2</w:t>
            </w:r>
          </w:p>
        </w:tc>
      </w:tr>
      <w:tr>
        <w:tc>
          <w:tcPr>
            <w:tcW w:type="dxa" w:w="1608"/>
            <w:vAlign w:val="center"/>
          </w:tcPr>
          <w:p>
            <w:pPr>
              <w:spacing w:after="40" w:before="40"/>
            </w:pPr>
            <w:r>
              <w:rPr>
                <w:rFonts w:ascii="Times New Roman" w:hAnsi="Times New Roman"/>
                <w:b w:val="0"/>
                <w:sz w:val="18"/>
              </w:rPr>
              <w:t>Moralisation</w:t>
            </w:r>
          </w:p>
        </w:tc>
        <w:tc>
          <w:tcPr>
            <w:tcW w:type="dxa" w:w="1608"/>
            <w:vAlign w:val="center"/>
          </w:tcPr>
          <w:p>
            <w:pPr>
              <w:spacing w:after="40" w:before="40"/>
            </w:pPr>
            <w:r>
              <w:rPr>
                <w:rFonts w:ascii="Times New Roman" w:hAnsi="Times New Roman"/>
                <w:b w:val="0"/>
                <w:sz w:val="18"/>
              </w:rPr>
              <w:t>32</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23.7</w:t>
            </w:r>
          </w:p>
        </w:tc>
        <w:tc>
          <w:tcPr>
            <w:tcW w:type="dxa" w:w="1608"/>
            <w:vAlign w:val="center"/>
          </w:tcPr>
          <w:p>
            <w:pPr>
              <w:spacing w:after="40" w:before="40"/>
            </w:pPr>
            <w:r>
              <w:rPr>
                <w:rFonts w:ascii="Times New Roman" w:hAnsi="Times New Roman"/>
                <w:b w:val="0"/>
                <w:sz w:val="18"/>
              </w:rPr>
              <w:t>17.3</w:t>
            </w:r>
          </w:p>
        </w:tc>
        <w:tc>
          <w:tcPr>
            <w:tcW w:type="dxa" w:w="1608"/>
            <w:vAlign w:val="center"/>
          </w:tcPr>
          <w:p>
            <w:pPr>
              <w:spacing w:after="40" w:before="40"/>
            </w:pPr>
            <w:r>
              <w:rPr>
                <w:rFonts w:ascii="Times New Roman" w:hAnsi="Times New Roman"/>
                <w:b w:val="0"/>
                <w:sz w:val="18"/>
              </w:rPr>
              <w:t>31.5</w:t>
            </w:r>
          </w:p>
        </w:tc>
      </w:tr>
      <w:tr>
        <w:tc>
          <w:tcPr>
            <w:tcW w:type="dxa" w:w="1608"/>
            <w:vAlign w:val="center"/>
          </w:tcPr>
          <w:p>
            <w:pPr>
              <w:spacing w:after="40" w:before="40"/>
            </w:pPr>
            <w:r>
              <w:rPr>
                <w:rFonts w:ascii="Times New Roman" w:hAnsi="Times New Roman"/>
                <w:b w:val="0"/>
                <w:sz w:val="18"/>
              </w:rPr>
              <w:t>Nominalisation</w:t>
            </w:r>
          </w:p>
        </w:tc>
        <w:tc>
          <w:tcPr>
            <w:tcW w:type="dxa" w:w="1608"/>
            <w:vAlign w:val="center"/>
          </w:tcPr>
          <w:p>
            <w:pPr>
              <w:spacing w:after="40" w:before="40"/>
            </w:pPr>
            <w:r>
              <w:rPr>
                <w:rFonts w:ascii="Times New Roman" w:hAnsi="Times New Roman"/>
                <w:b w:val="0"/>
                <w:sz w:val="18"/>
              </w:rPr>
              <w:t>64</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47.4</w:t>
            </w:r>
          </w:p>
        </w:tc>
        <w:tc>
          <w:tcPr>
            <w:tcW w:type="dxa" w:w="1608"/>
            <w:vAlign w:val="center"/>
          </w:tcPr>
          <w:p>
            <w:pPr>
              <w:spacing w:after="40" w:before="40"/>
            </w:pPr>
            <w:r>
              <w:rPr>
                <w:rFonts w:ascii="Times New Roman" w:hAnsi="Times New Roman"/>
                <w:b w:val="0"/>
                <w:sz w:val="18"/>
              </w:rPr>
              <w:t>39.2</w:t>
            </w:r>
          </w:p>
        </w:tc>
        <w:tc>
          <w:tcPr>
            <w:tcW w:type="dxa" w:w="1608"/>
            <w:vAlign w:val="center"/>
          </w:tcPr>
          <w:p>
            <w:pPr>
              <w:spacing w:after="40" w:before="40"/>
            </w:pPr>
            <w:r>
              <w:rPr>
                <w:rFonts w:ascii="Times New Roman" w:hAnsi="Times New Roman"/>
                <w:b w:val="0"/>
                <w:sz w:val="18"/>
              </w:rPr>
              <w:t>55.8</w:t>
            </w:r>
          </w:p>
        </w:tc>
      </w:tr>
      <w:tr>
        <w:tc>
          <w:tcPr>
            <w:tcW w:type="dxa" w:w="1608"/>
            <w:vAlign w:val="center"/>
          </w:tcPr>
          <w:p>
            <w:pPr>
              <w:spacing w:after="40" w:before="40"/>
            </w:pPr>
            <w:r>
              <w:rPr>
                <w:rFonts w:ascii="Times New Roman" w:hAnsi="Times New Roman"/>
                <w:b w:val="0"/>
                <w:sz w:val="18"/>
              </w:rPr>
              <w:t>Passive construction</w:t>
            </w:r>
          </w:p>
        </w:tc>
        <w:tc>
          <w:tcPr>
            <w:tcW w:type="dxa" w:w="1608"/>
            <w:vAlign w:val="center"/>
          </w:tcPr>
          <w:p>
            <w:pPr>
              <w:spacing w:after="40" w:before="40"/>
            </w:pPr>
            <w:r>
              <w:rPr>
                <w:rFonts w:ascii="Times New Roman" w:hAnsi="Times New Roman"/>
                <w:b w:val="0"/>
                <w:sz w:val="18"/>
              </w:rPr>
              <w:t>20</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14.8</w:t>
            </w:r>
          </w:p>
        </w:tc>
        <w:tc>
          <w:tcPr>
            <w:tcW w:type="dxa" w:w="1608"/>
            <w:vAlign w:val="center"/>
          </w:tcPr>
          <w:p>
            <w:pPr>
              <w:spacing w:after="40" w:before="40"/>
            </w:pPr>
            <w:r>
              <w:rPr>
                <w:rFonts w:ascii="Times New Roman" w:hAnsi="Times New Roman"/>
                <w:b w:val="0"/>
                <w:sz w:val="18"/>
              </w:rPr>
              <w:t>9.8</w:t>
            </w:r>
          </w:p>
        </w:tc>
        <w:tc>
          <w:tcPr>
            <w:tcW w:type="dxa" w:w="1608"/>
            <w:vAlign w:val="center"/>
          </w:tcPr>
          <w:p>
            <w:pPr>
              <w:spacing w:after="40" w:before="40"/>
            </w:pPr>
            <w:r>
              <w:rPr>
                <w:rFonts w:ascii="Times New Roman" w:hAnsi="Times New Roman"/>
                <w:b w:val="0"/>
                <w:sz w:val="18"/>
              </w:rPr>
              <w:t>21.8</w:t>
            </w:r>
          </w:p>
        </w:tc>
      </w:tr>
      <w:tr>
        <w:tc>
          <w:tcPr>
            <w:tcW w:type="dxa" w:w="1608"/>
            <w:vAlign w:val="center"/>
          </w:tcPr>
          <w:p>
            <w:pPr>
              <w:spacing w:after="40" w:before="40"/>
            </w:pPr>
            <w:r>
              <w:rPr>
                <w:rFonts w:ascii="Times New Roman" w:hAnsi="Times New Roman"/>
                <w:b w:val="0"/>
                <w:sz w:val="18"/>
              </w:rPr>
              <w:t>Institutional presence</w:t>
            </w:r>
          </w:p>
        </w:tc>
        <w:tc>
          <w:tcPr>
            <w:tcW w:type="dxa" w:w="1608"/>
            <w:vAlign w:val="center"/>
          </w:tcPr>
          <w:p>
            <w:pPr>
              <w:spacing w:after="40" w:before="40"/>
            </w:pPr>
            <w:r>
              <w:rPr>
                <w:rFonts w:ascii="Times New Roman" w:hAnsi="Times New Roman"/>
                <w:b w:val="0"/>
                <w:sz w:val="18"/>
              </w:rPr>
              <w:t>17</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12.6</w:t>
            </w:r>
          </w:p>
        </w:tc>
        <w:tc>
          <w:tcPr>
            <w:tcW w:type="dxa" w:w="1608"/>
            <w:vAlign w:val="center"/>
          </w:tcPr>
          <w:p>
            <w:pPr>
              <w:spacing w:after="40" w:before="40"/>
            </w:pPr>
            <w:r>
              <w:rPr>
                <w:rFonts w:ascii="Times New Roman" w:hAnsi="Times New Roman"/>
                <w:b w:val="0"/>
                <w:sz w:val="18"/>
              </w:rPr>
              <w:t>8.0</w:t>
            </w:r>
          </w:p>
        </w:tc>
        <w:tc>
          <w:tcPr>
            <w:tcW w:type="dxa" w:w="1608"/>
            <w:vAlign w:val="center"/>
          </w:tcPr>
          <w:p>
            <w:pPr>
              <w:spacing w:after="40" w:before="40"/>
            </w:pPr>
            <w:r>
              <w:rPr>
                <w:rFonts w:ascii="Times New Roman" w:hAnsi="Times New Roman"/>
                <w:b w:val="0"/>
                <w:sz w:val="18"/>
              </w:rPr>
              <w:t>19.2</w:t>
            </w:r>
          </w:p>
        </w:tc>
      </w:tr>
      <w:tr>
        <w:tc>
          <w:tcPr>
            <w:tcW w:type="dxa" w:w="1608"/>
            <w:vAlign w:val="center"/>
          </w:tcPr>
          <w:p>
            <w:pPr>
              <w:spacing w:after="40" w:before="40"/>
            </w:pPr>
            <w:r>
              <w:rPr>
                <w:rFonts w:ascii="Times New Roman" w:hAnsi="Times New Roman"/>
                <w:b w:val="0"/>
                <w:sz w:val="18"/>
              </w:rPr>
              <w:t>Individualised responsibility</w:t>
            </w:r>
          </w:p>
        </w:tc>
        <w:tc>
          <w:tcPr>
            <w:tcW w:type="dxa" w:w="1608"/>
            <w:vAlign w:val="center"/>
          </w:tcPr>
          <w:p>
            <w:pPr>
              <w:spacing w:after="40" w:before="40"/>
            </w:pPr>
            <w:r>
              <w:rPr>
                <w:rFonts w:ascii="Times New Roman" w:hAnsi="Times New Roman"/>
                <w:b w:val="0"/>
                <w:sz w:val="18"/>
              </w:rPr>
              <w:t>29</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21.5</w:t>
            </w:r>
          </w:p>
        </w:tc>
        <w:tc>
          <w:tcPr>
            <w:tcW w:type="dxa" w:w="1608"/>
            <w:vAlign w:val="center"/>
          </w:tcPr>
          <w:p>
            <w:pPr>
              <w:spacing w:after="40" w:before="40"/>
            </w:pPr>
            <w:r>
              <w:rPr>
                <w:rFonts w:ascii="Times New Roman" w:hAnsi="Times New Roman"/>
                <w:b w:val="0"/>
                <w:sz w:val="18"/>
              </w:rPr>
              <w:t>15.4</w:t>
            </w:r>
          </w:p>
        </w:tc>
        <w:tc>
          <w:tcPr>
            <w:tcW w:type="dxa" w:w="1608"/>
            <w:vAlign w:val="center"/>
          </w:tcPr>
          <w:p>
            <w:pPr>
              <w:spacing w:after="40" w:before="40"/>
            </w:pPr>
            <w:r>
              <w:rPr>
                <w:rFonts w:ascii="Times New Roman" w:hAnsi="Times New Roman"/>
                <w:b w:val="0"/>
                <w:sz w:val="18"/>
              </w:rPr>
              <w:t>29.1</w:t>
            </w:r>
          </w:p>
        </w:tc>
      </w:tr>
      <w:tr>
        <w:tc>
          <w:tcPr>
            <w:tcW w:type="dxa" w:w="1608"/>
            <w:vAlign w:val="center"/>
          </w:tcPr>
          <w:p>
            <w:pPr>
              <w:spacing w:after="40" w:before="40"/>
            </w:pPr>
            <w:r>
              <w:rPr>
                <w:rFonts w:ascii="Times New Roman" w:hAnsi="Times New Roman"/>
                <w:b w:val="0"/>
                <w:sz w:val="18"/>
              </w:rPr>
              <w:t>Generalised responsibility</w:t>
            </w:r>
          </w:p>
        </w:tc>
        <w:tc>
          <w:tcPr>
            <w:tcW w:type="dxa" w:w="1608"/>
            <w:vAlign w:val="center"/>
          </w:tcPr>
          <w:p>
            <w:pPr>
              <w:spacing w:after="40" w:before="40"/>
            </w:pPr>
            <w:r>
              <w:rPr>
                <w:rFonts w:ascii="Times New Roman" w:hAnsi="Times New Roman"/>
                <w:b w:val="0"/>
                <w:sz w:val="18"/>
              </w:rPr>
              <w:t>26</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19.3</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26.7</w:t>
            </w:r>
          </w:p>
        </w:tc>
      </w:tr>
      <w:tr>
        <w:tc>
          <w:tcPr>
            <w:tcW w:type="dxa" w:w="1608"/>
            <w:vAlign w:val="center"/>
          </w:tcPr>
          <w:p>
            <w:pPr>
              <w:spacing w:after="40" w:before="40"/>
            </w:pPr>
            <w:r>
              <w:rPr>
                <w:rFonts w:ascii="Times New Roman" w:hAnsi="Times New Roman"/>
                <w:b w:val="0"/>
                <w:sz w:val="18"/>
              </w:rPr>
              <w:t>Governance framing</w:t>
            </w:r>
          </w:p>
        </w:tc>
        <w:tc>
          <w:tcPr>
            <w:tcW w:type="dxa" w:w="1608"/>
            <w:vAlign w:val="center"/>
          </w:tcPr>
          <w:p>
            <w:pPr>
              <w:spacing w:after="40" w:before="40"/>
            </w:pPr>
            <w:r>
              <w:rPr>
                <w:rFonts w:ascii="Times New Roman" w:hAnsi="Times New Roman"/>
                <w:b w:val="0"/>
                <w:sz w:val="18"/>
              </w:rPr>
              <w:t>3</w:t>
            </w:r>
          </w:p>
        </w:tc>
        <w:tc>
          <w:tcPr>
            <w:tcW w:type="dxa" w:w="1608"/>
            <w:vAlign w:val="center"/>
          </w:tcPr>
          <w:p>
            <w:pPr>
              <w:spacing w:after="40" w:before="40"/>
            </w:pPr>
            <w:r>
              <w:rPr>
                <w:rFonts w:ascii="Times New Roman" w:hAnsi="Times New Roman"/>
                <w:b w:val="0"/>
                <w:sz w:val="18"/>
              </w:rPr>
              <w:t>135</w:t>
            </w:r>
          </w:p>
        </w:tc>
        <w:tc>
          <w:tcPr>
            <w:tcW w:type="dxa" w:w="1608"/>
            <w:vAlign w:val="center"/>
          </w:tcPr>
          <w:p>
            <w:pPr>
              <w:spacing w:after="40" w:before="40"/>
            </w:pPr>
            <w:r>
              <w:rPr>
                <w:rFonts w:ascii="Times New Roman" w:hAnsi="Times New Roman"/>
                <w:b w:val="0"/>
                <w:sz w:val="18"/>
              </w:rPr>
              <w:t>2.2</w:t>
            </w:r>
          </w:p>
        </w:tc>
        <w:tc>
          <w:tcPr>
            <w:tcW w:type="dxa" w:w="1608"/>
            <w:vAlign w:val="center"/>
          </w:tcPr>
          <w:p>
            <w:pPr>
              <w:spacing w:after="40" w:before="40"/>
            </w:pPr>
            <w:r>
              <w:rPr>
                <w:rFonts w:ascii="Times New Roman" w:hAnsi="Times New Roman"/>
                <w:b w:val="0"/>
                <w:sz w:val="18"/>
              </w:rPr>
              <w:t>0.8</w:t>
            </w:r>
          </w:p>
        </w:tc>
        <w:tc>
          <w:tcPr>
            <w:tcW w:type="dxa" w:w="1608"/>
            <w:vAlign w:val="center"/>
          </w:tcPr>
          <w:p>
            <w:pPr>
              <w:spacing w:after="40" w:before="40"/>
            </w:pPr>
            <w:r>
              <w:rPr>
                <w:rFonts w:ascii="Times New Roman" w:hAnsi="Times New Roman"/>
                <w:b w:val="0"/>
                <w:sz w:val="18"/>
              </w:rPr>
              <w:t>6.3</w:t>
            </w:r>
          </w:p>
        </w:tc>
      </w:tr>
    </w:tbl>
    <w:p>
      <w:pPr>
        <w:pStyle w:val="Heading1"/>
      </w:pPr>
      <w:r>
        <w:t>S6. Illustrative source examples</w:t>
      </w:r>
    </w:p>
    <w:tbl>
      <w:tblPr>
        <w:tblW w:type="auto" w:w="0"/>
        <w:jc w:val="center"/>
        <w:tblLayout w:type="autofit"/>
        <w:tblLook w:firstColumn="1" w:firstRow="1" w:lastColumn="0" w:lastRow="0" w:noHBand="0" w:noVBand="1" w:val="04A0"/>
      </w:tblPr>
      <w:tblGrid>
        <w:gridCol w:w="3216"/>
        <w:gridCol w:w="3216"/>
        <w:gridCol w:w="3216"/>
      </w:tblGrid>
      <w:tr>
        <w:tc>
          <w:tcPr>
            <w:tcW w:type="dxa" w:w="3216"/>
            <w:vAlign w:val="center"/>
          </w:tcPr>
          <w:p>
            <w:pPr>
              <w:spacing w:after="40" w:before="40"/>
            </w:pPr>
            <w:r>
              <w:rPr>
                <w:rFonts w:ascii="Times New Roman" w:hAnsi="Times New Roman"/>
                <w:b/>
                <w:sz w:val="18"/>
              </w:rPr>
              <w:t>Source</w:t>
            </w:r>
          </w:p>
        </w:tc>
        <w:tc>
          <w:tcPr>
            <w:tcW w:type="dxa" w:w="3216"/>
            <w:vAlign w:val="center"/>
          </w:tcPr>
          <w:p>
            <w:pPr>
              <w:spacing w:after="40" w:before="40"/>
            </w:pPr>
            <w:r>
              <w:rPr>
                <w:rFonts w:ascii="Times New Roman" w:hAnsi="Times New Roman"/>
                <w:b/>
                <w:sz w:val="18"/>
              </w:rPr>
              <w:t>Textbook example</w:t>
            </w:r>
          </w:p>
        </w:tc>
        <w:tc>
          <w:tcPr>
            <w:tcW w:type="dxa" w:w="3216"/>
            <w:vAlign w:val="center"/>
          </w:tcPr>
          <w:p>
            <w:pPr>
              <w:spacing w:after="40" w:before="40"/>
            </w:pPr>
            <w:r>
              <w:rPr>
                <w:rFonts w:ascii="Times New Roman" w:hAnsi="Times New Roman"/>
                <w:b/>
                <w:sz w:val="18"/>
              </w:rPr>
              <w:t>Analytical relevance</w:t>
            </w:r>
          </w:p>
        </w:tc>
      </w:tr>
      <w:tr>
        <w:tc>
          <w:tcPr>
            <w:tcW w:type="dxa" w:w="3216"/>
            <w:vAlign w:val="center"/>
          </w:tcPr>
          <w:p>
            <w:pPr>
              <w:spacing w:after="40" w:before="40"/>
            </w:pPr>
            <w:r>
              <w:rPr>
                <w:rFonts w:ascii="Times New Roman" w:hAnsi="Times New Roman"/>
                <w:b w:val="0"/>
                <w:sz w:val="18"/>
              </w:rPr>
              <w:t>Grade 9, Benefits of Science, printed p. 104</w:t>
            </w:r>
          </w:p>
        </w:tc>
        <w:tc>
          <w:tcPr>
            <w:tcW w:type="dxa" w:w="3216"/>
            <w:vAlign w:val="center"/>
          </w:tcPr>
          <w:p>
            <w:pPr>
              <w:spacing w:after="40" w:before="40"/>
            </w:pPr>
            <w:r>
              <w:rPr>
                <w:rFonts w:ascii="Times New Roman" w:hAnsi="Times New Roman"/>
                <w:b w:val="0"/>
                <w:sz w:val="18"/>
              </w:rPr>
              <w:t>Governments and companies are investing heavily in renewable energy technologies to reduce carbon emissions and promote a cleaner, greener future.</w:t>
            </w:r>
          </w:p>
        </w:tc>
        <w:tc>
          <w:tcPr>
            <w:tcW w:type="dxa" w:w="3216"/>
            <w:vAlign w:val="center"/>
          </w:tcPr>
          <w:p>
            <w:pPr>
              <w:spacing w:after="40" w:before="40"/>
            </w:pPr>
            <w:r>
              <w:rPr>
                <w:rFonts w:ascii="Times New Roman" w:hAnsi="Times New Roman"/>
                <w:b w:val="0"/>
                <w:sz w:val="18"/>
              </w:rPr>
              <w:t>Explicit institutional presence and governance framing.</w:t>
            </w:r>
          </w:p>
        </w:tc>
      </w:tr>
      <w:tr>
        <w:tc>
          <w:tcPr>
            <w:tcW w:type="dxa" w:w="3216"/>
            <w:vAlign w:val="center"/>
          </w:tcPr>
          <w:p>
            <w:pPr>
              <w:spacing w:after="40" w:before="40"/>
            </w:pPr>
            <w:r>
              <w:rPr>
                <w:rFonts w:ascii="Times New Roman" w:hAnsi="Times New Roman"/>
                <w:b w:val="0"/>
                <w:sz w:val="18"/>
              </w:rPr>
              <w:t>Grade 9, Benefits of Science, printed p. 104</w:t>
            </w:r>
          </w:p>
        </w:tc>
        <w:tc>
          <w:tcPr>
            <w:tcW w:type="dxa" w:w="3216"/>
            <w:vAlign w:val="center"/>
          </w:tcPr>
          <w:p>
            <w:pPr>
              <w:spacing w:after="40" w:before="40"/>
            </w:pPr>
            <w:r>
              <w:rPr>
                <w:rFonts w:ascii="Times New Roman" w:hAnsi="Times New Roman"/>
                <w:b w:val="0"/>
                <w:sz w:val="18"/>
              </w:rPr>
              <w:t>It is vital that we respect and protect nature ... reducing pollution, conserving habitats, and promoting sustainable practices.</w:t>
            </w:r>
          </w:p>
        </w:tc>
        <w:tc>
          <w:tcPr>
            <w:tcW w:type="dxa" w:w="3216"/>
            <w:vAlign w:val="center"/>
          </w:tcPr>
          <w:p>
            <w:pPr>
              <w:spacing w:after="40" w:before="40"/>
            </w:pPr>
            <w:r>
              <w:rPr>
                <w:rFonts w:ascii="Times New Roman" w:hAnsi="Times New Roman"/>
                <w:b w:val="0"/>
                <w:sz w:val="18"/>
              </w:rPr>
              <w:t>Moralisation and generalised responsibility.</w:t>
            </w:r>
          </w:p>
        </w:tc>
      </w:tr>
      <w:tr>
        <w:tc>
          <w:tcPr>
            <w:tcW w:type="dxa" w:w="3216"/>
            <w:vAlign w:val="center"/>
          </w:tcPr>
          <w:p>
            <w:pPr>
              <w:spacing w:after="40" w:before="40"/>
            </w:pPr>
            <w:r>
              <w:rPr>
                <w:rFonts w:ascii="Times New Roman" w:hAnsi="Times New Roman"/>
                <w:b w:val="0"/>
                <w:sz w:val="18"/>
              </w:rPr>
              <w:t>Grade 9, Unit 9, printed p. 109</w:t>
            </w:r>
          </w:p>
        </w:tc>
        <w:tc>
          <w:tcPr>
            <w:tcW w:type="dxa" w:w="3216"/>
            <w:vAlign w:val="center"/>
          </w:tcPr>
          <w:p>
            <w:pPr>
              <w:spacing w:after="40" w:before="40"/>
            </w:pPr>
            <w:r>
              <w:rPr>
                <w:rFonts w:ascii="Times New Roman" w:hAnsi="Times New Roman"/>
                <w:b w:val="0"/>
                <w:sz w:val="18"/>
              </w:rPr>
              <w:t>Governments should prioritise the training and development of educators.</w:t>
            </w:r>
          </w:p>
        </w:tc>
        <w:tc>
          <w:tcPr>
            <w:tcW w:type="dxa" w:w="3216"/>
            <w:vAlign w:val="center"/>
          </w:tcPr>
          <w:p>
            <w:pPr>
              <w:spacing w:after="40" w:before="40"/>
            </w:pPr>
            <w:r>
              <w:rPr>
                <w:rFonts w:ascii="Times New Roman" w:hAnsi="Times New Roman"/>
                <w:b w:val="0"/>
                <w:sz w:val="18"/>
              </w:rPr>
              <w:t>Explicit institutional responsibility and governance action.</w:t>
            </w:r>
          </w:p>
        </w:tc>
      </w:tr>
      <w:tr>
        <w:tc>
          <w:tcPr>
            <w:tcW w:type="dxa" w:w="3216"/>
            <w:vAlign w:val="center"/>
          </w:tcPr>
          <w:p>
            <w:pPr>
              <w:spacing w:after="40" w:before="40"/>
            </w:pPr>
            <w:r>
              <w:rPr>
                <w:rFonts w:ascii="Times New Roman" w:hAnsi="Times New Roman"/>
                <w:b w:val="0"/>
                <w:sz w:val="18"/>
              </w:rPr>
              <w:t>Grade 9, Unit 10, printed p. 122</w:t>
            </w:r>
          </w:p>
        </w:tc>
        <w:tc>
          <w:tcPr>
            <w:tcW w:type="dxa" w:w="3216"/>
            <w:vAlign w:val="center"/>
          </w:tcPr>
          <w:p>
            <w:pPr>
              <w:spacing w:after="40" w:before="40"/>
            </w:pPr>
            <w:r>
              <w:rPr>
                <w:rFonts w:ascii="Times New Roman" w:hAnsi="Times New Roman"/>
                <w:b w:val="0"/>
                <w:sz w:val="18"/>
              </w:rPr>
              <w:t>Local communities, in collaboration with the government, have established trophy hunting programmes.</w:t>
            </w:r>
          </w:p>
        </w:tc>
        <w:tc>
          <w:tcPr>
            <w:tcW w:type="dxa" w:w="3216"/>
            <w:vAlign w:val="center"/>
          </w:tcPr>
          <w:p>
            <w:pPr>
              <w:spacing w:after="40" w:before="40"/>
            </w:pPr>
            <w:r>
              <w:rPr>
                <w:rFonts w:ascii="Times New Roman" w:hAnsi="Times New Roman"/>
                <w:b w:val="0"/>
                <w:sz w:val="18"/>
              </w:rPr>
              <w:t>Institutional collaboration and programme framing.</w:t>
            </w:r>
          </w:p>
        </w:tc>
      </w:tr>
      <w:tr>
        <w:tc>
          <w:tcPr>
            <w:tcW w:type="dxa" w:w="3216"/>
            <w:vAlign w:val="center"/>
          </w:tcPr>
          <w:p>
            <w:pPr>
              <w:spacing w:after="40" w:before="40"/>
            </w:pPr>
            <w:r>
              <w:rPr>
                <w:rFonts w:ascii="Times New Roman" w:hAnsi="Times New Roman"/>
                <w:b w:val="0"/>
                <w:sz w:val="18"/>
              </w:rPr>
              <w:t>Grade 9, Unit 10, printed p. 122</w:t>
            </w:r>
          </w:p>
        </w:tc>
        <w:tc>
          <w:tcPr>
            <w:tcW w:type="dxa" w:w="3216"/>
            <w:vAlign w:val="center"/>
          </w:tcPr>
          <w:p>
            <w:pPr>
              <w:spacing w:after="40" w:before="40"/>
            </w:pPr>
            <w:r>
              <w:rPr>
                <w:rFonts w:ascii="Times New Roman" w:hAnsi="Times New Roman"/>
                <w:b w:val="0"/>
                <w:sz w:val="18"/>
              </w:rPr>
              <w:t>The revenue generated is used for wildlife conservation and to provide financial incentives for local people to protect the animals.</w:t>
            </w:r>
          </w:p>
        </w:tc>
        <w:tc>
          <w:tcPr>
            <w:tcW w:type="dxa" w:w="3216"/>
            <w:vAlign w:val="center"/>
          </w:tcPr>
          <w:p>
            <w:pPr>
              <w:spacing w:after="40" w:before="40"/>
            </w:pPr>
            <w:r>
              <w:rPr>
                <w:rFonts w:ascii="Times New Roman" w:hAnsi="Times New Roman"/>
                <w:b w:val="0"/>
                <w:sz w:val="18"/>
              </w:rPr>
              <w:t>Passive construction alongside an explicit governance mechanism.</w:t>
            </w:r>
          </w:p>
        </w:tc>
      </w:tr>
      <w:tr>
        <w:tc>
          <w:tcPr>
            <w:tcW w:type="dxa" w:w="3216"/>
            <w:vAlign w:val="center"/>
          </w:tcPr>
          <w:p>
            <w:pPr>
              <w:spacing w:after="40" w:before="40"/>
            </w:pPr>
            <w:r>
              <w:rPr>
                <w:rFonts w:ascii="Times New Roman" w:hAnsi="Times New Roman"/>
                <w:b w:val="0"/>
                <w:sz w:val="18"/>
              </w:rPr>
              <w:t>Grade 10, Unit 12, printed p. 140</w:t>
            </w:r>
          </w:p>
        </w:tc>
        <w:tc>
          <w:tcPr>
            <w:tcW w:type="dxa" w:w="3216"/>
            <w:vAlign w:val="center"/>
          </w:tcPr>
          <w:p>
            <w:pPr>
              <w:spacing w:after="40" w:before="40"/>
            </w:pPr>
            <w:r>
              <w:rPr>
                <w:rFonts w:ascii="Times New Roman" w:hAnsi="Times New Roman"/>
                <w:b w:val="0"/>
                <w:sz w:val="18"/>
              </w:rPr>
              <w:t>Great pressure is being placed on arable land, water, energy, and biological resources.</w:t>
            </w:r>
          </w:p>
        </w:tc>
        <w:tc>
          <w:tcPr>
            <w:tcW w:type="dxa" w:w="3216"/>
            <w:vAlign w:val="center"/>
          </w:tcPr>
          <w:p>
            <w:pPr>
              <w:spacing w:after="40" w:before="40"/>
            </w:pPr>
            <w:r>
              <w:rPr>
                <w:rFonts w:ascii="Times New Roman" w:hAnsi="Times New Roman"/>
                <w:b w:val="0"/>
                <w:sz w:val="18"/>
              </w:rPr>
              <w:t>Passive construction and deleted causal agency.</w:t>
            </w:r>
          </w:p>
        </w:tc>
      </w:tr>
      <w:tr>
        <w:tc>
          <w:tcPr>
            <w:tcW w:type="dxa" w:w="3216"/>
            <w:vAlign w:val="center"/>
          </w:tcPr>
          <w:p>
            <w:pPr>
              <w:spacing w:after="40" w:before="40"/>
            </w:pPr>
            <w:r>
              <w:rPr>
                <w:rFonts w:ascii="Times New Roman" w:hAnsi="Times New Roman"/>
                <w:b w:val="0"/>
                <w:sz w:val="18"/>
              </w:rPr>
              <w:t>Grade 10, Unit 12, printed p. 141</w:t>
            </w:r>
          </w:p>
        </w:tc>
        <w:tc>
          <w:tcPr>
            <w:tcW w:type="dxa" w:w="3216"/>
            <w:vAlign w:val="center"/>
          </w:tcPr>
          <w:p>
            <w:pPr>
              <w:spacing w:after="40" w:before="40"/>
            </w:pPr>
            <w:r>
              <w:rPr>
                <w:rFonts w:ascii="Times New Roman" w:hAnsi="Times New Roman"/>
                <w:b w:val="0"/>
                <w:sz w:val="18"/>
              </w:rPr>
              <w:t>At present, fertile agricultural land is being lost at an alarming rate.</w:t>
            </w:r>
          </w:p>
        </w:tc>
        <w:tc>
          <w:tcPr>
            <w:tcW w:type="dxa" w:w="3216"/>
            <w:vAlign w:val="center"/>
          </w:tcPr>
          <w:p>
            <w:pPr>
              <w:spacing w:after="40" w:before="40"/>
            </w:pPr>
            <w:r>
              <w:rPr>
                <w:rFonts w:ascii="Times New Roman" w:hAnsi="Times New Roman"/>
                <w:b w:val="0"/>
                <w:sz w:val="18"/>
              </w:rPr>
              <w:t>Environmental harm represented without a named institution.</w:t>
            </w:r>
          </w:p>
        </w:tc>
      </w:tr>
      <w:tr>
        <w:tc>
          <w:tcPr>
            <w:tcW w:type="dxa" w:w="3216"/>
            <w:vAlign w:val="center"/>
          </w:tcPr>
          <w:p>
            <w:pPr>
              <w:spacing w:after="40" w:before="40"/>
            </w:pPr>
            <w:r>
              <w:rPr>
                <w:rFonts w:ascii="Times New Roman" w:hAnsi="Times New Roman"/>
                <w:b w:val="0"/>
                <w:sz w:val="18"/>
              </w:rPr>
              <w:t>Grade 10, Unit 12, printed p. 142</w:t>
            </w:r>
          </w:p>
        </w:tc>
        <w:tc>
          <w:tcPr>
            <w:tcW w:type="dxa" w:w="3216"/>
            <w:vAlign w:val="center"/>
          </w:tcPr>
          <w:p>
            <w:pPr>
              <w:spacing w:after="40" w:before="40"/>
            </w:pPr>
            <w:r>
              <w:rPr>
                <w:rFonts w:ascii="Times New Roman" w:hAnsi="Times New Roman"/>
                <w:b w:val="0"/>
                <w:sz w:val="18"/>
              </w:rPr>
              <w:t>Strategies for the conservation of land, water, energy, and biological resources are to be implemented effectively.</w:t>
            </w:r>
          </w:p>
        </w:tc>
        <w:tc>
          <w:tcPr>
            <w:tcW w:type="dxa" w:w="3216"/>
            <w:vAlign w:val="center"/>
          </w:tcPr>
          <w:p>
            <w:pPr>
              <w:spacing w:after="40" w:before="40"/>
            </w:pPr>
            <w:r>
              <w:rPr>
                <w:rFonts w:ascii="Times New Roman" w:hAnsi="Times New Roman"/>
                <w:b w:val="0"/>
                <w:sz w:val="18"/>
              </w:rPr>
              <w:t>Governance-oriented obligation with an unspecified implementer.</w:t>
            </w:r>
          </w:p>
        </w:tc>
      </w:tr>
    </w:tbl>
    <w:p>
      <w:pPr>
        <w:pStyle w:val="Heading1"/>
      </w:pPr>
      <w:r>
        <w:t>S7. Copyright and source access</w:t>
      </w:r>
    </w:p>
    <w:p>
      <w:r>
        <w:t>Official textbook portal: https://pctb.punjab.gov.pk/download_books (last checked 18 August 2026). The books are not redistributed. Clause text is included in the confidential peer-review matrix solely to enable verification.</w:t>
      </w:r>
    </w:p>
    <w:sectPr>
      <w:pgSz w:w="12240" w:h="15840"/>
      <w:pgMar w:top="1224" w:right="1296" w:bottom="122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