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sz w:val="28"/>
        </w:rPr>
        <w:t>Supplementary Information</w:t>
      </w:r>
    </w:p>
    <w:p>
      <w:pPr>
        <w:spacing w:after="200"/>
        <w:jc w:val="center"/>
      </w:pPr>
      <w:r>
        <w:rPr>
          <w:b/>
        </w:rPr>
        <w:t>Mapping Muscle Stiffness: Shear-Wave Elastography Endovaginal Ultrasound of the Puborectalis in Defecation Disorders</w:t>
      </w:r>
    </w:p>
    <w:p>
      <w:pPr>
        <w:spacing w:after="400"/>
        <w:jc w:val="center"/>
      </w:pPr>
      <w:r>
        <w:t>Sandip Maiti-Bera, Giulio A Santoro, Hugo Cuellar-Gomez</w:t>
      </w:r>
    </w:p>
    <w:p>
      <w:pPr>
        <w:spacing w:before="200" w:after="120" w:line="480" w:lineRule="auto"/>
      </w:pPr>
      <w:r>
        <w:rPr>
          <w:b/>
        </w:rPr>
        <w:t>Supplementary Tables</w:t>
      </w:r>
    </w:p>
    <w:p w14:paraId="21D1633A" w14:textId="77777777" w:rsidR="00225345" w:rsidRPr="0044678E" w:rsidRDefault="00D21194">
      <w:pPr>
        <w:spacing w:before="200" w:after="60"/>
      </w:pPr>
      <w:r>
        <w:rPr>
          <w:b/>
        </w:rPr>
        <w:lastRenderedPageBreak/>
        <w:t>SUPPLEMENTARY TABLE S1. Pairwise comparisons of puborectalis stiffness (Mann-Whitney U with Bonferroni correction)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6"/>
        <w:gridCol w:w="2266"/>
        <w:gridCol w:w="2265"/>
        <w:gridCol w:w="2265"/>
      </w:tblGrid>
      <w:tr w:rsidR="00225345" w:rsidRPr="0044678E" w14:paraId="52E669DB" w14:textId="77777777">
        <w:tc>
          <w:tcPr>
            <w:tcW w:w="2268" w:type="dxa"/>
            <w:shd w:val="clear" w:color="auto" w:fill="D9D9D9"/>
          </w:tcPr>
          <w:p w14:paraId="78D87385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b/>
                <w:sz w:val="20"/>
              </w:rPr>
              <w:t>Zone</w:t>
            </w:r>
          </w:p>
        </w:tc>
        <w:tc>
          <w:tcPr>
            <w:tcW w:w="2268" w:type="dxa"/>
            <w:shd w:val="clear" w:color="auto" w:fill="D9D9D9"/>
          </w:tcPr>
          <w:p w14:paraId="22D4B226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b/>
                <w:sz w:val="20"/>
              </w:rPr>
              <w:t>ODS vs. HC</w:t>
              <w:br/>
            </w:r>
            <w:r>
              <w:rPr>
                <w:b/>
                <w:i/>
                <w:sz w:val="20"/>
              </w:rPr>
              <w:t>P</w:t>
            </w:r>
            <w:r>
              <w:rPr>
                <w:b/>
                <w:sz w:val="20"/>
              </w:rPr>
              <w:t xml:space="preserve"> value</w:t>
            </w:r>
          </w:p>
        </w:tc>
        <w:tc>
          <w:tcPr>
            <w:tcW w:w="2268" w:type="dxa"/>
            <w:shd w:val="clear" w:color="auto" w:fill="D9D9D9"/>
          </w:tcPr>
          <w:p w14:paraId="54C326F5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b/>
                <w:sz w:val="20"/>
              </w:rPr>
              <w:t>ODS vs. FC</w:t>
              <w:br/>
            </w:r>
            <w:r>
              <w:rPr>
                <w:b/>
                <w:i/>
                <w:sz w:val="20"/>
              </w:rPr>
              <w:t>P</w:t>
            </w:r>
            <w:r>
              <w:rPr>
                <w:b/>
                <w:sz w:val="20"/>
              </w:rPr>
              <w:t xml:space="preserve"> value</w:t>
            </w:r>
          </w:p>
        </w:tc>
        <w:tc>
          <w:tcPr>
            <w:tcW w:w="2268" w:type="dxa"/>
            <w:shd w:val="clear" w:color="auto" w:fill="D9D9D9"/>
          </w:tcPr>
          <w:p w14:paraId="5DBA65F6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b/>
                <w:sz w:val="20"/>
              </w:rPr>
              <w:t>FC vs. HC</w:t>
              <w:br/>
            </w:r>
            <w:r>
              <w:rPr>
                <w:b/>
                <w:i/>
                <w:sz w:val="20"/>
              </w:rPr>
              <w:t>P</w:t>
            </w:r>
            <w:r>
              <w:rPr>
                <w:b/>
                <w:sz w:val="20"/>
              </w:rPr>
              <w:t xml:space="preserve"> value</w:t>
            </w:r>
          </w:p>
        </w:tc>
      </w:tr>
      <w:tr w:rsidR="00225345" w:rsidRPr="0044678E" w14:paraId="414783E7" w14:textId="77777777">
        <w:tc>
          <w:tcPr>
            <w:tcW w:w="2268" w:type="dxa"/>
          </w:tcPr>
          <w:p w14:paraId="3A0FFA29" w14:textId="77777777" w:rsidR="00357DA8" w:rsidRPr="0044678E" w:rsidRDefault="00D21194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 xml:space="preserve">Zone 1 </w:t>
            </w:r>
          </w:p>
          <w:p w14:paraId="6C77C814" w14:textId="634DC874" w:rsidR="00225345" w:rsidRPr="0044678E" w:rsidRDefault="00D21194">
            <w:pPr>
              <w:spacing w:before="40" w:after="40"/>
            </w:pPr>
            <w:r>
              <w:rPr>
                <w:sz w:val="22"/>
              </w:rPr>
              <w:t>(left insertion)</w:t>
            </w:r>
          </w:p>
        </w:tc>
        <w:tc>
          <w:tcPr>
            <w:tcW w:w="2268" w:type="dxa"/>
          </w:tcPr>
          <w:p w14:paraId="4A439915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0.007</w:t>
            </w:r>
          </w:p>
        </w:tc>
        <w:tc>
          <w:tcPr>
            <w:tcW w:w="2268" w:type="dxa"/>
          </w:tcPr>
          <w:p w14:paraId="1E54912C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0.158</w:t>
            </w:r>
          </w:p>
        </w:tc>
        <w:tc>
          <w:tcPr>
            <w:tcW w:w="2268" w:type="dxa"/>
          </w:tcPr>
          <w:p w14:paraId="2D5216F5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0.478</w:t>
            </w:r>
          </w:p>
        </w:tc>
      </w:tr>
      <w:tr w:rsidR="00225345" w:rsidRPr="0044678E" w14:paraId="6C4614AC" w14:textId="77777777">
        <w:tc>
          <w:tcPr>
            <w:tcW w:w="2268" w:type="dxa"/>
          </w:tcPr>
          <w:p w14:paraId="0601697B" w14:textId="77777777" w:rsidR="00357DA8" w:rsidRPr="0044678E" w:rsidRDefault="00D21194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 xml:space="preserve">Zone 2 </w:t>
            </w:r>
          </w:p>
          <w:p w14:paraId="6F9C1905" w14:textId="2F55B4AF" w:rsidR="00225345" w:rsidRPr="0044678E" w:rsidRDefault="00D21194">
            <w:pPr>
              <w:spacing w:before="40" w:after="40"/>
            </w:pPr>
            <w:r>
              <w:rPr>
                <w:sz w:val="22"/>
              </w:rPr>
              <w:t>(left sling)</w:t>
            </w:r>
          </w:p>
        </w:tc>
        <w:tc>
          <w:tcPr>
            <w:tcW w:w="2268" w:type="dxa"/>
          </w:tcPr>
          <w:p w14:paraId="5278C86E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&lt; 0.001</w:t>
            </w:r>
          </w:p>
        </w:tc>
        <w:tc>
          <w:tcPr>
            <w:tcW w:w="2268" w:type="dxa"/>
          </w:tcPr>
          <w:p w14:paraId="7EAE0849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0.025</w:t>
            </w:r>
          </w:p>
        </w:tc>
        <w:tc>
          <w:tcPr>
            <w:tcW w:w="2268" w:type="dxa"/>
          </w:tcPr>
          <w:p w14:paraId="7580E109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0.449</w:t>
            </w:r>
          </w:p>
        </w:tc>
      </w:tr>
      <w:tr w:rsidR="00225345" w:rsidRPr="0044678E" w14:paraId="525480D7" w14:textId="77777777">
        <w:tc>
          <w:tcPr>
            <w:tcW w:w="2268" w:type="dxa"/>
          </w:tcPr>
          <w:p w14:paraId="0B488513" w14:textId="77777777" w:rsidR="00357DA8" w:rsidRPr="0044678E" w:rsidRDefault="00D21194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 xml:space="preserve">Zone 3 </w:t>
            </w:r>
          </w:p>
          <w:p w14:paraId="5793F4CE" w14:textId="686F276E" w:rsidR="00225345" w:rsidRPr="0044678E" w:rsidRDefault="00D21194">
            <w:pPr>
              <w:spacing w:before="40" w:after="40"/>
            </w:pPr>
            <w:r>
              <w:rPr>
                <w:sz w:val="22"/>
              </w:rPr>
              <w:t>(U-shaped body)</w:t>
            </w:r>
          </w:p>
        </w:tc>
        <w:tc>
          <w:tcPr>
            <w:tcW w:w="2268" w:type="dxa"/>
          </w:tcPr>
          <w:p w14:paraId="62237972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0.002</w:t>
            </w:r>
          </w:p>
        </w:tc>
        <w:tc>
          <w:tcPr>
            <w:tcW w:w="2268" w:type="dxa"/>
          </w:tcPr>
          <w:p w14:paraId="05F6F8DD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0.012</w:t>
            </w:r>
          </w:p>
        </w:tc>
        <w:tc>
          <w:tcPr>
            <w:tcW w:w="2268" w:type="dxa"/>
          </w:tcPr>
          <w:p w14:paraId="6EB5DFB8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0.699</w:t>
            </w:r>
          </w:p>
        </w:tc>
      </w:tr>
      <w:tr w:rsidR="00225345" w:rsidRPr="0044678E" w14:paraId="32F7B798" w14:textId="77777777">
        <w:tc>
          <w:tcPr>
            <w:tcW w:w="2268" w:type="dxa"/>
          </w:tcPr>
          <w:p w14:paraId="344DA4D6" w14:textId="77777777" w:rsidR="00357DA8" w:rsidRPr="0044678E" w:rsidRDefault="00D21194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 xml:space="preserve">Zone 4 </w:t>
            </w:r>
          </w:p>
          <w:p w14:paraId="0EDFA0A2" w14:textId="342CC350" w:rsidR="00225345" w:rsidRPr="0044678E" w:rsidRDefault="00D21194">
            <w:pPr>
              <w:spacing w:before="40" w:after="40"/>
            </w:pPr>
            <w:r>
              <w:rPr>
                <w:sz w:val="22"/>
              </w:rPr>
              <w:t>(right sling)</w:t>
            </w:r>
          </w:p>
        </w:tc>
        <w:tc>
          <w:tcPr>
            <w:tcW w:w="2268" w:type="dxa"/>
          </w:tcPr>
          <w:p w14:paraId="3422293D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&lt; 0.001</w:t>
            </w:r>
          </w:p>
        </w:tc>
        <w:tc>
          <w:tcPr>
            <w:tcW w:w="2268" w:type="dxa"/>
          </w:tcPr>
          <w:p w14:paraId="1D94E074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0.044</w:t>
            </w:r>
          </w:p>
        </w:tc>
        <w:tc>
          <w:tcPr>
            <w:tcW w:w="2268" w:type="dxa"/>
          </w:tcPr>
          <w:p w14:paraId="73738D11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0.236</w:t>
            </w:r>
          </w:p>
        </w:tc>
      </w:tr>
      <w:tr w:rsidR="00225345" w:rsidRPr="0044678E" w14:paraId="47BFAC64" w14:textId="77777777">
        <w:tc>
          <w:tcPr>
            <w:tcW w:w="2268" w:type="dxa"/>
          </w:tcPr>
          <w:p w14:paraId="4B116DA4" w14:textId="77777777" w:rsidR="00357DA8" w:rsidRPr="0044678E" w:rsidRDefault="00D21194">
            <w:pPr>
              <w:spacing w:before="40" w:after="40"/>
              <w:rPr>
                <w:sz w:val="22"/>
              </w:rPr>
            </w:pPr>
            <w:r>
              <w:rPr>
                <w:sz w:val="22"/>
              </w:rPr>
              <w:t xml:space="preserve">Zone 5 </w:t>
            </w:r>
          </w:p>
          <w:p w14:paraId="644B03C7" w14:textId="25E13094" w:rsidR="00225345" w:rsidRPr="0044678E" w:rsidRDefault="00D21194">
            <w:pPr>
              <w:spacing w:before="40" w:after="40"/>
            </w:pPr>
            <w:r>
              <w:rPr>
                <w:sz w:val="22"/>
              </w:rPr>
              <w:t>(right insertion)</w:t>
            </w:r>
          </w:p>
        </w:tc>
        <w:tc>
          <w:tcPr>
            <w:tcW w:w="2268" w:type="dxa"/>
          </w:tcPr>
          <w:p w14:paraId="2CDCE706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0.001</w:t>
            </w:r>
          </w:p>
        </w:tc>
        <w:tc>
          <w:tcPr>
            <w:tcW w:w="2268" w:type="dxa"/>
          </w:tcPr>
          <w:p w14:paraId="3197A314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0.083</w:t>
            </w:r>
          </w:p>
        </w:tc>
        <w:tc>
          <w:tcPr>
            <w:tcW w:w="2268" w:type="dxa"/>
          </w:tcPr>
          <w:p w14:paraId="2157FE33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0.923</w:t>
            </w:r>
          </w:p>
        </w:tc>
      </w:tr>
      <w:tr w:rsidR="00225345" w:rsidRPr="0044678E" w14:paraId="742A25F7" w14:textId="77777777">
        <w:tc>
          <w:tcPr>
            <w:tcW w:w="2268" w:type="dxa"/>
          </w:tcPr>
          <w:p w14:paraId="1F454535" w14:textId="77777777" w:rsidR="00225345" w:rsidRPr="0044678E" w:rsidRDefault="00D21194">
            <w:pPr>
              <w:spacing w:before="40" w:after="40"/>
            </w:pPr>
            <w:r>
              <w:rPr>
                <w:b/>
                <w:sz w:val="22"/>
              </w:rPr>
              <w:t>Global mean</w:t>
            </w:r>
          </w:p>
        </w:tc>
        <w:tc>
          <w:tcPr>
            <w:tcW w:w="2268" w:type="dxa"/>
          </w:tcPr>
          <w:p w14:paraId="3F7CC3AB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b/>
                <w:sz w:val="22"/>
              </w:rPr>
              <w:t>&lt; 0.001</w:t>
            </w:r>
          </w:p>
        </w:tc>
        <w:tc>
          <w:tcPr>
            <w:tcW w:w="2268" w:type="dxa"/>
          </w:tcPr>
          <w:p w14:paraId="306B408D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b/>
                <w:sz w:val="22"/>
              </w:rPr>
              <w:t>0.010</w:t>
            </w:r>
          </w:p>
        </w:tc>
        <w:tc>
          <w:tcPr>
            <w:tcW w:w="2268" w:type="dxa"/>
          </w:tcPr>
          <w:p w14:paraId="1D983B5D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b/>
                <w:sz w:val="22"/>
              </w:rPr>
              <w:t>0.612</w:t>
            </w:r>
          </w:p>
        </w:tc>
      </w:tr>
    </w:tbl>
    <w:p w14:paraId="0FFF6401" w14:textId="77777777" w:rsidR="00225345" w:rsidRPr="0044678E" w:rsidRDefault="00D21194">
      <w:pPr>
        <w:spacing w:before="40" w:after="160"/>
      </w:pPr>
      <w:r>
        <w:rPr>
          <w:i/>
          <w:sz w:val="20"/>
        </w:rPr>
        <w:t>Bonferroni correction; significance threshold P &lt; 0.017. FC, functional constipation; HC, healthy controls; ODS, obstructed defecation syndrome.</w:t>
      </w:r>
    </w:p>
    <w:p w14:paraId="53AC23CC" w14:textId="77777777" w:rsidR="00225345" w:rsidRPr="0044678E" w:rsidRDefault="00D21194">
      <w:r>
        <w:br w:type="page"/>
      </w:r>
    </w:p>
    <w:p w14:paraId="0690C6A8" w14:textId="77777777" w:rsidR="00225345" w:rsidRPr="0044678E" w:rsidRDefault="00D21194">
      <w:pPr>
        <w:spacing w:before="200" w:after="60"/>
      </w:pPr>
      <w:r>
        <w:rPr>
          <w:b/>
        </w:rPr>
        <w:lastRenderedPageBreak/>
        <w:t>SUPPLEMENTARY TABLE S2. Structural pelvic floor findings by group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2835"/>
        <w:gridCol w:w="2688"/>
      </w:tblGrid>
      <w:tr w:rsidR="00225345" w:rsidRPr="0044678E" w14:paraId="19397E48" w14:textId="77777777" w:rsidTr="006536D3">
        <w:tc>
          <w:tcPr>
            <w:tcW w:w="3539" w:type="dxa"/>
            <w:shd w:val="clear" w:color="auto" w:fill="D9D9D9"/>
          </w:tcPr>
          <w:p w14:paraId="7B21D240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b/>
                <w:sz w:val="20"/>
              </w:rPr>
              <w:t>Finding</w:t>
            </w:r>
          </w:p>
        </w:tc>
        <w:tc>
          <w:tcPr>
            <w:tcW w:w="2835" w:type="dxa"/>
            <w:shd w:val="clear" w:color="auto" w:fill="D9D9D9"/>
          </w:tcPr>
          <w:p w14:paraId="5B8BDC6E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b/>
                <w:sz w:val="20"/>
              </w:rPr>
              <w:t>ODS (</w:t>
            </w:r>
            <w:r>
              <w:rPr>
                <w:b/>
                <w:i/>
                <w:sz w:val="20"/>
              </w:rPr>
              <w:t>n</w:t>
            </w:r>
            <w:r>
              <w:rPr>
                <w:b/>
                <w:sz w:val="20"/>
              </w:rPr>
              <w:t> = 62)</w:t>
            </w:r>
          </w:p>
        </w:tc>
        <w:tc>
          <w:tcPr>
            <w:tcW w:w="2688" w:type="dxa"/>
            <w:shd w:val="clear" w:color="auto" w:fill="D9D9D9"/>
          </w:tcPr>
          <w:p w14:paraId="1F94597B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b/>
                <w:sz w:val="20"/>
              </w:rPr>
              <w:t>HC (</w:t>
            </w:r>
            <w:r>
              <w:rPr>
                <w:b/>
                <w:i/>
                <w:sz w:val="20"/>
              </w:rPr>
              <w:t>n</w:t>
            </w:r>
            <w:r>
              <w:rPr>
                <w:b/>
                <w:sz w:val="20"/>
              </w:rPr>
              <w:t> = 46)</w:t>
            </w:r>
          </w:p>
        </w:tc>
      </w:tr>
      <w:tr w:rsidR="00225345" w:rsidRPr="0044678E" w14:paraId="1E80023A" w14:textId="77777777" w:rsidTr="006536D3">
        <w:tc>
          <w:tcPr>
            <w:tcW w:w="3539" w:type="dxa"/>
          </w:tcPr>
          <w:p w14:paraId="4DAE4548" w14:textId="77777777" w:rsidR="00225345" w:rsidRPr="0044678E" w:rsidRDefault="00D21194">
            <w:pPr>
              <w:spacing w:before="40" w:after="40"/>
            </w:pPr>
            <w:r>
              <w:rPr>
                <w:sz w:val="22"/>
              </w:rPr>
              <w:t>Levator ani avulsion, n (%)</w:t>
            </w:r>
          </w:p>
        </w:tc>
        <w:tc>
          <w:tcPr>
            <w:tcW w:w="2835" w:type="dxa"/>
          </w:tcPr>
          <w:p w14:paraId="31A4ACAE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7 (11.3)</w:t>
            </w:r>
          </w:p>
        </w:tc>
        <w:tc>
          <w:tcPr>
            <w:tcW w:w="2688" w:type="dxa"/>
          </w:tcPr>
          <w:p w14:paraId="15815AAB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0 (0.0)</w:t>
            </w:r>
          </w:p>
        </w:tc>
      </w:tr>
      <w:tr w:rsidR="00225345" w:rsidRPr="0044678E" w14:paraId="36739401" w14:textId="77777777" w:rsidTr="006536D3">
        <w:tc>
          <w:tcPr>
            <w:tcW w:w="3539" w:type="dxa"/>
          </w:tcPr>
          <w:p w14:paraId="2FE23613" w14:textId="77777777" w:rsidR="00225345" w:rsidRPr="0044678E" w:rsidRDefault="00D21194">
            <w:pPr>
              <w:spacing w:before="40" w:after="40"/>
            </w:pPr>
            <w:r>
              <w:rPr>
                <w:sz w:val="22"/>
              </w:rPr>
              <w:t>Multicompartmental prolapse, n (%)</w:t>
            </w:r>
          </w:p>
        </w:tc>
        <w:tc>
          <w:tcPr>
            <w:tcW w:w="2835" w:type="dxa"/>
          </w:tcPr>
          <w:p w14:paraId="144149ED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31 (50.0)</w:t>
            </w:r>
          </w:p>
        </w:tc>
        <w:tc>
          <w:tcPr>
            <w:tcW w:w="2688" w:type="dxa"/>
          </w:tcPr>
          <w:p w14:paraId="27BDC677" w14:textId="77777777" w:rsidR="00225345" w:rsidRPr="0044678E" w:rsidRDefault="00D21194">
            <w:pPr>
              <w:spacing w:before="40" w:after="40"/>
              <w:jc w:val="center"/>
            </w:pPr>
            <w:r>
              <w:rPr>
                <w:sz w:val="22"/>
              </w:rPr>
              <w:t>0 (0.0)</w:t>
            </w:r>
          </w:p>
        </w:tc>
      </w:tr>
    </w:tbl>
    <w:p w14:paraId="0B01BCDD" w14:textId="77777777" w:rsidR="00225345" w:rsidRPr="0044678E" w:rsidRDefault="00D21194">
      <w:pPr>
        <w:spacing w:before="40" w:after="160"/>
      </w:pPr>
      <w:r>
        <w:rPr>
          <w:i/>
          <w:sz w:val="20"/>
        </w:rPr>
        <w:t>FC group not included due to small sample size (n = 16). HC, healthy controls; ODS, obstructed defecation syndrome.</w:t>
        <w:br/>
        <w:t>*Levator ani avulsion ODS vs. HC: P = 0.020 (Fisher’s exact test).</w:t>
        <w:br/>
        <w:t>Multicompartmental prolapse ODS vs. HC: P &lt; 0.001 (Fisher’s exact test).</w:t>
      </w:r>
    </w:p>
    <w:p w14:paraId="5CB71D3C" w14:textId="77777777" w:rsidR="00225345" w:rsidRPr="0044678E" w:rsidRDefault="00D21194">
      <w:r>
        <w:br w:type="page"/>
      </w:r>
    </w:p>
    <w:p>
      <w:pPr>
        <w:spacing w:before="300" w:after="120" w:line="480" w:lineRule="auto"/>
      </w:pPr>
      <w:r>
        <w:rPr>
          <w:b/>
        </w:rPr>
        <w:t>Supplementary Figures</w:t>
      </w:r>
    </w:p>
    <w:p w14:paraId="1B000105" w14:textId="1B000105" w:rsidR="00225345" w:rsidRDefault="00D21194">
      <w:pPr>
        <w:jc w:val="center"/>
      </w:pPr>
      <w:r>
        <w:drawing>
          <wp:inline distT="0" distB="0" distL="0" distR="0">
            <wp:extent cx="5760720" cy="3323492"/>
            <wp:effectExtent l="0" t="0" r="0" b="0"/>
            <wp:docPr id="105" name="Figur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Figure4"/>
                    <pic:cNvPicPr/>
                  </pic:nvPicPr>
                  <pic:blipFill>
                    <a:blip xmlns:r="http://schemas.openxmlformats.org/officeDocument/2006/relationships" r:embed="rIdImg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AF50A" w14:textId="77777777" w:rsidR="00225345" w:rsidRPr="0044678E" w:rsidRDefault="00D21194">
      <w:pPr>
        <w:spacing w:after="120" w:line="480" w:lineRule="auto"/>
      </w:pPr>
      <w:r>
        <w:rPr>
          <w:b/>
        </w:rPr>
        <w:t xml:space="preserve">Supplementary Figure S1. </w:t>
      </w:r>
      <w:r>
        <w:t xml:space="preserve">Spearman correlation heatmap between puborectalis Young’s modulus (Zones 1–5 and global mean) and pelvic floor functional parameters: LPDA at rest and during contraction (°), ARA at rest and during Valsalva (°), and percentage of levator contraction (%). Colour </w:t>
        <w:lastRenderedPageBreak/>
        <w:t>intensity: −0.6 to +0.6. ARA, anorectal angle; LPDA, levator plate descent angle. *</w:t>
      </w:r>
      <w:r>
        <w:rPr>
          <w:i/>
          <w:iCs/>
        </w:rPr>
        <w:t>P</w:t>
      </w:r>
      <w:r>
        <w:t>&lt;0.05; **</w:t>
      </w:r>
      <w:r>
        <w:rPr>
          <w:i/>
          <w:iCs/>
        </w:rPr>
        <w:t>P</w:t>
      </w:r>
      <w:r>
        <w:t>&lt;0.01; ***</w:t>
      </w:r>
      <w:r>
        <w:rPr>
          <w:i/>
          <w:iCs/>
        </w:rPr>
        <w:t>P</w:t>
      </w:r>
      <w:r>
        <w:t>&lt;0.001.</w:t>
      </w:r>
    </w:p>
    <w:p w14:paraId="1B000106" w14:textId="1B000106" w:rsidR="00225345" w:rsidRDefault="00D21194">
      <w:pPr>
        <w:jc w:val="center"/>
      </w:pPr>
      <w:r>
        <w:drawing>
          <wp:inline distT="0" distB="0" distL="0" distR="0">
            <wp:extent cx="5760720" cy="2880360"/>
            <wp:effectExtent l="0" t="0" r="0" b="0"/>
            <wp:docPr id="106" name="Figur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Figure5"/>
                    <pic:cNvPicPr/>
                  </pic:nvPicPr>
                  <pic:blipFill>
                    <a:blip xmlns:r="http://schemas.openxmlformats.org/officeDocument/2006/relationships" r:embed="rIdImg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745F1" w14:textId="77777777" w:rsidR="00225345" w:rsidRPr="0044678E" w:rsidRDefault="00D21194">
      <w:pPr>
        <w:spacing w:after="120" w:line="480" w:lineRule="auto"/>
      </w:pPr>
      <w:r>
        <w:rPr>
          <w:b/>
        </w:rPr>
        <w:t xml:space="preserve">Supplementary Figure S2. </w:t>
      </w:r>
      <w:r>
        <w:t>Combined structural and functional pelvic floor findings by group. (A) Prevalence (%) of levator ani avulsion and multicompartmental prolapse in ODS, FC, and HC. (B) Prevalence (%) of paradoxical ARA response and frozen LPDA pattern during contraction by group. (C) Levator contraction percentage by group (box-and-whisker plots); dashed line indicates the validated normal threshold (15%, per Volløyhaug et al.¹⁴). ARA, anorectal angle; FC, functional constipation; HC, healthy controls; LPDA, levator plate descent angle; ODS, obstructed defecation syndrome. *</w:t>
      </w:r>
      <w:r>
        <w:rPr>
          <w:i/>
          <w:iCs/>
        </w:rPr>
        <w:t>P</w:t>
      </w:r>
      <w:r>
        <w:t>&lt;0.05; ns, not significant.</w:t>
      </w:r>
    </w:p>
    <w:p w14:paraId="1B000107" w14:textId="1B000107" w:rsidR="00225345" w:rsidRDefault="00D21194">
      <w:pPr>
        <w:jc w:val="center"/>
      </w:pPr>
      <w:r>
        <w:drawing>
          <wp:inline distT="0" distB="0" distL="0" distR="0">
            <wp:extent cx="5760720" cy="3840480"/>
            <wp:effectExtent l="0" t="0" r="0" b="0"/>
            <wp:docPr id="107" name="Figur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Figure6"/>
                    <pic:cNvPicPr/>
                  </pic:nvPicPr>
                  <pic:blipFill>
                    <a:blip xmlns:r="http://schemas.openxmlformats.org/officeDocument/2006/relationships" r:embed="rIdImg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30911" w14:textId="77777777" w:rsidR="00225345" w:rsidRPr="0044678E" w:rsidRDefault="00D21194">
      <w:pPr>
        <w:spacing w:after="120" w:line="480" w:lineRule="auto"/>
      </w:pPr>
      <w:r>
        <w:rPr>
          <w:b/>
        </w:rPr>
        <w:t xml:space="preserve">Supplementary Figure S3. </w:t>
      </w:r>
      <w:r>
        <w:t xml:space="preserve">Subgroup analysis: global mean puborectalis stiffness (kPa) in ODS vs. HC by mode of delivery. Left panel: vaginal delivery subgroup (ODS n = 40 vs. HC n = 30; </w:t>
      </w:r>
      <w:r>
        <w:rPr>
          <w:i/>
          <w:iCs/>
        </w:rPr>
        <w:t>P</w:t>
      </w:r>
      <w:r>
        <w:t>&lt;0.001). Right panel: cesarean section subgroup (ODS n = 18 vs. HC n = 6; P=0.815). HC, healthy controls; ODS, obstructed defecation syndrome.</w:t>
      </w:r>
    </w:p>
    <w:p w14:paraId="719F94D5" w14:textId="77777777" w:rsidR="00225345" w:rsidRPr="0044678E" w:rsidRDefault="00D21194">
      <w:r>
        <w:br w:type="page"/>
      </w:r>
    </w:p>
    <w:sectPr>
      <w:pgSz w:w="11906" w:h="16838"/>
      <w:pgMar w:top="1417" w:right="1417" w:bottom="1417" w:left="1417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1747697">
    <w:abstractNumId w:val="8"/>
  </w:num>
  <w:num w:numId="2" w16cid:durableId="1736008227">
    <w:abstractNumId w:val="6"/>
  </w:num>
  <w:num w:numId="3" w16cid:durableId="1316884125">
    <w:abstractNumId w:val="5"/>
  </w:num>
  <w:num w:numId="4" w16cid:durableId="523325858">
    <w:abstractNumId w:val="4"/>
  </w:num>
  <w:num w:numId="5" w16cid:durableId="1372266501">
    <w:abstractNumId w:val="7"/>
  </w:num>
  <w:num w:numId="6" w16cid:durableId="1011419632">
    <w:abstractNumId w:val="3"/>
  </w:num>
  <w:num w:numId="7" w16cid:durableId="936475845">
    <w:abstractNumId w:val="2"/>
  </w:num>
  <w:num w:numId="8" w16cid:durableId="930745996">
    <w:abstractNumId w:val="1"/>
  </w:num>
  <w:num w:numId="9" w16cid:durableId="762846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8E3"/>
    <w:rsid w:val="00034616"/>
    <w:rsid w:val="0006063C"/>
    <w:rsid w:val="0015074B"/>
    <w:rsid w:val="00225345"/>
    <w:rsid w:val="0029639D"/>
    <w:rsid w:val="002E353C"/>
    <w:rsid w:val="00322E62"/>
    <w:rsid w:val="00326F90"/>
    <w:rsid w:val="00357DA8"/>
    <w:rsid w:val="003C7266"/>
    <w:rsid w:val="0044678E"/>
    <w:rsid w:val="004C4D15"/>
    <w:rsid w:val="00632D71"/>
    <w:rsid w:val="006536D3"/>
    <w:rsid w:val="00944F27"/>
    <w:rsid w:val="009F5178"/>
    <w:rsid w:val="00AA1D8D"/>
    <w:rsid w:val="00B47730"/>
    <w:rsid w:val="00C408CF"/>
    <w:rsid w:val="00CB0664"/>
    <w:rsid w:val="00D21194"/>
    <w:rsid w:val="00D84C38"/>
    <w:rsid w:val="00F2374F"/>
    <w:rsid w:val="00F623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9D0E71"/>
  <w14:defaultImageDpi w14:val="300"/>
  <w15:docId w15:val="{5B2FBC9A-20E0-4FA5-AD49-F6A5978E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D84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webSettings" Target="webSettings.xml"/><Relationship Id="rId4" Type="http://schemas.openxmlformats.org/officeDocument/2006/relationships/settings" Target="settings.xml"/><Relationship Id="rId5" Type="http://schemas.openxmlformats.org/officeDocument/2006/relationships/numbering" Target="numbering.xml"/><Relationship Id="rId6" Type="http://schemas.openxmlformats.org/officeDocument/2006/relationships/theme" Target="theme/theme1.xml"/><Relationship Id="rIdImg1" Type="http://schemas.openxmlformats.org/officeDocument/2006/relationships/image" Target="media/image1.png"/><Relationship Id="rIdImg2" Type="http://schemas.openxmlformats.org/officeDocument/2006/relationships/image" Target="media/image2.png"/><Relationship Id="rIdImg3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5046</Words>
  <Characters>27753</Characters>
  <Application>Microsoft Office Word</Application>
  <DocSecurity>0</DocSecurity>
  <Lines>231</Lines>
  <Paragraphs>65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Hugo Cuellar Gomez</cp:lastModifiedBy>
  <cp:revision>2</cp:revision>
  <dcterms:created xsi:type="dcterms:W3CDTF">2026-08-07T09:41:00Z</dcterms:created>
  <dcterms:modified xsi:type="dcterms:W3CDTF">2026-08-07T09:41:00Z</dcterms:modified>
  <cp:category/>
</cp:coreProperties>
</file>