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  <w:t>Supplementary information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  <w:bookmarkStart w:id="0" w:name="OLE_LINK27"/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>Exosome derived from traumatic brain injury patients accelerates fracture healing via SMAD7 signaling regulation</w:t>
      </w: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/>
        </w:rPr>
        <w:t>Yuan Xiong</w:t>
      </w:r>
      <w:r>
        <w:rPr>
          <w:rFonts w:hint="default" w:ascii="Times New Roman" w:hAnsi="Times New Roman" w:eastAsia="宋体" w:cs="Times New Roman"/>
          <w:sz w:val="24"/>
          <w:szCs w:val="24"/>
          <w:vertAlign w:val="superscript"/>
          <w:lang w:val="en-US" w:eastAsia="zh-CN"/>
        </w:rPr>
        <w:t>1,2#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, Ze Lin</w:t>
      </w:r>
      <w:r>
        <w:rPr>
          <w:rFonts w:hint="default" w:ascii="Times New Roman" w:hAnsi="Times New Roman" w:eastAsia="宋体" w:cs="Times New Roman"/>
          <w:sz w:val="24"/>
          <w:szCs w:val="24"/>
          <w:vertAlign w:val="superscript"/>
          <w:lang w:val="en-US" w:eastAsia="zh-CN"/>
        </w:rPr>
        <w:t>1,2#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 xml:space="preserve">,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Hang Xue</w:t>
      </w:r>
      <w:r>
        <w:rPr>
          <w:rFonts w:hint="default" w:ascii="Times New Roman" w:hAnsi="Times New Roman" w:eastAsia="宋体" w:cs="Times New Roman"/>
          <w:sz w:val="24"/>
          <w:szCs w:val="24"/>
          <w:vertAlign w:val="superscript"/>
          <w:lang w:val="en-US" w:eastAsia="zh-CN"/>
        </w:rPr>
        <w:t>1,2#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,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 xml:space="preserve"> Yiqiang Hu</w:t>
      </w:r>
      <w:bookmarkStart w:id="1" w:name="OLE_LINK1"/>
      <w:r>
        <w:rPr>
          <w:rFonts w:hint="default" w:ascii="Times New Roman" w:hAnsi="Times New Roman" w:eastAsia="宋体" w:cs="Times New Roman"/>
          <w:sz w:val="24"/>
          <w:szCs w:val="24"/>
          <w:vertAlign w:val="superscript"/>
          <w:lang w:val="en-US" w:eastAsia="zh-CN"/>
        </w:rPr>
        <w:t>1,2</w:t>
      </w:r>
      <w:bookmarkEnd w:id="1"/>
      <w:r>
        <w:rPr>
          <w:rFonts w:hint="default" w:ascii="Times New Roman" w:hAnsi="Times New Roman" w:cs="Times New Roman"/>
          <w:sz w:val="24"/>
          <w:szCs w:val="24"/>
          <w:lang w:val="en-US"/>
        </w:rPr>
        <w:t>,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 Tao Yu</w:t>
      </w:r>
      <w:r>
        <w:rPr>
          <w:rFonts w:hint="default" w:ascii="Times New Roman" w:hAnsi="Times New Roman" w:eastAsia="宋体" w:cs="Times New Roman"/>
          <w:sz w:val="24"/>
          <w:szCs w:val="24"/>
          <w:vertAlign w:val="superscript"/>
          <w:lang w:val="en-US" w:eastAsia="zh-CN"/>
        </w:rPr>
        <w:t>3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, Lang Chen</w:t>
      </w:r>
      <w:r>
        <w:rPr>
          <w:rFonts w:hint="default" w:ascii="Times New Roman" w:hAnsi="Times New Roman" w:eastAsia="宋体" w:cs="Times New Roman"/>
          <w:sz w:val="24"/>
          <w:szCs w:val="24"/>
          <w:vertAlign w:val="superscript"/>
          <w:lang w:val="en-US" w:eastAsia="zh-CN"/>
        </w:rPr>
        <w:t>1,2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, Adriana C. Panayi</w:t>
      </w:r>
      <w:r>
        <w:rPr>
          <w:rFonts w:hint="default" w:ascii="Times New Roman" w:hAnsi="Times New Roman" w:eastAsia="宋体" w:cs="Times New Roman"/>
          <w:sz w:val="24"/>
          <w:szCs w:val="24"/>
          <w:vertAlign w:val="superscript"/>
          <w:lang w:val="en-US" w:eastAsia="zh-CN"/>
        </w:rPr>
        <w:t>4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, Wu Zhou</w:t>
      </w:r>
      <w:r>
        <w:rPr>
          <w:rFonts w:hint="default" w:ascii="Times New Roman" w:hAnsi="Times New Roman" w:eastAsia="宋体" w:cs="Times New Roman"/>
          <w:sz w:val="24"/>
          <w:szCs w:val="24"/>
          <w:vertAlign w:val="superscript"/>
          <w:lang w:val="en-US" w:eastAsia="zh-CN"/>
        </w:rPr>
        <w:t>1,2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>,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 Yun Sun</w:t>
      </w:r>
      <w:r>
        <w:rPr>
          <w:rFonts w:hint="default" w:ascii="Times New Roman" w:hAnsi="Times New Roman" w:eastAsia="宋体" w:cs="Times New Roman"/>
          <w:sz w:val="24"/>
          <w:szCs w:val="24"/>
          <w:vertAlign w:val="superscript"/>
          <w:lang w:val="en-US" w:eastAsia="zh-CN"/>
        </w:rPr>
        <w:t>5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, Faqi Cao</w:t>
      </w:r>
      <w:r>
        <w:rPr>
          <w:rFonts w:hint="default" w:ascii="Times New Roman" w:hAnsi="Times New Roman" w:eastAsia="宋体" w:cs="Times New Roman"/>
          <w:sz w:val="24"/>
          <w:szCs w:val="24"/>
          <w:vertAlign w:val="superscript"/>
          <w:lang w:val="en-US" w:eastAsia="zh-CN"/>
        </w:rPr>
        <w:t>1,2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, Ruiyin Zeng</w:t>
      </w:r>
      <w:r>
        <w:rPr>
          <w:rFonts w:hint="default" w:ascii="Times New Roman" w:hAnsi="Times New Roman" w:eastAsia="宋体" w:cs="Times New Roman"/>
          <w:sz w:val="24"/>
          <w:szCs w:val="24"/>
          <w:vertAlign w:val="superscript"/>
          <w:lang w:val="en-US" w:eastAsia="zh-CN"/>
        </w:rPr>
        <w:t>1,2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, Guodong Liu</w:t>
      </w:r>
      <w:r>
        <w:rPr>
          <w:rFonts w:hint="default" w:ascii="Times New Roman" w:hAnsi="Times New Roman" w:eastAsia="宋体" w:cs="Times New Roman"/>
          <w:sz w:val="24"/>
          <w:szCs w:val="24"/>
          <w:vertAlign w:val="superscript"/>
          <w:lang w:val="en-US" w:eastAsia="zh-CN"/>
        </w:rPr>
        <w:t>6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>Bobin Mi</w:t>
      </w:r>
      <w:r>
        <w:rPr>
          <w:rFonts w:hint="default" w:ascii="Times New Roman" w:hAnsi="Times New Roman" w:eastAsia="宋体" w:cs="Times New Roman"/>
          <w:sz w:val="24"/>
          <w:szCs w:val="24"/>
          <w:vertAlign w:val="superscript"/>
          <w:lang w:val="en-US" w:eastAsia="zh-CN"/>
        </w:rPr>
        <w:t>1,2</w:t>
      </w:r>
      <w:r>
        <w:rPr>
          <w:rFonts w:hint="default" w:ascii="Times New Roman" w:hAnsi="Times New Roman" w:cs="Times New Roman"/>
          <w:sz w:val="24"/>
          <w:szCs w:val="24"/>
          <w:vertAlign w:val="superscript"/>
          <w:lang w:val="en-US" w:eastAsia="zh-CN"/>
        </w:rPr>
        <w:t>*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>, Guohui Liu</w:t>
      </w:r>
      <w:r>
        <w:rPr>
          <w:rFonts w:hint="default" w:ascii="Times New Roman" w:hAnsi="Times New Roman" w:eastAsia="宋体" w:cs="Times New Roman"/>
          <w:sz w:val="24"/>
          <w:szCs w:val="24"/>
          <w:vertAlign w:val="superscript"/>
          <w:lang w:val="en-US" w:eastAsia="zh-CN"/>
        </w:rPr>
        <w:t>1,2</w:t>
      </w:r>
      <w:r>
        <w:rPr>
          <w:rFonts w:hint="default" w:ascii="Times New Roman" w:hAnsi="Times New Roman" w:cs="Times New Roman"/>
          <w:sz w:val="24"/>
          <w:szCs w:val="24"/>
          <w:vertAlign w:val="superscript"/>
          <w:lang w:val="en-US" w:eastAsia="zh-CN"/>
        </w:rPr>
        <w:t>*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vertAlign w:val="superscript"/>
          <w:lang w:val="en-US" w:eastAsia="zh-CN"/>
        </w:rPr>
        <w:t>1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>Department of Orthopaedics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>Union Hospital, Tongji Medical College, Huazhong University of Science and Technology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 xml:space="preserve">Wuhan 430022,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P. R. 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>China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sz w:val="24"/>
          <w:szCs w:val="24"/>
          <w:lang w:val="en-US"/>
        </w:rPr>
      </w:pPr>
      <w:r>
        <w:rPr>
          <w:rFonts w:hint="default" w:ascii="Times New Roman" w:hAnsi="Times New Roman" w:eastAsia="宋体" w:cs="Times New Roman"/>
          <w:sz w:val="24"/>
          <w:szCs w:val="24"/>
          <w:vertAlign w:val="superscript"/>
          <w:lang w:val="en-US" w:eastAsia="zh-CN"/>
        </w:rPr>
        <w:t>2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>Hubei Province Key Laboratory of Oral and Maxillofacial Development and Regeneration, Wuhan 430022, China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vertAlign w:val="superscript"/>
          <w:lang w:val="en-US" w:eastAsia="zh-CN"/>
        </w:rPr>
        <w:t>3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Department of Orthopedic Surgery, Tongji Hospital, Tongji University School of Medicine, Shanghai 200065, China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vertAlign w:val="superscript"/>
          <w:lang w:val="en-US" w:eastAsia="zh-CN"/>
        </w:rPr>
        <w:t>4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Department of Plastic Surgery, Brigham and Women’s Hospital, Harvard Medical School, Boston, MA 02152, USA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sz w:val="24"/>
          <w:szCs w:val="24"/>
          <w:lang w:val="en-US"/>
        </w:rPr>
      </w:pPr>
      <w:r>
        <w:rPr>
          <w:rFonts w:hint="default" w:ascii="Times New Roman" w:hAnsi="Times New Roman" w:eastAsia="宋体" w:cs="Times New Roman"/>
          <w:sz w:val="24"/>
          <w:szCs w:val="24"/>
          <w:vertAlign w:val="superscript"/>
          <w:lang w:val="en-US" w:eastAsia="zh-CN"/>
        </w:rPr>
        <w:t>5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 xml:space="preserve">Department of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Neurosurgery, 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>Union Hospital, Tongji Medical College, Huazhong University of Science and Technology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 xml:space="preserve">Wuhan 430022,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P. R. 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>China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vertAlign w:val="superscript"/>
          <w:lang w:val="en-US" w:eastAsia="zh-CN"/>
        </w:rPr>
        <w:t>6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Medical Center of Trauma and War Injuries, Daping Hospital, Army Medical University, Chongqing 400042,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P. R.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China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tabs>
          <w:tab w:val="left" w:pos="12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Correspondence to: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mibobin@hust.edu.cn (Bobin Mi), liuguohui@hust.edu.cn (Guohui Liu)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vertAlign w:val="baseline"/>
          <w:lang w:val="en-US" w:eastAsia="zh-CN"/>
        </w:rPr>
        <w:t>Yuan Xiong, Ze Lin and Hang Xue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 contributed equally to this work.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1205" w:firstLineChars="500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>A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                             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>B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       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drawing>
          <wp:inline distT="0" distB="0" distL="114300" distR="114300">
            <wp:extent cx="2112010" cy="2837815"/>
            <wp:effectExtent l="0" t="0" r="0" b="0"/>
            <wp:docPr id="1" name="图片 1" descr="CD31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D31-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12010" cy="2837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     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drawing>
          <wp:inline distT="0" distB="0" distL="114300" distR="114300">
            <wp:extent cx="2112010" cy="2895600"/>
            <wp:effectExtent l="0" t="0" r="0" b="0"/>
            <wp:docPr id="2" name="图片 2" descr="ki67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ki67-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12010" cy="289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  <w:bookmarkStart w:id="2" w:name="OLE_LINK2"/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Figure S1. The statistical results of CD31 (A) and Ki67 (B) analysis in the different groups.</w:t>
      </w:r>
    </w:p>
    <w:p>
      <w:pP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</w:p>
    <w:bookmarkEnd w:id="2"/>
    <w:p>
      <w:pP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drawing>
          <wp:inline distT="0" distB="0" distL="114300" distR="114300">
            <wp:extent cx="1627505" cy="2740660"/>
            <wp:effectExtent l="0" t="0" r="1270" b="2540"/>
            <wp:docPr id="3" name="图片 3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27505" cy="2740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Figure S2. Relative miR-21-5p level of hBMSCs in the different groups was measured by qRT-PCR analysis.</w:t>
      </w:r>
    </w:p>
    <w:p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ind w:firstLine="723" w:firstLineChars="300"/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A                                B</w:t>
      </w:r>
    </w:p>
    <w:p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drawing>
          <wp:inline distT="0" distB="0" distL="114300" distR="114300">
            <wp:extent cx="2551430" cy="3715385"/>
            <wp:effectExtent l="0" t="0" r="0" b="0"/>
            <wp:docPr id="5" name="图片 5" descr="ki67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ki67-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51430" cy="3715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drawing>
          <wp:inline distT="0" distB="0" distL="114300" distR="114300">
            <wp:extent cx="2551430" cy="3700145"/>
            <wp:effectExtent l="0" t="0" r="0" b="0"/>
            <wp:docPr id="4" name="图片 4" descr="CD31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D31-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51430" cy="3700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Figure S3. The statistical results of CD31 (A) and Ki67 (B) analysis in the different groups.</w:t>
      </w:r>
      <w:bookmarkStart w:id="3" w:name="_GoBack"/>
      <w:bookmarkEnd w:id="3"/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2D2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of contents"/>
    <w:basedOn w:val="1"/>
    <w:qFormat/>
    <w:uiPriority w:val="0"/>
    <w:rPr>
      <w:lang w:val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tiff"/><Relationship Id="rId7" Type="http://schemas.openxmlformats.org/officeDocument/2006/relationships/image" Target="media/image3.tiff"/><Relationship Id="rId6" Type="http://schemas.openxmlformats.org/officeDocument/2006/relationships/image" Target="media/image1.png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2021-10-31T02:58:46Z</dcterms:created>
  <dc:creator>Lenovo</dc:creator>
  <cp:lastModifiedBy>Yuan Xiong M.D. Ph.D.</cp:lastModifiedBy>
  <dcterms:modified xsi:type="dcterms:W3CDTF">2021-10-31T03:11:45Z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31793C8F7A054B488526B4012A2DFD4B</vt:lpwstr>
  </property>
</Properties>
</file>