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12F46" w14:textId="77777777" w:rsidR="0049019D" w:rsidRPr="00C46CDD" w:rsidRDefault="0049019D" w:rsidP="0049019D">
      <w:pPr>
        <w:spacing w:after="0" w:line="240" w:lineRule="auto"/>
        <w:rPr>
          <w:rFonts w:ascii="Arial" w:hAnsi="Arial" w:cs="Arial"/>
          <w:b/>
          <w:bCs/>
          <w:lang w:val="en-US"/>
        </w:rPr>
      </w:pPr>
      <w:r w:rsidRPr="00C46CDD">
        <w:rPr>
          <w:rFonts w:ascii="Arial" w:hAnsi="Arial" w:cs="Arial"/>
          <w:b/>
          <w:bCs/>
          <w:lang w:val="en-US"/>
        </w:rPr>
        <w:t>Table 1. Demographic and clinical characteristics of patients with traumatic brain injury according to PTCS status.</w:t>
      </w:r>
    </w:p>
    <w:p w14:paraId="28FF7AC1" w14:textId="77777777" w:rsidR="0049019D" w:rsidRPr="00C46CDD" w:rsidRDefault="0049019D" w:rsidP="0049019D">
      <w:pPr>
        <w:spacing w:after="0" w:line="240" w:lineRule="auto"/>
        <w:rPr>
          <w:rFonts w:ascii="Arial" w:hAnsi="Arial" w:cs="Arial"/>
          <w:lang w:val="en-US"/>
        </w:rPr>
      </w:pPr>
    </w:p>
    <w:p w14:paraId="6C150E49"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b/>
          <w:bCs/>
          <w:sz w:val="18"/>
          <w:szCs w:val="18"/>
          <w:lang w:val="en-US"/>
        </w:rPr>
        <w:tab/>
        <w:t>PTCS (n=15)</w:t>
      </w:r>
      <w:r w:rsidRPr="000F1676">
        <w:rPr>
          <w:rFonts w:ascii="Arial" w:hAnsi="Arial" w:cs="Arial"/>
          <w:b/>
          <w:bCs/>
          <w:sz w:val="18"/>
          <w:szCs w:val="18"/>
          <w:lang w:val="en-US"/>
        </w:rPr>
        <w:tab/>
        <w:t>No PTCS (n=18)</w:t>
      </w:r>
      <w:r w:rsidRPr="000F1676">
        <w:rPr>
          <w:rFonts w:ascii="Arial" w:hAnsi="Arial" w:cs="Arial"/>
          <w:b/>
          <w:bCs/>
          <w:sz w:val="18"/>
          <w:szCs w:val="18"/>
          <w:lang w:val="en-US"/>
        </w:rPr>
        <w:tab/>
      </w:r>
      <w:r w:rsidRPr="000F1676">
        <w:rPr>
          <w:rFonts w:ascii="Arial" w:hAnsi="Arial" w:cs="Arial"/>
          <w:b/>
          <w:bCs/>
          <w:i/>
          <w:iCs/>
          <w:sz w:val="18"/>
          <w:szCs w:val="18"/>
          <w:lang w:val="en-US"/>
        </w:rPr>
        <w:t>p</w:t>
      </w:r>
      <w:r w:rsidRPr="000F1676">
        <w:rPr>
          <w:rFonts w:ascii="Arial" w:hAnsi="Arial" w:cs="Arial"/>
          <w:b/>
          <w:bCs/>
          <w:sz w:val="18"/>
          <w:szCs w:val="18"/>
          <w:lang w:val="en-US"/>
        </w:rPr>
        <w:t xml:space="preserve"> value</w:t>
      </w:r>
    </w:p>
    <w:p w14:paraId="7ED1EDFE"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Age</w:t>
      </w:r>
      <w:r w:rsidRPr="000F1676">
        <w:rPr>
          <w:rFonts w:ascii="Arial" w:hAnsi="Arial" w:cs="Arial"/>
          <w:sz w:val="18"/>
          <w:szCs w:val="18"/>
          <w:lang w:val="en-US"/>
        </w:rPr>
        <w:tab/>
        <w:t>40.0 [24.0–60.0]</w:t>
      </w:r>
      <w:r w:rsidRPr="000F1676">
        <w:rPr>
          <w:rFonts w:ascii="Arial" w:hAnsi="Arial" w:cs="Arial"/>
          <w:sz w:val="18"/>
          <w:szCs w:val="18"/>
          <w:lang w:val="en-US"/>
        </w:rPr>
        <w:tab/>
        <w:t>41.5 [24.5–57.0]</w:t>
      </w:r>
      <w:r w:rsidRPr="000F1676">
        <w:rPr>
          <w:rFonts w:ascii="Arial" w:hAnsi="Arial" w:cs="Arial"/>
          <w:sz w:val="18"/>
          <w:szCs w:val="18"/>
          <w:lang w:val="en-US"/>
        </w:rPr>
        <w:tab/>
        <w:t>0.910</w:t>
      </w:r>
    </w:p>
    <w:p w14:paraId="56A423A1"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GCS at ICU admission</w:t>
      </w:r>
      <w:r w:rsidRPr="000F1676">
        <w:rPr>
          <w:rFonts w:ascii="Arial" w:hAnsi="Arial" w:cs="Arial"/>
          <w:sz w:val="18"/>
          <w:szCs w:val="18"/>
          <w:lang w:val="en-US"/>
        </w:rPr>
        <w:tab/>
        <w:t>6.0 [5.5–8.0]</w:t>
      </w:r>
      <w:r w:rsidRPr="000F1676">
        <w:rPr>
          <w:rFonts w:ascii="Arial" w:hAnsi="Arial" w:cs="Arial"/>
          <w:sz w:val="18"/>
          <w:szCs w:val="18"/>
          <w:lang w:val="en-US"/>
        </w:rPr>
        <w:tab/>
        <w:t>6.0 [5.0–8.0]</w:t>
      </w:r>
      <w:r w:rsidRPr="000F1676">
        <w:rPr>
          <w:rFonts w:ascii="Arial" w:hAnsi="Arial" w:cs="Arial"/>
          <w:sz w:val="18"/>
          <w:szCs w:val="18"/>
          <w:lang w:val="en-US"/>
        </w:rPr>
        <w:tab/>
        <w:t>1.000</w:t>
      </w:r>
    </w:p>
    <w:p w14:paraId="71F7C927"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Time from TBI to recording, days</w:t>
      </w:r>
      <w:r w:rsidRPr="000F1676">
        <w:rPr>
          <w:rFonts w:ascii="Arial" w:hAnsi="Arial" w:cs="Arial"/>
          <w:sz w:val="18"/>
          <w:szCs w:val="18"/>
          <w:lang w:val="en-US"/>
        </w:rPr>
        <w:tab/>
        <w:t>38.0 [16.0–71.7]</w:t>
      </w:r>
      <w:r w:rsidRPr="000F1676">
        <w:rPr>
          <w:rFonts w:ascii="Arial" w:hAnsi="Arial" w:cs="Arial"/>
          <w:sz w:val="18"/>
          <w:szCs w:val="18"/>
          <w:lang w:val="en-US"/>
        </w:rPr>
        <w:tab/>
        <w:t>33.0 [24.0–52.2]</w:t>
      </w:r>
      <w:r w:rsidRPr="000F1676">
        <w:rPr>
          <w:rFonts w:ascii="Arial" w:hAnsi="Arial" w:cs="Arial"/>
          <w:sz w:val="18"/>
          <w:szCs w:val="18"/>
          <w:lang w:val="en-US"/>
        </w:rPr>
        <w:tab/>
        <w:t>0.940</w:t>
      </w:r>
    </w:p>
    <w:p w14:paraId="49ECCC10"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Disability Rating Scale at rehabilitation admission</w:t>
      </w:r>
      <w:r w:rsidRPr="000F1676">
        <w:rPr>
          <w:rFonts w:ascii="Arial" w:hAnsi="Arial" w:cs="Arial"/>
          <w:sz w:val="18"/>
          <w:szCs w:val="18"/>
          <w:lang w:val="en-US"/>
        </w:rPr>
        <w:tab/>
        <w:t>17.0 [14.0–18.0]</w:t>
      </w:r>
      <w:r w:rsidRPr="000F1676">
        <w:rPr>
          <w:rFonts w:ascii="Arial" w:hAnsi="Arial" w:cs="Arial"/>
          <w:sz w:val="18"/>
          <w:szCs w:val="18"/>
          <w:lang w:val="en-US"/>
        </w:rPr>
        <w:tab/>
        <w:t>14.5 [13.0–16.0]</w:t>
      </w:r>
      <w:r w:rsidRPr="000F1676">
        <w:rPr>
          <w:rFonts w:ascii="Arial" w:hAnsi="Arial" w:cs="Arial"/>
          <w:sz w:val="18"/>
          <w:szCs w:val="18"/>
          <w:lang w:val="en-US"/>
        </w:rPr>
        <w:tab/>
        <w:t>0.215</w:t>
      </w:r>
    </w:p>
    <w:p w14:paraId="1C5D550F"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CAP total score</w:t>
      </w:r>
      <w:r w:rsidRPr="000F1676">
        <w:rPr>
          <w:rFonts w:ascii="Arial" w:hAnsi="Arial" w:cs="Arial"/>
          <w:sz w:val="18"/>
          <w:szCs w:val="18"/>
          <w:lang w:val="en-US"/>
        </w:rPr>
        <w:tab/>
        <w:t>5.0 [4.0–6.0]</w:t>
      </w:r>
      <w:r w:rsidRPr="000F1676">
        <w:rPr>
          <w:rFonts w:ascii="Arial" w:hAnsi="Arial" w:cs="Arial"/>
          <w:sz w:val="18"/>
          <w:szCs w:val="18"/>
          <w:lang w:val="en-US"/>
        </w:rPr>
        <w:tab/>
        <w:t>1.0 [0.2–2.0]</w:t>
      </w:r>
      <w:r w:rsidRPr="000F1676">
        <w:rPr>
          <w:rFonts w:ascii="Arial" w:hAnsi="Arial" w:cs="Arial"/>
          <w:sz w:val="18"/>
          <w:szCs w:val="18"/>
          <w:lang w:val="en-US"/>
        </w:rPr>
        <w:tab/>
        <w:t>&lt;0.0001</w:t>
      </w:r>
    </w:p>
    <w:p w14:paraId="4394F2B8"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PTCS duration, days</w:t>
      </w:r>
      <w:r w:rsidRPr="000F1676">
        <w:rPr>
          <w:rFonts w:ascii="Arial" w:hAnsi="Arial" w:cs="Arial"/>
          <w:sz w:val="18"/>
          <w:szCs w:val="18"/>
          <w:lang w:val="en-US"/>
        </w:rPr>
        <w:tab/>
        <w:t>65.0 [50.0–153.0]</w:t>
      </w:r>
      <w:r w:rsidRPr="000F1676">
        <w:rPr>
          <w:rFonts w:ascii="Arial" w:hAnsi="Arial" w:cs="Arial"/>
          <w:sz w:val="18"/>
          <w:szCs w:val="18"/>
          <w:lang w:val="en-US"/>
        </w:rPr>
        <w:tab/>
        <w:t>27.5 [23.2–45.0]</w:t>
      </w:r>
      <w:r w:rsidRPr="000F1676">
        <w:rPr>
          <w:rFonts w:ascii="Arial" w:hAnsi="Arial" w:cs="Arial"/>
          <w:sz w:val="18"/>
          <w:szCs w:val="18"/>
          <w:lang w:val="en-US"/>
        </w:rPr>
        <w:tab/>
        <w:t>0.002</w:t>
      </w:r>
    </w:p>
    <w:p w14:paraId="4430679E"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Sex, male, n (%)</w:t>
      </w:r>
      <w:r w:rsidRPr="000F1676">
        <w:rPr>
          <w:rFonts w:ascii="Arial" w:hAnsi="Arial" w:cs="Arial"/>
          <w:sz w:val="18"/>
          <w:szCs w:val="18"/>
          <w:lang w:val="en-US"/>
        </w:rPr>
        <w:tab/>
        <w:t>15 (100.0%)</w:t>
      </w:r>
      <w:r w:rsidRPr="000F1676">
        <w:rPr>
          <w:rFonts w:ascii="Arial" w:hAnsi="Arial" w:cs="Arial"/>
          <w:sz w:val="18"/>
          <w:szCs w:val="18"/>
          <w:lang w:val="en-US"/>
        </w:rPr>
        <w:tab/>
        <w:t>15 (83.3%)</w:t>
      </w:r>
      <w:r w:rsidRPr="000F1676">
        <w:rPr>
          <w:rFonts w:ascii="Arial" w:hAnsi="Arial" w:cs="Arial"/>
          <w:sz w:val="18"/>
          <w:szCs w:val="18"/>
          <w:lang w:val="en-US"/>
        </w:rPr>
        <w:tab/>
        <w:t>0.230</w:t>
      </w:r>
    </w:p>
    <w:p w14:paraId="1003EC06"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Type of TBI, n (%)</w:t>
      </w:r>
      <w:r w:rsidRPr="000F1676">
        <w:rPr>
          <w:rFonts w:ascii="Arial" w:hAnsi="Arial" w:cs="Arial"/>
          <w:sz w:val="18"/>
          <w:szCs w:val="18"/>
          <w:lang w:val="en-US"/>
        </w:rPr>
        <w:tab/>
      </w:r>
      <w:r w:rsidRPr="000F1676">
        <w:rPr>
          <w:rFonts w:ascii="Arial" w:hAnsi="Arial" w:cs="Arial"/>
          <w:sz w:val="18"/>
          <w:szCs w:val="18"/>
          <w:lang w:val="en-US"/>
        </w:rPr>
        <w:tab/>
      </w:r>
      <w:r w:rsidRPr="000F1676">
        <w:rPr>
          <w:rFonts w:ascii="Arial" w:hAnsi="Arial" w:cs="Arial"/>
          <w:sz w:val="18"/>
          <w:szCs w:val="18"/>
          <w:lang w:val="en-US"/>
        </w:rPr>
        <w:tab/>
        <w:t>0.500</w:t>
      </w:r>
    </w:p>
    <w:p w14:paraId="01824A92"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 xml:space="preserve">   Fall</w:t>
      </w:r>
      <w:r w:rsidRPr="000F1676">
        <w:rPr>
          <w:rFonts w:ascii="Arial" w:hAnsi="Arial" w:cs="Arial"/>
          <w:sz w:val="18"/>
          <w:szCs w:val="18"/>
          <w:lang w:val="en-US"/>
        </w:rPr>
        <w:tab/>
        <w:t>2 (13.3%)</w:t>
      </w:r>
      <w:r w:rsidRPr="000F1676">
        <w:rPr>
          <w:rFonts w:ascii="Arial" w:hAnsi="Arial" w:cs="Arial"/>
          <w:sz w:val="18"/>
          <w:szCs w:val="18"/>
          <w:lang w:val="en-US"/>
        </w:rPr>
        <w:tab/>
        <w:t>5 (27.8%)</w:t>
      </w:r>
      <w:r w:rsidRPr="000F1676">
        <w:rPr>
          <w:rFonts w:ascii="Arial" w:hAnsi="Arial" w:cs="Arial"/>
          <w:sz w:val="18"/>
          <w:szCs w:val="18"/>
          <w:lang w:val="en-US"/>
        </w:rPr>
        <w:tab/>
      </w:r>
    </w:p>
    <w:p w14:paraId="7E7372D7"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 xml:space="preserve">   MVA</w:t>
      </w:r>
      <w:r w:rsidRPr="000F1676">
        <w:rPr>
          <w:rFonts w:ascii="Arial" w:hAnsi="Arial" w:cs="Arial"/>
          <w:sz w:val="18"/>
          <w:szCs w:val="18"/>
          <w:lang w:val="en-US"/>
        </w:rPr>
        <w:tab/>
        <w:t>11 (73.3%)</w:t>
      </w:r>
      <w:r w:rsidRPr="000F1676">
        <w:rPr>
          <w:rFonts w:ascii="Arial" w:hAnsi="Arial" w:cs="Arial"/>
          <w:sz w:val="18"/>
          <w:szCs w:val="18"/>
          <w:lang w:val="en-US"/>
        </w:rPr>
        <w:tab/>
        <w:t>12 (66.7%)</w:t>
      </w:r>
      <w:r w:rsidRPr="000F1676">
        <w:rPr>
          <w:rFonts w:ascii="Arial" w:hAnsi="Arial" w:cs="Arial"/>
          <w:sz w:val="18"/>
          <w:szCs w:val="18"/>
          <w:lang w:val="en-US"/>
        </w:rPr>
        <w:tab/>
      </w:r>
    </w:p>
    <w:p w14:paraId="2E099DF7" w14:textId="77777777" w:rsidR="0049019D" w:rsidRPr="000F1676" w:rsidRDefault="0049019D" w:rsidP="0049019D">
      <w:pPr>
        <w:tabs>
          <w:tab w:val="center" w:pos="5400"/>
          <w:tab w:val="center" w:pos="7700"/>
          <w:tab w:val="right" w:pos="9700"/>
        </w:tabs>
        <w:spacing w:after="40" w:line="320" w:lineRule="auto"/>
        <w:rPr>
          <w:rFonts w:ascii="Arial" w:hAnsi="Arial" w:cs="Arial"/>
          <w:sz w:val="18"/>
          <w:szCs w:val="18"/>
          <w:lang w:val="en-US"/>
        </w:rPr>
      </w:pPr>
      <w:r w:rsidRPr="000F1676">
        <w:rPr>
          <w:rFonts w:ascii="Arial" w:hAnsi="Arial" w:cs="Arial"/>
          <w:sz w:val="18"/>
          <w:szCs w:val="18"/>
          <w:lang w:val="en-US"/>
        </w:rPr>
        <w:t xml:space="preserve">   Pedestrian</w:t>
      </w:r>
      <w:r w:rsidRPr="000F1676">
        <w:rPr>
          <w:rFonts w:ascii="Arial" w:hAnsi="Arial" w:cs="Arial"/>
          <w:sz w:val="18"/>
          <w:szCs w:val="18"/>
          <w:lang w:val="en-US"/>
        </w:rPr>
        <w:tab/>
        <w:t>2 (13.3%)</w:t>
      </w:r>
      <w:r w:rsidRPr="000F1676">
        <w:rPr>
          <w:rFonts w:ascii="Arial" w:hAnsi="Arial" w:cs="Arial"/>
          <w:sz w:val="18"/>
          <w:szCs w:val="18"/>
          <w:lang w:val="en-US"/>
        </w:rPr>
        <w:tab/>
        <w:t>1 (5.6%)</w:t>
      </w:r>
      <w:r w:rsidRPr="000F1676">
        <w:rPr>
          <w:rFonts w:ascii="Arial" w:hAnsi="Arial" w:cs="Arial"/>
          <w:sz w:val="18"/>
          <w:szCs w:val="18"/>
          <w:lang w:val="en-US"/>
        </w:rPr>
        <w:tab/>
      </w:r>
    </w:p>
    <w:p w14:paraId="41FDD57C" w14:textId="77777777" w:rsidR="0049019D" w:rsidRPr="000F1676" w:rsidRDefault="0049019D" w:rsidP="0049019D">
      <w:pPr>
        <w:spacing w:after="120" w:line="360" w:lineRule="auto"/>
        <w:rPr>
          <w:rFonts w:ascii="Arial" w:hAnsi="Arial" w:cs="Arial"/>
          <w:sz w:val="18"/>
          <w:szCs w:val="18"/>
          <w:lang w:val="en-US"/>
        </w:rPr>
      </w:pPr>
    </w:p>
    <w:p w14:paraId="41F3DE33" w14:textId="77777777" w:rsidR="0049019D" w:rsidRPr="00C46CDD" w:rsidRDefault="0049019D" w:rsidP="0049019D">
      <w:pPr>
        <w:spacing w:after="0" w:line="240" w:lineRule="auto"/>
        <w:rPr>
          <w:rFonts w:ascii="Arial" w:hAnsi="Arial" w:cs="Arial"/>
          <w:lang w:val="en-US"/>
        </w:rPr>
      </w:pPr>
      <w:r w:rsidRPr="00C46CDD">
        <w:rPr>
          <w:rFonts w:ascii="Arial" w:hAnsi="Arial" w:cs="Arial"/>
          <w:lang w:val="en-US"/>
        </w:rPr>
        <w:t>Continuous variables are reported as median [interquartile range], and categorical variables as number (percentage). Between-group comparisons were performed using the Mann–Whitney U test for continuous variables and Fisher's exact test for categorical variables. The CAP total score refers to the reference assessment performed during the actigraphy week. PTCS duration was calculated from injury to stable clearance from the confusional state, defined as two consecutive CAP assessments below the established diagnostic threshold. For patients with ongoing PTCS during actigraphic monitoring, duration therefore includes the interval from the recording period to subsequent PTCS clearance.</w:t>
      </w:r>
    </w:p>
    <w:p w14:paraId="43A0106F" w14:textId="77777777" w:rsidR="0049019D" w:rsidRPr="00C46CDD" w:rsidRDefault="0049019D" w:rsidP="0049019D">
      <w:pPr>
        <w:spacing w:after="0" w:line="240" w:lineRule="auto"/>
        <w:rPr>
          <w:rFonts w:ascii="Arial" w:hAnsi="Arial" w:cs="Arial"/>
          <w:lang w:val="en-US"/>
        </w:rPr>
      </w:pPr>
      <w:r w:rsidRPr="00C46CDD">
        <w:rPr>
          <w:rFonts w:ascii="Arial" w:hAnsi="Arial" w:cs="Arial"/>
          <w:lang w:val="en-US"/>
        </w:rPr>
        <w:t>CAP, Confusion Assessment Protocol; GCS, Glasgow Coma Scale; ICU, intensive care unit; MVA, motor vehicle accident; PTCS, post-traumatic confusional state; TBI, traumatic brain injury.</w:t>
      </w:r>
    </w:p>
    <w:p w14:paraId="6EA35E38" w14:textId="77777777" w:rsidR="0049019D" w:rsidRPr="00C46CDD" w:rsidRDefault="0049019D" w:rsidP="0049019D">
      <w:pPr>
        <w:spacing w:line="240" w:lineRule="auto"/>
        <w:ind w:firstLine="709"/>
        <w:rPr>
          <w:rFonts w:ascii="Arial" w:hAnsi="Arial" w:cs="Arial"/>
          <w:b/>
          <w:bCs/>
          <w:lang w:val="en-US"/>
        </w:rPr>
      </w:pPr>
    </w:p>
    <w:p w14:paraId="009DE6C8" w14:textId="77777777" w:rsidR="00EB4A2D" w:rsidRDefault="00EB4A2D"/>
    <w:sectPr w:rsidR="00EB4A2D" w:rsidSect="0049019D">
      <w:footerReference w:type="default" r:id="rId4"/>
      <w:pgSz w:w="11906" w:h="16838"/>
      <w:pgMar w:top="1417" w:right="1134" w:bottom="1134"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302591"/>
      <w:docPartObj>
        <w:docPartGallery w:val="Page Numbers (Bottom of Page)"/>
        <w:docPartUnique/>
      </w:docPartObj>
    </w:sdtPr>
    <w:sdtContent>
      <w:p w14:paraId="0C6279C4" w14:textId="77777777" w:rsidR="0049019D" w:rsidRDefault="0049019D">
        <w:pPr>
          <w:pStyle w:val="Footer"/>
          <w:jc w:val="right"/>
        </w:pPr>
        <w:r>
          <w:fldChar w:fldCharType="begin"/>
        </w:r>
        <w:r>
          <w:instrText>PAGE   \* MERGEFORMAT</w:instrText>
        </w:r>
        <w:r>
          <w:fldChar w:fldCharType="separate"/>
        </w:r>
        <w:r>
          <w:t>2</w:t>
        </w:r>
        <w:r>
          <w:fldChar w:fldCharType="end"/>
        </w:r>
      </w:p>
    </w:sdtContent>
  </w:sdt>
  <w:p w14:paraId="38E60B93" w14:textId="77777777" w:rsidR="0049019D" w:rsidRDefault="0049019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9D"/>
    <w:rsid w:val="001D3053"/>
    <w:rsid w:val="001E3A92"/>
    <w:rsid w:val="00217E67"/>
    <w:rsid w:val="002C7D54"/>
    <w:rsid w:val="0033371E"/>
    <w:rsid w:val="0049019D"/>
    <w:rsid w:val="005C0D39"/>
    <w:rsid w:val="0070406C"/>
    <w:rsid w:val="00724754"/>
    <w:rsid w:val="00740664"/>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CBC79"/>
  <w15:chartTrackingRefBased/>
  <w15:docId w15:val="{61E4CCED-86BD-489B-928D-0FE8DFBAA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19D"/>
    <w:pPr>
      <w:spacing w:line="259" w:lineRule="auto"/>
    </w:pPr>
    <w:rPr>
      <w:kern w:val="0"/>
      <w:sz w:val="22"/>
      <w:szCs w:val="22"/>
      <w:lang w:val="it-IT"/>
      <w14:ligatures w14:val="none"/>
    </w:rPr>
  </w:style>
  <w:style w:type="paragraph" w:styleId="Heading1">
    <w:name w:val="heading 1"/>
    <w:basedOn w:val="Normal"/>
    <w:next w:val="Normal"/>
    <w:link w:val="Heading1Char"/>
    <w:uiPriority w:val="9"/>
    <w:qFormat/>
    <w:rsid w:val="0049019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49019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49019D"/>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49019D"/>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49019D"/>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49019D"/>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49019D"/>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49019D"/>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49019D"/>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1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1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1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1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1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1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1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1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19D"/>
    <w:rPr>
      <w:rFonts w:eastAsiaTheme="majorEastAsia" w:cstheme="majorBidi"/>
      <w:color w:val="272727" w:themeColor="text1" w:themeTint="D8"/>
    </w:rPr>
  </w:style>
  <w:style w:type="paragraph" w:styleId="Title">
    <w:name w:val="Title"/>
    <w:basedOn w:val="Normal"/>
    <w:next w:val="Normal"/>
    <w:link w:val="TitleChar"/>
    <w:uiPriority w:val="10"/>
    <w:qFormat/>
    <w:rsid w:val="0049019D"/>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4901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19D"/>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4901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19D"/>
    <w:pPr>
      <w:spacing w:before="160" w:line="278" w:lineRule="auto"/>
      <w:jc w:val="center"/>
    </w:pPr>
    <w:rPr>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49019D"/>
    <w:rPr>
      <w:i/>
      <w:iCs/>
      <w:color w:val="404040" w:themeColor="text1" w:themeTint="BF"/>
    </w:rPr>
  </w:style>
  <w:style w:type="paragraph" w:styleId="ListParagraph">
    <w:name w:val="List Paragraph"/>
    <w:basedOn w:val="Normal"/>
    <w:uiPriority w:val="34"/>
    <w:qFormat/>
    <w:rsid w:val="0049019D"/>
    <w:pPr>
      <w:spacing w:line="278" w:lineRule="auto"/>
      <w:ind w:left="720"/>
      <w:contextualSpacing/>
    </w:pPr>
    <w:rPr>
      <w:kern w:val="2"/>
      <w:sz w:val="24"/>
      <w:szCs w:val="24"/>
      <w:lang w:val="en-IN"/>
      <w14:ligatures w14:val="standardContextual"/>
    </w:rPr>
  </w:style>
  <w:style w:type="character" w:styleId="IntenseEmphasis">
    <w:name w:val="Intense Emphasis"/>
    <w:basedOn w:val="DefaultParagraphFont"/>
    <w:uiPriority w:val="21"/>
    <w:qFormat/>
    <w:rsid w:val="0049019D"/>
    <w:rPr>
      <w:i/>
      <w:iCs/>
      <w:color w:val="0F4761" w:themeColor="accent1" w:themeShade="BF"/>
    </w:rPr>
  </w:style>
  <w:style w:type="paragraph" w:styleId="IntenseQuote">
    <w:name w:val="Intense Quote"/>
    <w:basedOn w:val="Normal"/>
    <w:next w:val="Normal"/>
    <w:link w:val="IntenseQuoteChar"/>
    <w:uiPriority w:val="30"/>
    <w:qFormat/>
    <w:rsid w:val="0049019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49019D"/>
    <w:rPr>
      <w:i/>
      <w:iCs/>
      <w:color w:val="0F4761" w:themeColor="accent1" w:themeShade="BF"/>
    </w:rPr>
  </w:style>
  <w:style w:type="character" w:styleId="IntenseReference">
    <w:name w:val="Intense Reference"/>
    <w:basedOn w:val="DefaultParagraphFont"/>
    <w:uiPriority w:val="32"/>
    <w:qFormat/>
    <w:rsid w:val="0049019D"/>
    <w:rPr>
      <w:b/>
      <w:bCs/>
      <w:smallCaps/>
      <w:color w:val="0F4761" w:themeColor="accent1" w:themeShade="BF"/>
      <w:spacing w:val="5"/>
    </w:rPr>
  </w:style>
  <w:style w:type="paragraph" w:styleId="Footer">
    <w:name w:val="footer"/>
    <w:basedOn w:val="Normal"/>
    <w:link w:val="FooterChar"/>
    <w:uiPriority w:val="99"/>
    <w:unhideWhenUsed/>
    <w:rsid w:val="0049019D"/>
    <w:pPr>
      <w:tabs>
        <w:tab w:val="center" w:pos="4819"/>
        <w:tab w:val="right" w:pos="9638"/>
      </w:tabs>
      <w:spacing w:after="0" w:line="240" w:lineRule="auto"/>
    </w:pPr>
  </w:style>
  <w:style w:type="character" w:customStyle="1" w:styleId="FooterChar">
    <w:name w:val="Footer Char"/>
    <w:basedOn w:val="DefaultParagraphFont"/>
    <w:link w:val="Footer"/>
    <w:uiPriority w:val="99"/>
    <w:rsid w:val="0049019D"/>
    <w:rPr>
      <w:kern w:val="0"/>
      <w:sz w:val="22"/>
      <w:szCs w:val="22"/>
      <w:lang w:val="it-IT"/>
      <w14:ligatures w14:val="none"/>
    </w:rPr>
  </w:style>
  <w:style w:type="character" w:styleId="LineNumber">
    <w:name w:val="line number"/>
    <w:basedOn w:val="DefaultParagraphFont"/>
    <w:uiPriority w:val="99"/>
    <w:semiHidden/>
    <w:unhideWhenUsed/>
    <w:rsid w:val="00490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2026-08-24T08:41:00Z</dcterms:created>
  <dcterms:modified xsi:type="dcterms:W3CDTF">2026-08-24T08:42:00Z</dcterms:modified>
</cp:coreProperties>
</file>