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9577" w14:textId="67BEE1C3" w:rsidR="00610B76" w:rsidRPr="00383FD9" w:rsidRDefault="00ED1280">
      <w:pPr>
        <w:pStyle w:val="a8"/>
        <w:jc w:val="center"/>
        <w:rPr>
          <w:rFonts w:asciiTheme="majorBidi" w:hAnsiTheme="majorBidi" w:cstheme="majorBidi"/>
        </w:rPr>
      </w:pPr>
      <w:r w:rsidRPr="00383FD9">
        <w:rPr>
          <w:rFonts w:asciiTheme="majorBidi" w:hAnsiTheme="majorBidi" w:cstheme="majorBidi"/>
        </w:rPr>
        <w:t xml:space="preserve">File </w:t>
      </w:r>
      <w:r w:rsidR="008B2FDA" w:rsidRPr="00383FD9">
        <w:rPr>
          <w:rFonts w:asciiTheme="majorBidi" w:hAnsiTheme="majorBidi" w:cstheme="majorBidi"/>
        </w:rPr>
        <w:t>S</w:t>
      </w:r>
      <w:r w:rsidR="00383FD9">
        <w:rPr>
          <w:rFonts w:asciiTheme="majorBidi" w:hAnsiTheme="majorBidi" w:cstheme="majorBidi"/>
        </w:rPr>
        <w:t>3</w:t>
      </w:r>
      <w:r w:rsidR="008B2FDA" w:rsidRPr="00383FD9">
        <w:rPr>
          <w:rFonts w:asciiTheme="majorBidi" w:hAnsiTheme="majorBidi" w:cstheme="majorBidi"/>
        </w:rPr>
        <w:t xml:space="preserve">: </w:t>
      </w:r>
      <w:r w:rsidRPr="00383FD9">
        <w:rPr>
          <w:rFonts w:asciiTheme="majorBidi" w:hAnsiTheme="majorBidi" w:cstheme="majorBidi"/>
        </w:rPr>
        <w:t xml:space="preserve">Supplementary Tables </w:t>
      </w:r>
    </w:p>
    <w:p w14:paraId="47AB2F8B" w14:textId="77777777" w:rsidR="00820AAF" w:rsidRPr="00383FD9" w:rsidRDefault="00820AAF" w:rsidP="00C1390D">
      <w:pPr>
        <w:pStyle w:val="ab"/>
        <w:rPr>
          <w:rFonts w:asciiTheme="majorBidi" w:hAnsiTheme="majorBidi" w:cstheme="majorBidi"/>
          <w:b/>
          <w:bCs/>
        </w:rPr>
      </w:pPr>
    </w:p>
    <w:p w14:paraId="74D424DA" w14:textId="05012B84" w:rsidR="00820AAF" w:rsidRPr="00383FD9" w:rsidRDefault="00820AAF" w:rsidP="00820AAF">
      <w:pPr>
        <w:pStyle w:val="FirstParagraph"/>
        <w:rPr>
          <w:rFonts w:asciiTheme="majorBidi" w:hAnsiTheme="majorBidi" w:cstheme="majorBidi"/>
        </w:rPr>
      </w:pPr>
      <w:bookmarkStart w:id="0" w:name="interaction-analysis-results"/>
      <w:r w:rsidRPr="00383FD9">
        <w:rPr>
          <w:rFonts w:asciiTheme="majorBidi" w:hAnsiTheme="majorBidi" w:cstheme="majorBidi"/>
        </w:rPr>
        <w:t xml:space="preserve">Table 14 presents the results of the interaction analysis examining whether the effect of </w:t>
      </w:r>
      <w:r w:rsidR="00383FD9">
        <w:rPr>
          <w:rFonts w:asciiTheme="majorBidi" w:hAnsiTheme="majorBidi" w:cstheme="majorBidi"/>
        </w:rPr>
        <w:t>sex</w:t>
      </w:r>
      <w:r w:rsidRPr="00383FD9">
        <w:rPr>
          <w:rFonts w:asciiTheme="majorBidi" w:hAnsiTheme="majorBidi" w:cstheme="majorBidi"/>
        </w:rPr>
        <w:t xml:space="preserve"> on anxiety severity is modified by the number of chronic diseases. The interaction term (</w:t>
      </w:r>
      <w:r w:rsidR="00ED1280">
        <w:rPr>
          <w:rFonts w:asciiTheme="majorBidi" w:hAnsiTheme="majorBidi" w:cstheme="majorBidi"/>
          <w:b/>
          <w:bCs/>
          <w:szCs w:val="28"/>
        </w:rPr>
        <w:t>sex</w:t>
      </w:r>
      <w:r w:rsidR="00ED1280" w:rsidRPr="00383FD9">
        <w:rPr>
          <w:rFonts w:asciiTheme="majorBidi" w:hAnsiTheme="majorBidi" w:cstheme="majorBidi"/>
          <w:b/>
          <w:bCs/>
          <w:szCs w:val="28"/>
        </w:rPr>
        <w:t xml:space="preserve"> </w:t>
      </w:r>
      <w:r w:rsidRPr="00383FD9">
        <w:rPr>
          <w:rFonts w:asciiTheme="majorBidi" w:hAnsiTheme="majorBidi" w:cstheme="majorBidi"/>
        </w:rPr>
        <w:t xml:space="preserve">× </w:t>
      </w:r>
      <w:proofErr w:type="spellStart"/>
      <w:r w:rsidRPr="00383FD9">
        <w:rPr>
          <w:rFonts w:asciiTheme="majorBidi" w:hAnsiTheme="majorBidi" w:cstheme="majorBidi"/>
        </w:rPr>
        <w:t>Sum_Var</w:t>
      </w:r>
      <w:proofErr w:type="spellEnd"/>
      <w:r w:rsidRPr="00383FD9">
        <w:rPr>
          <w:rFonts w:asciiTheme="majorBidi" w:hAnsiTheme="majorBidi" w:cstheme="majorBidi"/>
        </w:rPr>
        <w:t>) was statistically significant (OR = 1.92, 95% CI: 1.04-3.55, p = 0.042), indicating that the effect of comorbidity burden on anxiety is stronger among females than among males.</w:t>
      </w:r>
    </w:p>
    <w:p w14:paraId="0996C552" w14:textId="6BB7980C" w:rsidR="00820AAF" w:rsidRPr="00383FD9" w:rsidRDefault="00820AAF" w:rsidP="00820AAF">
      <w:pPr>
        <w:pStyle w:val="ab"/>
        <w:rPr>
          <w:rFonts w:asciiTheme="majorBidi" w:hAnsiTheme="majorBidi" w:cstheme="majorBidi"/>
          <w:sz w:val="24"/>
          <w:szCs w:val="28"/>
        </w:rPr>
      </w:pPr>
      <w:r w:rsidRPr="00383FD9">
        <w:rPr>
          <w:rFonts w:asciiTheme="majorBidi" w:hAnsiTheme="majorBidi" w:cstheme="majorBidi"/>
          <w:b/>
          <w:bCs/>
          <w:sz w:val="24"/>
          <w:szCs w:val="28"/>
        </w:rPr>
        <w:t>Table 14: Interaction Analysis (</w:t>
      </w:r>
      <w:r w:rsidR="00383FD9">
        <w:rPr>
          <w:rFonts w:asciiTheme="majorBidi" w:hAnsiTheme="majorBidi" w:cstheme="majorBidi"/>
          <w:b/>
          <w:bCs/>
          <w:sz w:val="24"/>
          <w:szCs w:val="28"/>
        </w:rPr>
        <w:t>sex</w:t>
      </w:r>
      <w:r w:rsidRPr="00383FD9">
        <w:rPr>
          <w:rFonts w:asciiTheme="majorBidi" w:hAnsiTheme="majorBidi" w:cstheme="majorBidi"/>
          <w:b/>
          <w:bCs/>
          <w:sz w:val="24"/>
          <w:szCs w:val="28"/>
        </w:rPr>
        <w:t xml:space="preserve"> × Number of Diseases)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3326"/>
        <w:gridCol w:w="761"/>
        <w:gridCol w:w="761"/>
        <w:gridCol w:w="741"/>
        <w:gridCol w:w="419"/>
        <w:gridCol w:w="943"/>
        <w:gridCol w:w="640"/>
        <w:gridCol w:w="1265"/>
      </w:tblGrid>
      <w:tr w:rsidR="00820AAF" w:rsidRPr="00383FD9" w14:paraId="5A5E01D9" w14:textId="77777777" w:rsidTr="0055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781C93A8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0" w:type="auto"/>
          </w:tcPr>
          <w:p w14:paraId="7B598F0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B</w:t>
            </w:r>
          </w:p>
        </w:tc>
        <w:tc>
          <w:tcPr>
            <w:tcW w:w="0" w:type="auto"/>
          </w:tcPr>
          <w:p w14:paraId="35D23C8B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SE</w:t>
            </w:r>
          </w:p>
        </w:tc>
        <w:tc>
          <w:tcPr>
            <w:tcW w:w="0" w:type="auto"/>
          </w:tcPr>
          <w:p w14:paraId="5D697158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Wald</w:t>
            </w:r>
          </w:p>
        </w:tc>
        <w:tc>
          <w:tcPr>
            <w:tcW w:w="0" w:type="auto"/>
          </w:tcPr>
          <w:p w14:paraId="312E166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df</w:t>
            </w:r>
          </w:p>
        </w:tc>
        <w:tc>
          <w:tcPr>
            <w:tcW w:w="0" w:type="auto"/>
          </w:tcPr>
          <w:p w14:paraId="501F7584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0" w:type="auto"/>
          </w:tcPr>
          <w:p w14:paraId="61EC36F2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OR</w:t>
            </w:r>
          </w:p>
        </w:tc>
        <w:tc>
          <w:tcPr>
            <w:tcW w:w="0" w:type="auto"/>
          </w:tcPr>
          <w:p w14:paraId="3E04D4A1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95% CI</w:t>
            </w:r>
          </w:p>
        </w:tc>
      </w:tr>
      <w:tr w:rsidR="00820AAF" w:rsidRPr="00383FD9" w14:paraId="12FBEE0A" w14:textId="77777777" w:rsidTr="0055593C">
        <w:tc>
          <w:tcPr>
            <w:tcW w:w="0" w:type="auto"/>
          </w:tcPr>
          <w:p w14:paraId="6379C81B" w14:textId="381202FE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 xml:space="preserve">Female </w:t>
            </w:r>
            <w:r w:rsidR="00383FD9" w:rsidRPr="00383FD9">
              <w:rPr>
                <w:rFonts w:asciiTheme="majorBidi" w:hAnsiTheme="majorBidi" w:cstheme="majorBidi"/>
              </w:rPr>
              <w:t>sex</w:t>
            </w:r>
          </w:p>
        </w:tc>
        <w:tc>
          <w:tcPr>
            <w:tcW w:w="0" w:type="auto"/>
          </w:tcPr>
          <w:p w14:paraId="51FEB1B0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0.876</w:t>
            </w:r>
          </w:p>
        </w:tc>
        <w:tc>
          <w:tcPr>
            <w:tcW w:w="0" w:type="auto"/>
          </w:tcPr>
          <w:p w14:paraId="32F38CC6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0.654</w:t>
            </w:r>
          </w:p>
        </w:tc>
        <w:tc>
          <w:tcPr>
            <w:tcW w:w="0" w:type="auto"/>
          </w:tcPr>
          <w:p w14:paraId="446C479E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1.79</w:t>
            </w:r>
          </w:p>
        </w:tc>
        <w:tc>
          <w:tcPr>
            <w:tcW w:w="0" w:type="auto"/>
          </w:tcPr>
          <w:p w14:paraId="09046160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081865B6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0.181</w:t>
            </w:r>
          </w:p>
        </w:tc>
        <w:tc>
          <w:tcPr>
            <w:tcW w:w="0" w:type="auto"/>
          </w:tcPr>
          <w:p w14:paraId="2B02B5A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2.40</w:t>
            </w:r>
          </w:p>
        </w:tc>
        <w:tc>
          <w:tcPr>
            <w:tcW w:w="0" w:type="auto"/>
          </w:tcPr>
          <w:p w14:paraId="2200C7C1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0.67 - 8.63</w:t>
            </w:r>
          </w:p>
        </w:tc>
      </w:tr>
      <w:tr w:rsidR="00820AAF" w:rsidRPr="00383FD9" w14:paraId="1CA54647" w14:textId="77777777" w:rsidTr="0055593C">
        <w:tc>
          <w:tcPr>
            <w:tcW w:w="0" w:type="auto"/>
          </w:tcPr>
          <w:p w14:paraId="65E7AE94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Number of Diseases (</w:t>
            </w:r>
            <w:proofErr w:type="spellStart"/>
            <w:r w:rsidRPr="00383FD9">
              <w:rPr>
                <w:rFonts w:asciiTheme="majorBidi" w:hAnsiTheme="majorBidi" w:cstheme="majorBidi"/>
              </w:rPr>
              <w:t>Sum_Var</w:t>
            </w:r>
            <w:proofErr w:type="spellEnd"/>
            <w:r w:rsidRPr="00383FD9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</w:tcPr>
          <w:p w14:paraId="04213F68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0.987</w:t>
            </w:r>
          </w:p>
        </w:tc>
        <w:tc>
          <w:tcPr>
            <w:tcW w:w="0" w:type="auto"/>
          </w:tcPr>
          <w:p w14:paraId="0A8A31E1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0.432</w:t>
            </w:r>
          </w:p>
        </w:tc>
        <w:tc>
          <w:tcPr>
            <w:tcW w:w="0" w:type="auto"/>
          </w:tcPr>
          <w:p w14:paraId="72A847F2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5.22</w:t>
            </w:r>
          </w:p>
        </w:tc>
        <w:tc>
          <w:tcPr>
            <w:tcW w:w="0" w:type="auto"/>
          </w:tcPr>
          <w:p w14:paraId="3CDD0C7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0735281A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0.022</w:t>
            </w:r>
          </w:p>
        </w:tc>
        <w:tc>
          <w:tcPr>
            <w:tcW w:w="0" w:type="auto"/>
          </w:tcPr>
          <w:p w14:paraId="1D501742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2.68</w:t>
            </w:r>
          </w:p>
        </w:tc>
        <w:tc>
          <w:tcPr>
            <w:tcW w:w="0" w:type="auto"/>
          </w:tcPr>
          <w:p w14:paraId="24990017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1.15 - 6.25</w:t>
            </w:r>
          </w:p>
        </w:tc>
      </w:tr>
      <w:tr w:rsidR="00820AAF" w:rsidRPr="00383FD9" w14:paraId="2970F351" w14:textId="77777777" w:rsidTr="0055593C">
        <w:tc>
          <w:tcPr>
            <w:tcW w:w="0" w:type="auto"/>
          </w:tcPr>
          <w:p w14:paraId="0B85D60E" w14:textId="48A5F4BA" w:rsidR="00820AAF" w:rsidRPr="00383FD9" w:rsidRDefault="00383FD9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sex</w:t>
            </w:r>
            <w:r w:rsidRPr="00383FD9">
              <w:rPr>
                <w:rFonts w:asciiTheme="majorBidi" w:hAnsiTheme="majorBidi" w:cstheme="majorBidi"/>
              </w:rPr>
              <w:t xml:space="preserve"> </w:t>
            </w:r>
            <w:r w:rsidR="00820AAF" w:rsidRPr="00383FD9">
              <w:rPr>
                <w:rFonts w:asciiTheme="majorBidi" w:hAnsiTheme="majorBidi" w:cstheme="majorBidi"/>
              </w:rPr>
              <w:t xml:space="preserve">× </w:t>
            </w:r>
            <w:proofErr w:type="spellStart"/>
            <w:r w:rsidR="00820AAF" w:rsidRPr="00383FD9">
              <w:rPr>
                <w:rFonts w:asciiTheme="majorBidi" w:hAnsiTheme="majorBidi" w:cstheme="majorBidi"/>
              </w:rPr>
              <w:t>Sum_Var</w:t>
            </w:r>
            <w:proofErr w:type="spellEnd"/>
          </w:p>
        </w:tc>
        <w:tc>
          <w:tcPr>
            <w:tcW w:w="0" w:type="auto"/>
          </w:tcPr>
          <w:p w14:paraId="28719CC5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0.654</w:t>
            </w:r>
          </w:p>
        </w:tc>
        <w:tc>
          <w:tcPr>
            <w:tcW w:w="0" w:type="auto"/>
          </w:tcPr>
          <w:p w14:paraId="2998088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0.321</w:t>
            </w:r>
          </w:p>
        </w:tc>
        <w:tc>
          <w:tcPr>
            <w:tcW w:w="0" w:type="auto"/>
          </w:tcPr>
          <w:p w14:paraId="488D2B5E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4.15</w:t>
            </w:r>
          </w:p>
        </w:tc>
        <w:tc>
          <w:tcPr>
            <w:tcW w:w="0" w:type="auto"/>
          </w:tcPr>
          <w:p w14:paraId="6AC591AF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3872CCED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0.042</w:t>
            </w:r>
          </w:p>
        </w:tc>
        <w:tc>
          <w:tcPr>
            <w:tcW w:w="0" w:type="auto"/>
          </w:tcPr>
          <w:p w14:paraId="272C7EBC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1.92</w:t>
            </w:r>
          </w:p>
        </w:tc>
        <w:tc>
          <w:tcPr>
            <w:tcW w:w="0" w:type="auto"/>
          </w:tcPr>
          <w:p w14:paraId="7106B594" w14:textId="77777777" w:rsidR="00820AAF" w:rsidRPr="00383FD9" w:rsidRDefault="00820AAF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1.04 - 3.55</w:t>
            </w:r>
          </w:p>
        </w:tc>
      </w:tr>
    </w:tbl>
    <w:p w14:paraId="6D332A56" w14:textId="77777777" w:rsidR="00820AAF" w:rsidRPr="00383FD9" w:rsidRDefault="00820AAF" w:rsidP="00820AAF">
      <w:pPr>
        <w:pStyle w:val="ab"/>
        <w:rPr>
          <w:rFonts w:asciiTheme="majorBidi" w:hAnsiTheme="majorBidi" w:cstheme="majorBidi"/>
        </w:rPr>
      </w:pPr>
    </w:p>
    <w:bookmarkEnd w:id="0"/>
    <w:p w14:paraId="66FA5D03" w14:textId="77777777" w:rsidR="00820AAF" w:rsidRPr="00383FD9" w:rsidRDefault="00820AAF" w:rsidP="00820AAF">
      <w:pPr>
        <w:pStyle w:val="FirstParagraph"/>
        <w:rPr>
          <w:rFonts w:asciiTheme="majorBidi" w:hAnsiTheme="majorBidi" w:cstheme="majorBidi"/>
        </w:rPr>
      </w:pPr>
      <w:r w:rsidRPr="00383FD9">
        <w:rPr>
          <w:rFonts w:asciiTheme="majorBidi" w:hAnsiTheme="majorBidi" w:cstheme="majorBidi"/>
        </w:rPr>
        <w:t>Table 15 presents the results of subgroup analyses conducted separately for females and males. Among females (n=78), the strongest predictor of anxiety severity was the number of chronic diseases (OR = 4.56, 95% CI: 2.12-9.81, p &lt; 0.001), followed by disease duration (OR = 1.08, p = 0.035) and unmarried status (OR = 2.89, p = 0.045).</w:t>
      </w:r>
    </w:p>
    <w:p w14:paraId="2DCF1747" w14:textId="77777777" w:rsidR="00820AAF" w:rsidRPr="00383FD9" w:rsidRDefault="00820AAF" w:rsidP="00820AAF">
      <w:pPr>
        <w:pStyle w:val="ab"/>
        <w:rPr>
          <w:rFonts w:asciiTheme="majorBidi" w:hAnsiTheme="majorBidi" w:cstheme="majorBidi"/>
          <w:sz w:val="24"/>
          <w:szCs w:val="28"/>
        </w:rPr>
      </w:pPr>
      <w:r w:rsidRPr="00383FD9">
        <w:rPr>
          <w:rFonts w:asciiTheme="majorBidi" w:hAnsiTheme="majorBidi" w:cstheme="majorBidi"/>
          <w:sz w:val="24"/>
          <w:szCs w:val="28"/>
        </w:rPr>
        <w:t>Among males (n=118), only the number of chronic diseases was a significant predictor (OR = 2.89, p = 0.003). Disease duration and marital status were not significant predictors among males.</w:t>
      </w:r>
    </w:p>
    <w:p w14:paraId="04935359" w14:textId="275FE4F0" w:rsidR="00C1390D" w:rsidRPr="00383FD9" w:rsidRDefault="00C1390D" w:rsidP="00C1390D">
      <w:pPr>
        <w:pStyle w:val="ab"/>
        <w:rPr>
          <w:rFonts w:asciiTheme="majorBidi" w:hAnsiTheme="majorBidi" w:cstheme="majorBidi"/>
          <w:sz w:val="24"/>
          <w:szCs w:val="28"/>
        </w:rPr>
      </w:pPr>
      <w:r w:rsidRPr="00383FD9">
        <w:rPr>
          <w:rFonts w:asciiTheme="majorBidi" w:hAnsiTheme="majorBidi" w:cstheme="majorBidi"/>
          <w:b/>
          <w:bCs/>
          <w:sz w:val="24"/>
          <w:szCs w:val="28"/>
        </w:rPr>
        <w:t xml:space="preserve">Table 15: Subgroup Analysis - Predictors of Severe Anxiety by </w:t>
      </w:r>
      <w:r w:rsidR="00ED1280">
        <w:rPr>
          <w:rFonts w:asciiTheme="majorBidi" w:hAnsiTheme="majorBidi" w:cstheme="majorBidi"/>
          <w:b/>
          <w:bCs/>
          <w:sz w:val="24"/>
          <w:szCs w:val="28"/>
        </w:rPr>
        <w:t>sex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2228"/>
        <w:gridCol w:w="1531"/>
        <w:gridCol w:w="935"/>
        <w:gridCol w:w="912"/>
        <w:gridCol w:w="1475"/>
        <w:gridCol w:w="935"/>
        <w:gridCol w:w="840"/>
      </w:tblGrid>
      <w:tr w:rsidR="00C1390D" w:rsidRPr="00383FD9" w14:paraId="2D12EAF5" w14:textId="77777777" w:rsidTr="0055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22F141A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Variable</w:t>
            </w:r>
          </w:p>
        </w:tc>
        <w:tc>
          <w:tcPr>
            <w:tcW w:w="0" w:type="auto"/>
          </w:tcPr>
          <w:p w14:paraId="1C7109C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Females (n=78) OR</w:t>
            </w:r>
          </w:p>
        </w:tc>
        <w:tc>
          <w:tcPr>
            <w:tcW w:w="0" w:type="auto"/>
          </w:tcPr>
          <w:p w14:paraId="3790C3C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95% CI</w:t>
            </w:r>
          </w:p>
        </w:tc>
        <w:tc>
          <w:tcPr>
            <w:tcW w:w="0" w:type="auto"/>
          </w:tcPr>
          <w:p w14:paraId="47B4654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p-value</w:t>
            </w:r>
          </w:p>
        </w:tc>
        <w:tc>
          <w:tcPr>
            <w:tcW w:w="0" w:type="auto"/>
          </w:tcPr>
          <w:p w14:paraId="6E9DBAB7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Males (n=118) OR</w:t>
            </w:r>
          </w:p>
        </w:tc>
        <w:tc>
          <w:tcPr>
            <w:tcW w:w="0" w:type="auto"/>
          </w:tcPr>
          <w:p w14:paraId="3410F697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95% CI</w:t>
            </w:r>
          </w:p>
        </w:tc>
        <w:tc>
          <w:tcPr>
            <w:tcW w:w="0" w:type="auto"/>
          </w:tcPr>
          <w:p w14:paraId="09D0DF4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p-value</w:t>
            </w:r>
          </w:p>
        </w:tc>
      </w:tr>
      <w:tr w:rsidR="00C1390D" w:rsidRPr="00383FD9" w14:paraId="44761D6D" w14:textId="77777777" w:rsidTr="0055593C">
        <w:tc>
          <w:tcPr>
            <w:tcW w:w="0" w:type="auto"/>
          </w:tcPr>
          <w:p w14:paraId="49CC810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Number of Diseases (</w:t>
            </w:r>
            <w:proofErr w:type="spellStart"/>
            <w:r w:rsidRPr="00383FD9">
              <w:rPr>
                <w:rFonts w:asciiTheme="majorBidi" w:hAnsiTheme="majorBidi" w:cstheme="majorBidi"/>
              </w:rPr>
              <w:t>Sum_Var</w:t>
            </w:r>
            <w:proofErr w:type="spellEnd"/>
            <w:r w:rsidRPr="00383FD9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0" w:type="auto"/>
          </w:tcPr>
          <w:p w14:paraId="457E18EC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4.56</w:t>
            </w:r>
          </w:p>
        </w:tc>
        <w:tc>
          <w:tcPr>
            <w:tcW w:w="0" w:type="auto"/>
          </w:tcPr>
          <w:p w14:paraId="118EDE7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2.12 - 9.81</w:t>
            </w:r>
          </w:p>
        </w:tc>
        <w:tc>
          <w:tcPr>
            <w:tcW w:w="0" w:type="auto"/>
          </w:tcPr>
          <w:p w14:paraId="30FA499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&lt;0.001</w:t>
            </w:r>
          </w:p>
        </w:tc>
        <w:tc>
          <w:tcPr>
            <w:tcW w:w="0" w:type="auto"/>
          </w:tcPr>
          <w:p w14:paraId="0CE4DF3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0" w:type="auto"/>
          </w:tcPr>
          <w:p w14:paraId="4354533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1.45 - 5.76</w:t>
            </w:r>
          </w:p>
        </w:tc>
        <w:tc>
          <w:tcPr>
            <w:tcW w:w="0" w:type="auto"/>
          </w:tcPr>
          <w:p w14:paraId="150A3A9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0.003</w:t>
            </w:r>
          </w:p>
        </w:tc>
      </w:tr>
      <w:tr w:rsidR="00C1390D" w:rsidRPr="00383FD9" w14:paraId="1E7F0515" w14:textId="77777777" w:rsidTr="0055593C">
        <w:tc>
          <w:tcPr>
            <w:tcW w:w="0" w:type="auto"/>
          </w:tcPr>
          <w:p w14:paraId="0253BA6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Disease Duration (years)</w:t>
            </w:r>
          </w:p>
        </w:tc>
        <w:tc>
          <w:tcPr>
            <w:tcW w:w="0" w:type="auto"/>
          </w:tcPr>
          <w:p w14:paraId="61222EFF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1.08</w:t>
            </w:r>
          </w:p>
        </w:tc>
        <w:tc>
          <w:tcPr>
            <w:tcW w:w="0" w:type="auto"/>
          </w:tcPr>
          <w:p w14:paraId="7771CDF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1.01 - 1.15</w:t>
            </w:r>
          </w:p>
        </w:tc>
        <w:tc>
          <w:tcPr>
            <w:tcW w:w="0" w:type="auto"/>
          </w:tcPr>
          <w:p w14:paraId="63F7921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0.035</w:t>
            </w:r>
          </w:p>
        </w:tc>
        <w:tc>
          <w:tcPr>
            <w:tcW w:w="0" w:type="auto"/>
          </w:tcPr>
          <w:p w14:paraId="2BAB4A1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1.02</w:t>
            </w:r>
          </w:p>
        </w:tc>
        <w:tc>
          <w:tcPr>
            <w:tcW w:w="0" w:type="auto"/>
          </w:tcPr>
          <w:p w14:paraId="65469C9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0.98 - 1.06</w:t>
            </w:r>
          </w:p>
        </w:tc>
        <w:tc>
          <w:tcPr>
            <w:tcW w:w="0" w:type="auto"/>
          </w:tcPr>
          <w:p w14:paraId="60F1275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0.312</w:t>
            </w:r>
          </w:p>
        </w:tc>
      </w:tr>
      <w:tr w:rsidR="00C1390D" w:rsidRPr="00383FD9" w14:paraId="3E68D564" w14:textId="77777777" w:rsidTr="0055593C">
        <w:tc>
          <w:tcPr>
            <w:tcW w:w="0" w:type="auto"/>
          </w:tcPr>
          <w:p w14:paraId="09F2AD4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Unmarried Status</w:t>
            </w:r>
          </w:p>
        </w:tc>
        <w:tc>
          <w:tcPr>
            <w:tcW w:w="0" w:type="auto"/>
          </w:tcPr>
          <w:p w14:paraId="3DED5A0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0" w:type="auto"/>
          </w:tcPr>
          <w:p w14:paraId="55A46A7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1.02 - 8.19</w:t>
            </w:r>
          </w:p>
        </w:tc>
        <w:tc>
          <w:tcPr>
            <w:tcW w:w="0" w:type="auto"/>
          </w:tcPr>
          <w:p w14:paraId="1F95CEA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0.045</w:t>
            </w:r>
          </w:p>
        </w:tc>
        <w:tc>
          <w:tcPr>
            <w:tcW w:w="0" w:type="auto"/>
          </w:tcPr>
          <w:p w14:paraId="5125613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1.67</w:t>
            </w:r>
          </w:p>
        </w:tc>
        <w:tc>
          <w:tcPr>
            <w:tcW w:w="0" w:type="auto"/>
          </w:tcPr>
          <w:p w14:paraId="22103E1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0.67 - 4.15</w:t>
            </w:r>
          </w:p>
        </w:tc>
        <w:tc>
          <w:tcPr>
            <w:tcW w:w="0" w:type="auto"/>
          </w:tcPr>
          <w:p w14:paraId="642A1B5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0.271</w:t>
            </w:r>
          </w:p>
        </w:tc>
      </w:tr>
    </w:tbl>
    <w:p w14:paraId="6713F7D3" w14:textId="77777777" w:rsidR="00C1390D" w:rsidRPr="00383FD9" w:rsidRDefault="00C1390D" w:rsidP="00C1390D">
      <w:pPr>
        <w:pStyle w:val="FirstParagraph"/>
        <w:rPr>
          <w:rFonts w:asciiTheme="majorBidi" w:hAnsiTheme="majorBidi" w:cstheme="majorBidi"/>
        </w:rPr>
      </w:pPr>
      <w:bookmarkStart w:id="1" w:name="survival-analysis-kaplan-meier-results"/>
      <w:bookmarkStart w:id="2" w:name="_Hlk236944576"/>
      <w:r w:rsidRPr="00383FD9">
        <w:rPr>
          <w:rFonts w:asciiTheme="majorBidi" w:hAnsiTheme="majorBidi" w:cstheme="majorBidi"/>
        </w:rPr>
        <w:t>Table 16 presents the results of the Kaplan-Meier survival analysis, showing the cumulative probability of remaining free from severe anxiety over time. The median time to development of severe anxiety was 12 years (95% CI: 8.5-15.5 years).</w:t>
      </w:r>
    </w:p>
    <w:bookmarkEnd w:id="2"/>
    <w:p w14:paraId="04174B2C" w14:textId="77777777" w:rsidR="00C1390D" w:rsidRPr="00ED1280" w:rsidRDefault="00C1390D" w:rsidP="00C1390D">
      <w:pPr>
        <w:pStyle w:val="ab"/>
        <w:rPr>
          <w:rFonts w:asciiTheme="majorBidi" w:hAnsiTheme="majorBidi" w:cstheme="majorBidi"/>
          <w:sz w:val="24"/>
          <w:szCs w:val="28"/>
        </w:rPr>
      </w:pPr>
      <w:r w:rsidRPr="00ED1280">
        <w:rPr>
          <w:rFonts w:asciiTheme="majorBidi" w:hAnsiTheme="majorBidi" w:cstheme="majorBidi"/>
          <w:b/>
          <w:bCs/>
          <w:sz w:val="24"/>
          <w:szCs w:val="28"/>
        </w:rPr>
        <w:t>Table 16: Kaplan-Meier Survival Analysis - Cumulative Probability of Remaining Free from Severe Anxiety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296"/>
        <w:gridCol w:w="1469"/>
        <w:gridCol w:w="2729"/>
        <w:gridCol w:w="2606"/>
        <w:gridCol w:w="756"/>
      </w:tblGrid>
      <w:tr w:rsidR="00C1390D" w:rsidRPr="00383FD9" w14:paraId="0203804F" w14:textId="77777777" w:rsidTr="0055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0CAB919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lastRenderedPageBreak/>
              <w:t>Time (Years)</w:t>
            </w:r>
          </w:p>
        </w:tc>
        <w:tc>
          <w:tcPr>
            <w:tcW w:w="0" w:type="auto"/>
          </w:tcPr>
          <w:p w14:paraId="2CFCB64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Number at Risk</w:t>
            </w:r>
          </w:p>
        </w:tc>
        <w:tc>
          <w:tcPr>
            <w:tcW w:w="0" w:type="auto"/>
          </w:tcPr>
          <w:p w14:paraId="75E8AD2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Number of Events (Severe Anxiety)</w:t>
            </w:r>
          </w:p>
        </w:tc>
        <w:tc>
          <w:tcPr>
            <w:tcW w:w="0" w:type="auto"/>
          </w:tcPr>
          <w:p w14:paraId="7A46E32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Cumulative Survival Probability</w:t>
            </w:r>
          </w:p>
        </w:tc>
        <w:tc>
          <w:tcPr>
            <w:tcW w:w="0" w:type="auto"/>
          </w:tcPr>
          <w:p w14:paraId="0C85BF2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SE</w:t>
            </w:r>
          </w:p>
        </w:tc>
      </w:tr>
      <w:tr w:rsidR="00C1390D" w:rsidRPr="00383FD9" w14:paraId="51D2C0DF" w14:textId="77777777" w:rsidTr="0055593C">
        <w:tc>
          <w:tcPr>
            <w:tcW w:w="0" w:type="auto"/>
          </w:tcPr>
          <w:p w14:paraId="5B5E063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4120D8E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196</w:t>
            </w:r>
          </w:p>
        </w:tc>
        <w:tc>
          <w:tcPr>
            <w:tcW w:w="0" w:type="auto"/>
          </w:tcPr>
          <w:p w14:paraId="242CEE0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0" w:type="auto"/>
          </w:tcPr>
          <w:p w14:paraId="6AB37407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0.959</w:t>
            </w:r>
          </w:p>
        </w:tc>
        <w:tc>
          <w:tcPr>
            <w:tcW w:w="0" w:type="auto"/>
          </w:tcPr>
          <w:p w14:paraId="01771E5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0.014</w:t>
            </w:r>
          </w:p>
        </w:tc>
      </w:tr>
      <w:tr w:rsidR="00C1390D" w:rsidRPr="00383FD9" w14:paraId="68DF7E3A" w14:textId="77777777" w:rsidTr="0055593C">
        <w:tc>
          <w:tcPr>
            <w:tcW w:w="0" w:type="auto"/>
          </w:tcPr>
          <w:p w14:paraId="1D3E14B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71AE60E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175</w:t>
            </w:r>
          </w:p>
        </w:tc>
        <w:tc>
          <w:tcPr>
            <w:tcW w:w="0" w:type="auto"/>
          </w:tcPr>
          <w:p w14:paraId="49C8CB1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0" w:type="auto"/>
          </w:tcPr>
          <w:p w14:paraId="3723584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0.893</w:t>
            </w:r>
          </w:p>
        </w:tc>
        <w:tc>
          <w:tcPr>
            <w:tcW w:w="0" w:type="auto"/>
          </w:tcPr>
          <w:p w14:paraId="61FE03A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0.022</w:t>
            </w:r>
          </w:p>
        </w:tc>
      </w:tr>
      <w:tr w:rsidR="00C1390D" w:rsidRPr="00383FD9" w14:paraId="372250D3" w14:textId="77777777" w:rsidTr="0055593C">
        <w:tc>
          <w:tcPr>
            <w:tcW w:w="0" w:type="auto"/>
          </w:tcPr>
          <w:p w14:paraId="60FA5F5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0" w:type="auto"/>
          </w:tcPr>
          <w:p w14:paraId="0029935C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148</w:t>
            </w:r>
          </w:p>
        </w:tc>
        <w:tc>
          <w:tcPr>
            <w:tcW w:w="0" w:type="auto"/>
          </w:tcPr>
          <w:p w14:paraId="5606EDB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</w:tcPr>
          <w:p w14:paraId="62DA4F4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0.833</w:t>
            </w:r>
          </w:p>
        </w:tc>
        <w:tc>
          <w:tcPr>
            <w:tcW w:w="0" w:type="auto"/>
          </w:tcPr>
          <w:p w14:paraId="6C20888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0.027</w:t>
            </w:r>
          </w:p>
        </w:tc>
      </w:tr>
      <w:tr w:rsidR="00C1390D" w:rsidRPr="00383FD9" w14:paraId="21CFC267" w14:textId="77777777" w:rsidTr="0055593C">
        <w:tc>
          <w:tcPr>
            <w:tcW w:w="0" w:type="auto"/>
          </w:tcPr>
          <w:p w14:paraId="3A8387E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0" w:type="auto"/>
          </w:tcPr>
          <w:p w14:paraId="63011C7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0" w:type="auto"/>
          </w:tcPr>
          <w:p w14:paraId="3CAE6EA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0" w:type="auto"/>
          </w:tcPr>
          <w:p w14:paraId="0AD8D47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0.756</w:t>
            </w:r>
          </w:p>
        </w:tc>
        <w:tc>
          <w:tcPr>
            <w:tcW w:w="0" w:type="auto"/>
          </w:tcPr>
          <w:p w14:paraId="3B5AB49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0.033</w:t>
            </w:r>
          </w:p>
        </w:tc>
      </w:tr>
      <w:tr w:rsidR="00C1390D" w:rsidRPr="00383FD9" w14:paraId="33C67D06" w14:textId="77777777" w:rsidTr="0055593C">
        <w:tc>
          <w:tcPr>
            <w:tcW w:w="0" w:type="auto"/>
          </w:tcPr>
          <w:p w14:paraId="3A61BB5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0" w:type="auto"/>
          </w:tcPr>
          <w:p w14:paraId="525BDA5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0" w:type="auto"/>
          </w:tcPr>
          <w:p w14:paraId="28D4BD4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</w:tcPr>
          <w:p w14:paraId="046E666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0.716</w:t>
            </w:r>
          </w:p>
        </w:tc>
        <w:tc>
          <w:tcPr>
            <w:tcW w:w="0" w:type="auto"/>
          </w:tcPr>
          <w:p w14:paraId="1A5B187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0.039</w:t>
            </w:r>
          </w:p>
        </w:tc>
      </w:tr>
      <w:tr w:rsidR="00C1390D" w:rsidRPr="00383FD9" w14:paraId="1F54F006" w14:textId="77777777" w:rsidTr="0055593C">
        <w:tc>
          <w:tcPr>
            <w:tcW w:w="0" w:type="auto"/>
          </w:tcPr>
          <w:p w14:paraId="60B7295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0" w:type="auto"/>
          </w:tcPr>
          <w:p w14:paraId="6DB8F5F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0" w:type="auto"/>
          </w:tcPr>
          <w:p w14:paraId="6BC11A5C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6A1D319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0.694</w:t>
            </w:r>
          </w:p>
        </w:tc>
        <w:tc>
          <w:tcPr>
            <w:tcW w:w="0" w:type="auto"/>
          </w:tcPr>
          <w:p w14:paraId="7D040C3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0.043</w:t>
            </w:r>
          </w:p>
        </w:tc>
      </w:tr>
      <w:tr w:rsidR="00C1390D" w:rsidRPr="00383FD9" w14:paraId="79CBA80F" w14:textId="77777777" w:rsidTr="0055593C">
        <w:tc>
          <w:tcPr>
            <w:tcW w:w="0" w:type="auto"/>
          </w:tcPr>
          <w:p w14:paraId="1888D47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0" w:type="auto"/>
          </w:tcPr>
          <w:p w14:paraId="544AF11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0" w:type="auto"/>
          </w:tcPr>
          <w:p w14:paraId="5A0F7A0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0" w:type="auto"/>
          </w:tcPr>
          <w:p w14:paraId="1EC9891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0.694</w:t>
            </w:r>
          </w:p>
        </w:tc>
        <w:tc>
          <w:tcPr>
            <w:tcW w:w="0" w:type="auto"/>
          </w:tcPr>
          <w:p w14:paraId="349CADF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0.043</w:t>
            </w:r>
          </w:p>
        </w:tc>
      </w:tr>
    </w:tbl>
    <w:p w14:paraId="2159DCED" w14:textId="77777777" w:rsidR="00383FD9" w:rsidRDefault="00383FD9" w:rsidP="00C1390D">
      <w:pPr>
        <w:pStyle w:val="FirstParagraph"/>
        <w:rPr>
          <w:rFonts w:asciiTheme="majorBidi" w:hAnsiTheme="majorBidi" w:cstheme="majorBidi"/>
          <w:b/>
          <w:bCs/>
        </w:rPr>
      </w:pPr>
      <w:bookmarkStart w:id="3" w:name="log-rank-test-comparisons"/>
    </w:p>
    <w:p w14:paraId="0834D531" w14:textId="292C3E2C" w:rsidR="00C1390D" w:rsidRPr="00ED1280" w:rsidRDefault="00C1390D" w:rsidP="00C1390D">
      <w:pPr>
        <w:pStyle w:val="FirstParagraph"/>
        <w:rPr>
          <w:rFonts w:asciiTheme="majorBidi" w:hAnsiTheme="majorBidi" w:cstheme="majorBidi"/>
        </w:rPr>
      </w:pPr>
      <w:r w:rsidRPr="00ED1280">
        <w:rPr>
          <w:rFonts w:asciiTheme="majorBidi" w:hAnsiTheme="majorBidi" w:cstheme="majorBidi"/>
          <w:b/>
          <w:bCs/>
        </w:rPr>
        <w:t>Table 17: Log-Rank Test Comparing Survival Curves Between Groups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3989"/>
        <w:gridCol w:w="756"/>
        <w:gridCol w:w="416"/>
        <w:gridCol w:w="936"/>
      </w:tblGrid>
      <w:tr w:rsidR="00C1390D" w:rsidRPr="00383FD9" w14:paraId="49EEF557" w14:textId="77777777" w:rsidTr="0055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DE379D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Comparison</w:t>
            </w:r>
          </w:p>
        </w:tc>
        <w:tc>
          <w:tcPr>
            <w:tcW w:w="0" w:type="auto"/>
          </w:tcPr>
          <w:p w14:paraId="4AC5FA0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χ²</w:t>
            </w:r>
          </w:p>
        </w:tc>
        <w:tc>
          <w:tcPr>
            <w:tcW w:w="0" w:type="auto"/>
          </w:tcPr>
          <w:p w14:paraId="2816D9E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df</w:t>
            </w:r>
          </w:p>
        </w:tc>
        <w:tc>
          <w:tcPr>
            <w:tcW w:w="0" w:type="auto"/>
          </w:tcPr>
          <w:p w14:paraId="0FB2659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p-value</w:t>
            </w:r>
          </w:p>
        </w:tc>
      </w:tr>
      <w:tr w:rsidR="00C1390D" w:rsidRPr="00383FD9" w14:paraId="1D7F0436" w14:textId="77777777" w:rsidTr="0055593C">
        <w:tc>
          <w:tcPr>
            <w:tcW w:w="0" w:type="auto"/>
          </w:tcPr>
          <w:p w14:paraId="6F46F50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Males vs. Females</w:t>
            </w:r>
          </w:p>
        </w:tc>
        <w:tc>
          <w:tcPr>
            <w:tcW w:w="0" w:type="auto"/>
          </w:tcPr>
          <w:p w14:paraId="1031FE8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8.45</w:t>
            </w:r>
          </w:p>
        </w:tc>
        <w:tc>
          <w:tcPr>
            <w:tcW w:w="0" w:type="auto"/>
          </w:tcPr>
          <w:p w14:paraId="68FD7E4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5FE2DE8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0.004</w:t>
            </w:r>
          </w:p>
        </w:tc>
      </w:tr>
      <w:tr w:rsidR="00C1390D" w:rsidRPr="00383FD9" w14:paraId="639A8225" w14:textId="77777777" w:rsidTr="0055593C">
        <w:tc>
          <w:tcPr>
            <w:tcW w:w="0" w:type="auto"/>
          </w:tcPr>
          <w:p w14:paraId="2CD13D1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Kidney Disease vs. No Kidney Disease</w:t>
            </w:r>
          </w:p>
        </w:tc>
        <w:tc>
          <w:tcPr>
            <w:tcW w:w="0" w:type="auto"/>
          </w:tcPr>
          <w:p w14:paraId="7220B0E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12.34</w:t>
            </w:r>
          </w:p>
        </w:tc>
        <w:tc>
          <w:tcPr>
            <w:tcW w:w="0" w:type="auto"/>
          </w:tcPr>
          <w:p w14:paraId="6B2EA3A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7749C1B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&lt;0.001</w:t>
            </w:r>
          </w:p>
        </w:tc>
      </w:tr>
      <w:tr w:rsidR="00C1390D" w:rsidRPr="00383FD9" w14:paraId="2ACD4D04" w14:textId="77777777" w:rsidTr="0055593C">
        <w:tc>
          <w:tcPr>
            <w:tcW w:w="0" w:type="auto"/>
          </w:tcPr>
          <w:p w14:paraId="397FA37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Multiple Diseases vs. Single Disease</w:t>
            </w:r>
          </w:p>
        </w:tc>
        <w:tc>
          <w:tcPr>
            <w:tcW w:w="0" w:type="auto"/>
          </w:tcPr>
          <w:p w14:paraId="70AF579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15.67</w:t>
            </w:r>
          </w:p>
        </w:tc>
        <w:tc>
          <w:tcPr>
            <w:tcW w:w="0" w:type="auto"/>
          </w:tcPr>
          <w:p w14:paraId="11BFEE4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</w:tcPr>
          <w:p w14:paraId="0B252371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&lt;0.001</w:t>
            </w:r>
          </w:p>
        </w:tc>
      </w:tr>
    </w:tbl>
    <w:p w14:paraId="21105750" w14:textId="77777777" w:rsidR="00C1390D" w:rsidRPr="00383FD9" w:rsidRDefault="00C1390D" w:rsidP="00C1390D">
      <w:pPr>
        <w:pStyle w:val="310"/>
        <w:rPr>
          <w:rFonts w:asciiTheme="majorBidi" w:hAnsiTheme="majorBidi" w:cstheme="majorBidi"/>
        </w:rPr>
      </w:pPr>
      <w:bookmarkStart w:id="4" w:name="interpretation-1"/>
      <w:bookmarkEnd w:id="3"/>
      <w:r w:rsidRPr="00383FD9">
        <w:rPr>
          <w:rFonts w:asciiTheme="majorBidi" w:hAnsiTheme="majorBidi" w:cstheme="majorBidi"/>
        </w:rPr>
        <w:t>Interpretation:</w:t>
      </w:r>
    </w:p>
    <w:p w14:paraId="0AF26F22" w14:textId="77777777" w:rsidR="00C1390D" w:rsidRPr="00383FD9" w:rsidRDefault="00C1390D" w:rsidP="00C1390D">
      <w:pPr>
        <w:pStyle w:val="Compact"/>
        <w:numPr>
          <w:ilvl w:val="0"/>
          <w:numId w:val="10"/>
        </w:numPr>
        <w:tabs>
          <w:tab w:val="clear" w:pos="1080"/>
        </w:tabs>
        <w:ind w:left="720" w:hanging="480"/>
        <w:rPr>
          <w:rFonts w:asciiTheme="majorBidi" w:hAnsiTheme="majorBidi" w:cstheme="majorBidi"/>
        </w:rPr>
      </w:pPr>
      <w:bookmarkStart w:id="5" w:name="_Hlk236944603"/>
      <w:r w:rsidRPr="00383FD9">
        <w:rPr>
          <w:rFonts w:asciiTheme="majorBidi" w:hAnsiTheme="majorBidi" w:cstheme="majorBidi"/>
          <w:b/>
          <w:bCs/>
        </w:rPr>
        <w:t>Female participants</w:t>
      </w:r>
      <w:r w:rsidRPr="00383FD9">
        <w:rPr>
          <w:rFonts w:asciiTheme="majorBidi" w:hAnsiTheme="majorBidi" w:cstheme="majorBidi"/>
        </w:rPr>
        <w:t xml:space="preserve"> had significantly lower survival probabilities (i.e., developed severe anxiety earlier) compared to males (Log-rank p = 0.004).</w:t>
      </w:r>
    </w:p>
    <w:p w14:paraId="119E2161" w14:textId="77777777" w:rsidR="00C1390D" w:rsidRPr="00383FD9" w:rsidRDefault="00C1390D" w:rsidP="00C1390D">
      <w:pPr>
        <w:pStyle w:val="Compact"/>
        <w:numPr>
          <w:ilvl w:val="0"/>
          <w:numId w:val="10"/>
        </w:numPr>
        <w:tabs>
          <w:tab w:val="clear" w:pos="1080"/>
        </w:tabs>
        <w:ind w:left="720" w:hanging="480"/>
        <w:rPr>
          <w:rFonts w:asciiTheme="majorBidi" w:hAnsiTheme="majorBidi" w:cstheme="majorBidi"/>
        </w:rPr>
      </w:pPr>
      <w:r w:rsidRPr="00383FD9">
        <w:rPr>
          <w:rFonts w:asciiTheme="majorBidi" w:hAnsiTheme="majorBidi" w:cstheme="majorBidi"/>
          <w:b/>
          <w:bCs/>
        </w:rPr>
        <w:t>Participants with kidney disease</w:t>
      </w:r>
      <w:r w:rsidRPr="00383FD9">
        <w:rPr>
          <w:rFonts w:asciiTheme="majorBidi" w:hAnsiTheme="majorBidi" w:cstheme="majorBidi"/>
        </w:rPr>
        <w:t xml:space="preserve"> developed severe anxiety significantly earlier than those without kidney disease (Log-rank p &lt; 0.001).</w:t>
      </w:r>
    </w:p>
    <w:p w14:paraId="7A73384A" w14:textId="77777777" w:rsidR="00C1390D" w:rsidRPr="00383FD9" w:rsidRDefault="00C1390D" w:rsidP="00C1390D">
      <w:pPr>
        <w:pStyle w:val="Compact"/>
        <w:numPr>
          <w:ilvl w:val="0"/>
          <w:numId w:val="10"/>
        </w:numPr>
        <w:tabs>
          <w:tab w:val="clear" w:pos="1080"/>
        </w:tabs>
        <w:ind w:left="720" w:hanging="480"/>
        <w:rPr>
          <w:rFonts w:asciiTheme="majorBidi" w:hAnsiTheme="majorBidi" w:cstheme="majorBidi"/>
        </w:rPr>
      </w:pPr>
      <w:r w:rsidRPr="00383FD9">
        <w:rPr>
          <w:rFonts w:asciiTheme="majorBidi" w:hAnsiTheme="majorBidi" w:cstheme="majorBidi"/>
          <w:b/>
          <w:bCs/>
        </w:rPr>
        <w:t>Participants with multiple chronic diseases</w:t>
      </w:r>
      <w:r w:rsidRPr="00383FD9">
        <w:rPr>
          <w:rFonts w:asciiTheme="majorBidi" w:hAnsiTheme="majorBidi" w:cstheme="majorBidi"/>
        </w:rPr>
        <w:t xml:space="preserve"> developed severe anxiety significantly earlier than those with a single disease (Log-rank p &lt; 0.001).</w:t>
      </w:r>
    </w:p>
    <w:p w14:paraId="50AEC355" w14:textId="77777777" w:rsidR="00C1390D" w:rsidRPr="00383FD9" w:rsidRDefault="00C1390D" w:rsidP="00C1390D">
      <w:pPr>
        <w:pStyle w:val="FirstParagraph"/>
        <w:rPr>
          <w:rFonts w:asciiTheme="majorBidi" w:hAnsiTheme="majorBidi" w:cstheme="majorBidi"/>
        </w:rPr>
      </w:pPr>
      <w:bookmarkStart w:id="6" w:name="factor-analysis-of-gad-7-items"/>
      <w:bookmarkStart w:id="7" w:name="_Hlk236944623"/>
      <w:bookmarkEnd w:id="1"/>
      <w:bookmarkEnd w:id="4"/>
      <w:bookmarkEnd w:id="5"/>
      <w:r w:rsidRPr="00383FD9">
        <w:rPr>
          <w:rFonts w:asciiTheme="majorBidi" w:hAnsiTheme="majorBidi" w:cstheme="majorBidi"/>
        </w:rPr>
        <w:t>Table 18 presents the results of the exploratory factor analysis (EFA) conducted on the seven GAD-7 items. The analysis was appropriate for this data as indicated by the Kaiser-Meyer-Olkin (KMO) measure of sampling adequacy (KMO = 0.876, considered “meritorious”) and Bartlett’s test of sphericity (χ² = 456.78, df = 21, p &lt; 0.001).</w:t>
      </w:r>
    </w:p>
    <w:p w14:paraId="74E00E82" w14:textId="64C6C4D0" w:rsidR="006E668E" w:rsidRPr="00383FD9" w:rsidRDefault="00C1390D" w:rsidP="006E668E">
      <w:pPr>
        <w:pStyle w:val="ab"/>
        <w:jc w:val="both"/>
        <w:rPr>
          <w:rFonts w:asciiTheme="majorBidi" w:hAnsiTheme="majorBidi" w:cstheme="majorBidi"/>
          <w:sz w:val="22"/>
          <w:szCs w:val="24"/>
        </w:rPr>
      </w:pPr>
      <w:r w:rsidRPr="00383FD9">
        <w:rPr>
          <w:rFonts w:asciiTheme="majorBidi" w:hAnsiTheme="majorBidi" w:cstheme="majorBidi"/>
          <w:sz w:val="22"/>
          <w:szCs w:val="24"/>
        </w:rPr>
        <w:t xml:space="preserve">Two factors with eigenvalues greater than 1.0 were extracted, together explaining 71.6% of the total variance. After Varimax rotation, clear factor loadings were observed: * </w:t>
      </w:r>
      <w:r w:rsidRPr="00383FD9">
        <w:rPr>
          <w:rFonts w:asciiTheme="majorBidi" w:hAnsiTheme="majorBidi" w:cstheme="majorBidi"/>
          <w:b/>
          <w:bCs/>
          <w:sz w:val="22"/>
          <w:szCs w:val="24"/>
        </w:rPr>
        <w:t>Factor 1 (Somatic Anxiety - 41.3% of variance):</w:t>
      </w:r>
      <w:r w:rsidRPr="00383FD9">
        <w:rPr>
          <w:rFonts w:asciiTheme="majorBidi" w:hAnsiTheme="majorBidi" w:cstheme="majorBidi"/>
          <w:sz w:val="22"/>
          <w:szCs w:val="24"/>
        </w:rPr>
        <w:t xml:space="preserve"> Items related to physical symptoms of anxiety (GAD_4, GAD_5, GAD_6). * </w:t>
      </w:r>
      <w:r w:rsidRPr="00383FD9">
        <w:rPr>
          <w:rFonts w:asciiTheme="majorBidi" w:hAnsiTheme="majorBidi" w:cstheme="majorBidi"/>
          <w:b/>
          <w:bCs/>
          <w:sz w:val="22"/>
          <w:szCs w:val="24"/>
        </w:rPr>
        <w:t>Factor 2 (Psychological Anxiety - 30.3% of variance):</w:t>
      </w:r>
      <w:r w:rsidRPr="00383FD9">
        <w:rPr>
          <w:rFonts w:asciiTheme="majorBidi" w:hAnsiTheme="majorBidi" w:cstheme="majorBidi"/>
          <w:sz w:val="22"/>
          <w:szCs w:val="24"/>
        </w:rPr>
        <w:t xml:space="preserve"> Items related to cognitive and emotional symptoms (GAD_1, GAD_2, GAD_3, GAD_7).</w:t>
      </w:r>
      <w:bookmarkStart w:id="8" w:name="_Hlk236944689"/>
      <w:r w:rsidR="006E668E" w:rsidRPr="00383FD9">
        <w:rPr>
          <w:rFonts w:asciiTheme="majorBidi" w:hAnsiTheme="majorBidi" w:cstheme="majorBidi"/>
          <w:sz w:val="22"/>
          <w:szCs w:val="24"/>
        </w:rPr>
        <w:t xml:space="preserve"> Cronbach’s alpha for the total GAD-7 scale was 0.89, indicating excellent internal consistency. The subscales also demonstrated good internal consistency (Factor 1: α = 0.82; Factor 2: α = 0.86).</w:t>
      </w:r>
    </w:p>
    <w:bookmarkEnd w:id="7"/>
    <w:bookmarkEnd w:id="8"/>
    <w:p w14:paraId="1C44D940" w14:textId="77777777" w:rsidR="00C1390D" w:rsidRPr="00ED1280" w:rsidRDefault="00C1390D" w:rsidP="00C1390D">
      <w:pPr>
        <w:pStyle w:val="ab"/>
        <w:rPr>
          <w:rFonts w:asciiTheme="majorBidi" w:hAnsiTheme="majorBidi" w:cstheme="majorBidi"/>
          <w:sz w:val="24"/>
          <w:szCs w:val="28"/>
        </w:rPr>
      </w:pPr>
      <w:r w:rsidRPr="00ED1280">
        <w:rPr>
          <w:rFonts w:asciiTheme="majorBidi" w:hAnsiTheme="majorBidi" w:cstheme="majorBidi"/>
          <w:b/>
          <w:bCs/>
          <w:sz w:val="24"/>
          <w:szCs w:val="28"/>
        </w:rPr>
        <w:t>Table 18: Factor Loadings of GAD-7 Items After Varimax Rotation</w:t>
      </w: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4724"/>
        <w:gridCol w:w="1786"/>
        <w:gridCol w:w="2346"/>
      </w:tblGrid>
      <w:tr w:rsidR="00C1390D" w:rsidRPr="00383FD9" w14:paraId="6B7B4842" w14:textId="77777777" w:rsidTr="005559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84F30B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GAD-7 Item</w:t>
            </w:r>
          </w:p>
        </w:tc>
        <w:tc>
          <w:tcPr>
            <w:tcW w:w="0" w:type="auto"/>
          </w:tcPr>
          <w:p w14:paraId="310D76E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Factor 1 (Somatic)</w:t>
            </w:r>
          </w:p>
        </w:tc>
        <w:tc>
          <w:tcPr>
            <w:tcW w:w="0" w:type="auto"/>
          </w:tcPr>
          <w:p w14:paraId="6C96AD17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Factor 2 (Psychological)</w:t>
            </w:r>
          </w:p>
        </w:tc>
      </w:tr>
      <w:tr w:rsidR="00C1390D" w:rsidRPr="00383FD9" w14:paraId="6AB41D3F" w14:textId="77777777" w:rsidTr="0055593C">
        <w:tc>
          <w:tcPr>
            <w:tcW w:w="0" w:type="auto"/>
          </w:tcPr>
          <w:p w14:paraId="7390046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GAD_1: Feeling nervous, anxious, or on edge</w:t>
            </w:r>
          </w:p>
        </w:tc>
        <w:tc>
          <w:tcPr>
            <w:tcW w:w="0" w:type="auto"/>
          </w:tcPr>
          <w:p w14:paraId="77051FE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0.156</w:t>
            </w:r>
          </w:p>
        </w:tc>
        <w:tc>
          <w:tcPr>
            <w:tcW w:w="0" w:type="auto"/>
          </w:tcPr>
          <w:p w14:paraId="1AA5EE4F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0.823</w:t>
            </w:r>
          </w:p>
        </w:tc>
      </w:tr>
      <w:tr w:rsidR="00C1390D" w:rsidRPr="00383FD9" w14:paraId="0940F99C" w14:textId="77777777" w:rsidTr="0055593C">
        <w:tc>
          <w:tcPr>
            <w:tcW w:w="0" w:type="auto"/>
          </w:tcPr>
          <w:p w14:paraId="1AD2DDD8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lastRenderedPageBreak/>
              <w:t>GAD_2: Not able to stop or control worrying</w:t>
            </w:r>
          </w:p>
        </w:tc>
        <w:tc>
          <w:tcPr>
            <w:tcW w:w="0" w:type="auto"/>
          </w:tcPr>
          <w:p w14:paraId="269566C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0.234</w:t>
            </w:r>
          </w:p>
        </w:tc>
        <w:tc>
          <w:tcPr>
            <w:tcW w:w="0" w:type="auto"/>
          </w:tcPr>
          <w:p w14:paraId="4C94F327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0.789</w:t>
            </w:r>
          </w:p>
        </w:tc>
      </w:tr>
      <w:tr w:rsidR="00C1390D" w:rsidRPr="00383FD9" w14:paraId="58D62248" w14:textId="77777777" w:rsidTr="0055593C">
        <w:tc>
          <w:tcPr>
            <w:tcW w:w="0" w:type="auto"/>
          </w:tcPr>
          <w:p w14:paraId="1CB4925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GAD_3: Worrying too much about different things</w:t>
            </w:r>
          </w:p>
        </w:tc>
        <w:tc>
          <w:tcPr>
            <w:tcW w:w="0" w:type="auto"/>
          </w:tcPr>
          <w:p w14:paraId="565FD89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0.178</w:t>
            </w:r>
          </w:p>
        </w:tc>
        <w:tc>
          <w:tcPr>
            <w:tcW w:w="0" w:type="auto"/>
          </w:tcPr>
          <w:p w14:paraId="36042A4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0.801</w:t>
            </w:r>
          </w:p>
        </w:tc>
      </w:tr>
      <w:tr w:rsidR="00C1390D" w:rsidRPr="00383FD9" w14:paraId="249A3D11" w14:textId="77777777" w:rsidTr="0055593C">
        <w:tc>
          <w:tcPr>
            <w:tcW w:w="0" w:type="auto"/>
          </w:tcPr>
          <w:p w14:paraId="29EE0B1C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GAD_4: Trouble relaxing</w:t>
            </w:r>
          </w:p>
        </w:tc>
        <w:tc>
          <w:tcPr>
            <w:tcW w:w="0" w:type="auto"/>
          </w:tcPr>
          <w:p w14:paraId="2C2CFAAE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0.712</w:t>
            </w:r>
          </w:p>
        </w:tc>
        <w:tc>
          <w:tcPr>
            <w:tcW w:w="0" w:type="auto"/>
          </w:tcPr>
          <w:p w14:paraId="54999FF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0.234</w:t>
            </w:r>
          </w:p>
        </w:tc>
      </w:tr>
      <w:tr w:rsidR="00C1390D" w:rsidRPr="00383FD9" w14:paraId="620EE9DD" w14:textId="77777777" w:rsidTr="0055593C">
        <w:tc>
          <w:tcPr>
            <w:tcW w:w="0" w:type="auto"/>
          </w:tcPr>
          <w:p w14:paraId="4C257E7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GAD_5: Being restless (hard to sit still)</w:t>
            </w:r>
          </w:p>
        </w:tc>
        <w:tc>
          <w:tcPr>
            <w:tcW w:w="0" w:type="auto"/>
          </w:tcPr>
          <w:p w14:paraId="55711AB4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0.698</w:t>
            </w:r>
          </w:p>
        </w:tc>
        <w:tc>
          <w:tcPr>
            <w:tcW w:w="0" w:type="auto"/>
          </w:tcPr>
          <w:p w14:paraId="6F1A612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0.189</w:t>
            </w:r>
          </w:p>
        </w:tc>
      </w:tr>
      <w:tr w:rsidR="00C1390D" w:rsidRPr="00383FD9" w14:paraId="0CF0ECAD" w14:textId="77777777" w:rsidTr="0055593C">
        <w:tc>
          <w:tcPr>
            <w:tcW w:w="0" w:type="auto"/>
          </w:tcPr>
          <w:p w14:paraId="712EC07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GAD_6: Becoming easily annoyed or irritable</w:t>
            </w:r>
          </w:p>
        </w:tc>
        <w:tc>
          <w:tcPr>
            <w:tcW w:w="0" w:type="auto"/>
          </w:tcPr>
          <w:p w14:paraId="299B6942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0.745</w:t>
            </w:r>
          </w:p>
        </w:tc>
        <w:tc>
          <w:tcPr>
            <w:tcW w:w="0" w:type="auto"/>
          </w:tcPr>
          <w:p w14:paraId="4A21C78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0.212</w:t>
            </w:r>
          </w:p>
        </w:tc>
      </w:tr>
      <w:tr w:rsidR="00C1390D" w:rsidRPr="00383FD9" w14:paraId="2AF34A8D" w14:textId="77777777" w:rsidTr="0055593C">
        <w:tc>
          <w:tcPr>
            <w:tcW w:w="0" w:type="auto"/>
          </w:tcPr>
          <w:p w14:paraId="11B45FC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GAD_7: Feeling afraid as if something awful might happen</w:t>
            </w:r>
          </w:p>
        </w:tc>
        <w:tc>
          <w:tcPr>
            <w:tcW w:w="0" w:type="auto"/>
          </w:tcPr>
          <w:p w14:paraId="4FCAE7E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0.345</w:t>
            </w:r>
          </w:p>
        </w:tc>
        <w:tc>
          <w:tcPr>
            <w:tcW w:w="0" w:type="auto"/>
          </w:tcPr>
          <w:p w14:paraId="362E580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0.678</w:t>
            </w:r>
          </w:p>
        </w:tc>
      </w:tr>
      <w:tr w:rsidR="00C1390D" w:rsidRPr="00383FD9" w14:paraId="678A6FAD" w14:textId="77777777" w:rsidTr="0055593C">
        <w:tc>
          <w:tcPr>
            <w:tcW w:w="0" w:type="auto"/>
          </w:tcPr>
          <w:p w14:paraId="527FC66F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  <w:b/>
                <w:bCs/>
              </w:rPr>
              <w:t>Eigenvalue</w:t>
            </w:r>
          </w:p>
        </w:tc>
        <w:tc>
          <w:tcPr>
            <w:tcW w:w="0" w:type="auto"/>
          </w:tcPr>
          <w:p w14:paraId="0AEC678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2.89</w:t>
            </w:r>
          </w:p>
        </w:tc>
        <w:tc>
          <w:tcPr>
            <w:tcW w:w="0" w:type="auto"/>
          </w:tcPr>
          <w:p w14:paraId="2A4D0375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2.12</w:t>
            </w:r>
          </w:p>
        </w:tc>
      </w:tr>
      <w:tr w:rsidR="00C1390D" w:rsidRPr="00383FD9" w14:paraId="1F2740F2" w14:textId="77777777" w:rsidTr="0055593C">
        <w:tc>
          <w:tcPr>
            <w:tcW w:w="0" w:type="auto"/>
          </w:tcPr>
          <w:p w14:paraId="44EB275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  <w:b/>
                <w:bCs/>
              </w:rPr>
              <w:t>Variance Explained (%)</w:t>
            </w:r>
          </w:p>
        </w:tc>
        <w:tc>
          <w:tcPr>
            <w:tcW w:w="0" w:type="auto"/>
          </w:tcPr>
          <w:p w14:paraId="0C506F13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41.3%</w:t>
            </w:r>
          </w:p>
        </w:tc>
        <w:tc>
          <w:tcPr>
            <w:tcW w:w="0" w:type="auto"/>
          </w:tcPr>
          <w:p w14:paraId="04C1F02A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30.3%</w:t>
            </w:r>
          </w:p>
        </w:tc>
      </w:tr>
      <w:tr w:rsidR="00C1390D" w:rsidRPr="00383FD9" w14:paraId="734B88EC" w14:textId="77777777" w:rsidTr="0055593C">
        <w:tc>
          <w:tcPr>
            <w:tcW w:w="0" w:type="auto"/>
          </w:tcPr>
          <w:p w14:paraId="3FF3348B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  <w:b/>
                <w:bCs/>
              </w:rPr>
              <w:t>Cumulative Variance (%)</w:t>
            </w:r>
          </w:p>
        </w:tc>
        <w:tc>
          <w:tcPr>
            <w:tcW w:w="0" w:type="auto"/>
          </w:tcPr>
          <w:p w14:paraId="70338DE9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41.3%</w:t>
            </w:r>
          </w:p>
        </w:tc>
        <w:tc>
          <w:tcPr>
            <w:tcW w:w="0" w:type="auto"/>
          </w:tcPr>
          <w:p w14:paraId="04D8268C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71.6%</w:t>
            </w:r>
          </w:p>
        </w:tc>
      </w:tr>
      <w:tr w:rsidR="00C1390D" w:rsidRPr="00383FD9" w14:paraId="1BD594AF" w14:textId="77777777" w:rsidTr="0055593C">
        <w:tc>
          <w:tcPr>
            <w:tcW w:w="0" w:type="auto"/>
          </w:tcPr>
          <w:p w14:paraId="33D0AB30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  <w:b/>
                <w:bCs/>
              </w:rPr>
              <w:t>Cronbach’s α</w:t>
            </w:r>
          </w:p>
        </w:tc>
        <w:tc>
          <w:tcPr>
            <w:tcW w:w="0" w:type="auto"/>
          </w:tcPr>
          <w:p w14:paraId="6744282D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0.82</w:t>
            </w:r>
          </w:p>
        </w:tc>
        <w:tc>
          <w:tcPr>
            <w:tcW w:w="0" w:type="auto"/>
          </w:tcPr>
          <w:p w14:paraId="3CC63B16" w14:textId="77777777" w:rsidR="00C1390D" w:rsidRPr="00383FD9" w:rsidRDefault="00C1390D" w:rsidP="0055593C">
            <w:pPr>
              <w:pStyle w:val="Compact"/>
              <w:rPr>
                <w:rFonts w:asciiTheme="majorBidi" w:hAnsiTheme="majorBidi" w:cstheme="majorBidi"/>
              </w:rPr>
            </w:pPr>
            <w:r w:rsidRPr="00383FD9">
              <w:rPr>
                <w:rFonts w:asciiTheme="majorBidi" w:hAnsiTheme="majorBidi" w:cstheme="majorBidi"/>
              </w:rPr>
              <w:t>0.86</w:t>
            </w:r>
          </w:p>
        </w:tc>
      </w:tr>
    </w:tbl>
    <w:p w14:paraId="5E95EB6E" w14:textId="00590949" w:rsidR="00C1390D" w:rsidRPr="00383FD9" w:rsidRDefault="00C1390D" w:rsidP="00C1390D">
      <w:pPr>
        <w:pStyle w:val="FirstParagraph"/>
        <w:rPr>
          <w:rFonts w:asciiTheme="majorBidi" w:hAnsiTheme="majorBidi" w:cstheme="majorBidi"/>
        </w:rPr>
      </w:pPr>
      <w:bookmarkStart w:id="9" w:name="X8eed22312510ea5eb949896bafc66f55e7be7ae"/>
      <w:bookmarkEnd w:id="6"/>
      <w:bookmarkEnd w:id="9"/>
    </w:p>
    <w:sectPr w:rsidR="00C1390D" w:rsidRPr="00383F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1" w15:restartNumberingAfterBreak="0">
    <w:nsid w:val="00000002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0000007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8BC03F9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B76"/>
    <w:rsid w:val="00383FD9"/>
    <w:rsid w:val="005C5B99"/>
    <w:rsid w:val="00610B76"/>
    <w:rsid w:val="006E668E"/>
    <w:rsid w:val="00820AAF"/>
    <w:rsid w:val="008B2FDA"/>
    <w:rsid w:val="00C1390D"/>
    <w:rsid w:val="00E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A578865"/>
  <w15:docId w15:val="{53AF4414-CBB7-4C4F-849D-94441EF7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Arial" w:hAnsi="Arial"/>
      <w:sz w:val="20"/>
    </w:rPr>
  </w:style>
  <w:style w:type="paragraph" w:styleId="1">
    <w:name w:val="heading 1"/>
    <w:basedOn w:val="a1"/>
    <w:next w:val="a1"/>
    <w:link w:val="1Char"/>
    <w:uiPriority w:val="9"/>
    <w:qFormat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7">
    <w:name w:val="heading 7"/>
    <w:basedOn w:val="a1"/>
    <w:next w:val="a1"/>
    <w:link w:val="7Char"/>
    <w:uiPriority w:val="9"/>
    <w:qFormat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8">
    <w:name w:val="heading 8"/>
    <w:basedOn w:val="a1"/>
    <w:next w:val="a1"/>
    <w:link w:val="8Char"/>
    <w:uiPriority w:val="9"/>
    <w:qFormat/>
    <w:pPr>
      <w:keepNext/>
      <w:keepLines/>
      <w:spacing w:before="200" w:after="0"/>
      <w:outlineLvl w:val="7"/>
    </w:pPr>
    <w:rPr>
      <w:rFonts w:ascii="Calibri" w:eastAsia="MS Gothic" w:hAnsi="Calibri"/>
      <w:color w:val="4F81BD"/>
      <w:szCs w:val="20"/>
    </w:rPr>
  </w:style>
  <w:style w:type="paragraph" w:styleId="9">
    <w:name w:val="heading 9"/>
    <w:basedOn w:val="a1"/>
    <w:next w:val="a1"/>
    <w:link w:val="9Char"/>
    <w:uiPriority w:val="9"/>
    <w:qFormat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</w:style>
  <w:style w:type="paragraph" w:styleId="a6">
    <w:name w:val="footer"/>
    <w:basedOn w:val="a1"/>
    <w:link w:val="Char0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Pr>
      <w:rFonts w:ascii="Calibri" w:eastAsia="MS Gothic" w:hAnsi="Calibri" w:cs="SimSun"/>
      <w:b/>
      <w:bCs/>
      <w:color w:val="365F91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Pr>
      <w:rFonts w:ascii="Calibri" w:eastAsia="MS Gothic" w:hAnsi="Calibri" w:cs="SimSun"/>
      <w:b/>
      <w:bCs/>
      <w:color w:val="4F81BD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Pr>
      <w:rFonts w:ascii="Calibri" w:eastAsia="MS Gothic" w:hAnsi="Calibri" w:cs="SimSun"/>
      <w:b/>
      <w:bCs/>
      <w:color w:val="4F81BD"/>
    </w:rPr>
  </w:style>
  <w:style w:type="paragraph" w:styleId="a8">
    <w:name w:val="Title"/>
    <w:basedOn w:val="a1"/>
    <w:next w:val="a1"/>
    <w:link w:val="Char1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Pr>
      <w:rFonts w:ascii="Calibri" w:eastAsia="MS Gothic" w:hAnsi="Calibri" w:cs="SimSun"/>
      <w:color w:val="17365D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Pr>
      <w:rFonts w:ascii="Calibri" w:eastAsia="MS Gothic" w:hAnsi="Calibri" w:cs="SimSun"/>
      <w:i/>
      <w:iCs/>
      <w:color w:val="4F81BD"/>
      <w:spacing w:val="15"/>
      <w:sz w:val="24"/>
      <w:szCs w:val="24"/>
    </w:rPr>
  </w:style>
  <w:style w:type="paragraph" w:styleId="aa">
    <w:name w:val="List Paragraph"/>
    <w:basedOn w:val="a1"/>
    <w:uiPriority w:val="34"/>
    <w:qFormat/>
    <w:pPr>
      <w:ind w:left="720"/>
      <w:contextualSpacing/>
    </w:pPr>
  </w:style>
  <w:style w:type="paragraph" w:styleId="ab">
    <w:name w:val="Body Text"/>
    <w:basedOn w:val="a1"/>
    <w:link w:val="Char3"/>
    <w:uiPriority w:val="99"/>
    <w:pPr>
      <w:spacing w:after="120"/>
    </w:pPr>
  </w:style>
  <w:style w:type="character" w:customStyle="1" w:styleId="Char3">
    <w:name w:val="نص أساسي Char"/>
    <w:basedOn w:val="a2"/>
    <w:link w:val="ab"/>
    <w:uiPriority w:val="99"/>
  </w:style>
  <w:style w:type="paragraph" w:styleId="22">
    <w:name w:val="Body Text 2"/>
    <w:basedOn w:val="a1"/>
    <w:link w:val="2Char0"/>
    <w:uiPriority w:val="99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</w:style>
  <w:style w:type="paragraph" w:styleId="32">
    <w:name w:val="Body Text 3"/>
    <w:basedOn w:val="a1"/>
    <w:link w:val="3Char0"/>
    <w:uiPriority w:val="99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Pr>
      <w:sz w:val="16"/>
      <w:szCs w:val="16"/>
    </w:rPr>
  </w:style>
  <w:style w:type="paragraph" w:styleId="ac">
    <w:name w:val="List"/>
    <w:basedOn w:val="a1"/>
    <w:uiPriority w:val="99"/>
    <w:pPr>
      <w:ind w:left="360" w:hanging="360"/>
      <w:contextualSpacing/>
    </w:pPr>
  </w:style>
  <w:style w:type="paragraph" w:styleId="23">
    <w:name w:val="List 2"/>
    <w:basedOn w:val="a1"/>
    <w:uiPriority w:val="99"/>
    <w:pPr>
      <w:ind w:left="720" w:hanging="360"/>
      <w:contextualSpacing/>
    </w:pPr>
  </w:style>
  <w:style w:type="paragraph" w:styleId="33">
    <w:name w:val="List 3"/>
    <w:basedOn w:val="a1"/>
    <w:uiPriority w:val="99"/>
    <w:pPr>
      <w:ind w:left="1080" w:hanging="360"/>
      <w:contextualSpacing/>
    </w:pPr>
  </w:style>
  <w:style w:type="paragraph" w:styleId="a0">
    <w:name w:val="List Bullet"/>
    <w:basedOn w:val="a1"/>
    <w:uiPriority w:val="9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pPr>
      <w:numPr>
        <w:numId w:val="3"/>
      </w:numPr>
      <w:contextualSpacing/>
    </w:pPr>
  </w:style>
  <w:style w:type="paragraph" w:styleId="a">
    <w:name w:val="List Number"/>
    <w:basedOn w:val="a1"/>
    <w:uiPriority w:val="99"/>
    <w:pPr>
      <w:numPr>
        <w:numId w:val="4"/>
      </w:numPr>
      <w:contextualSpacing/>
    </w:pPr>
  </w:style>
  <w:style w:type="paragraph" w:styleId="2">
    <w:name w:val="List Number 2"/>
    <w:basedOn w:val="a1"/>
    <w:uiPriority w:val="99"/>
    <w:pPr>
      <w:numPr>
        <w:numId w:val="5"/>
      </w:numPr>
      <w:contextualSpacing/>
    </w:pPr>
  </w:style>
  <w:style w:type="paragraph" w:styleId="3">
    <w:name w:val="List Number 3"/>
    <w:basedOn w:val="a1"/>
    <w:uiPriority w:val="99"/>
    <w:pPr>
      <w:numPr>
        <w:numId w:val="6"/>
      </w:numPr>
      <w:contextualSpacing/>
    </w:pPr>
  </w:style>
  <w:style w:type="paragraph" w:styleId="ad">
    <w:name w:val="List Continue"/>
    <w:basedOn w:val="a1"/>
    <w:uiPriority w:val="99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pPr>
      <w:spacing w:after="120"/>
      <w:ind w:left="1080"/>
      <w:contextualSpacing/>
    </w:pPr>
  </w:style>
  <w:style w:type="paragraph" w:styleId="ae">
    <w:name w:val="macro"/>
    <w:link w:val="Char4"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Pr>
      <w:i/>
      <w:iCs/>
      <w:color w:val="000000"/>
    </w:rPr>
  </w:style>
  <w:style w:type="character" w:customStyle="1" w:styleId="Char5">
    <w:name w:val="اقتباس Char"/>
    <w:basedOn w:val="a2"/>
    <w:link w:val="af"/>
    <w:uiPriority w:val="29"/>
    <w:rPr>
      <w:i/>
      <w:iCs/>
      <w:color w:val="000000"/>
    </w:rPr>
  </w:style>
  <w:style w:type="character" w:customStyle="1" w:styleId="4Char">
    <w:name w:val="عنوان 4 Char"/>
    <w:basedOn w:val="a2"/>
    <w:link w:val="4"/>
    <w:uiPriority w:val="9"/>
    <w:rPr>
      <w:rFonts w:ascii="Calibri" w:eastAsia="MS Gothic" w:hAnsi="Calibri" w:cs="SimSun"/>
      <w:b/>
      <w:bCs/>
      <w:i/>
      <w:iCs/>
      <w:color w:val="4F81BD"/>
    </w:rPr>
  </w:style>
  <w:style w:type="character" w:customStyle="1" w:styleId="5Char">
    <w:name w:val="عنوان 5 Char"/>
    <w:basedOn w:val="a2"/>
    <w:link w:val="5"/>
    <w:uiPriority w:val="9"/>
    <w:rPr>
      <w:rFonts w:ascii="Calibri" w:eastAsia="MS Gothic" w:hAnsi="Calibri" w:cs="SimSun"/>
      <w:color w:val="243F60"/>
    </w:rPr>
  </w:style>
  <w:style w:type="character" w:customStyle="1" w:styleId="6Char">
    <w:name w:val="عنوان 6 Char"/>
    <w:basedOn w:val="a2"/>
    <w:link w:val="6"/>
    <w:uiPriority w:val="9"/>
    <w:rPr>
      <w:rFonts w:ascii="Calibri" w:eastAsia="MS Gothic" w:hAnsi="Calibri" w:cs="SimSun"/>
      <w:i/>
      <w:iCs/>
      <w:color w:val="243F60"/>
    </w:rPr>
  </w:style>
  <w:style w:type="character" w:customStyle="1" w:styleId="7Char">
    <w:name w:val="عنوان 7 Char"/>
    <w:basedOn w:val="a2"/>
    <w:link w:val="7"/>
    <w:uiPriority w:val="9"/>
    <w:rPr>
      <w:rFonts w:ascii="Calibri" w:eastAsia="MS Gothic" w:hAnsi="Calibri" w:cs="SimSun"/>
      <w:i/>
      <w:iCs/>
      <w:color w:val="404040"/>
    </w:rPr>
  </w:style>
  <w:style w:type="character" w:customStyle="1" w:styleId="8Char">
    <w:name w:val="عنوان 8 Char"/>
    <w:basedOn w:val="a2"/>
    <w:link w:val="8"/>
    <w:uiPriority w:val="9"/>
    <w:rPr>
      <w:rFonts w:ascii="Calibri" w:eastAsia="MS Gothic" w:hAnsi="Calibri" w:cs="SimSun"/>
      <w:color w:val="4F81BD"/>
      <w:sz w:val="20"/>
      <w:szCs w:val="20"/>
    </w:rPr>
  </w:style>
  <w:style w:type="character" w:customStyle="1" w:styleId="9Char">
    <w:name w:val="عنوان 9 Char"/>
    <w:basedOn w:val="a2"/>
    <w:link w:val="9"/>
    <w:uiPriority w:val="9"/>
    <w:rPr>
      <w:rFonts w:ascii="Calibri" w:eastAsia="MS Gothic" w:hAnsi="Calibri" w:cs="SimSun"/>
      <w:i/>
      <w:iCs/>
      <w:color w:val="404040"/>
      <w:sz w:val="20"/>
      <w:szCs w:val="20"/>
    </w:rPr>
  </w:style>
  <w:style w:type="paragraph" w:styleId="af0">
    <w:name w:val="caption"/>
    <w:basedOn w:val="a1"/>
    <w:next w:val="a1"/>
    <w:uiPriority w:val="35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2"/>
    <w:uiPriority w:val="22"/>
    <w:qFormat/>
    <w:rPr>
      <w:b/>
      <w:bCs/>
    </w:rPr>
  </w:style>
  <w:style w:type="character" w:styleId="af2">
    <w:name w:val="Emphasis"/>
    <w:basedOn w:val="a2"/>
    <w:uiPriority w:val="20"/>
    <w:qFormat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اقتباس مكثف Char"/>
    <w:basedOn w:val="a2"/>
    <w:link w:val="af3"/>
    <w:uiPriority w:val="30"/>
    <w:rPr>
      <w:b/>
      <w:bCs/>
      <w:i/>
      <w:iCs/>
      <w:color w:val="4F81BD"/>
    </w:rPr>
  </w:style>
  <w:style w:type="character" w:styleId="af4">
    <w:name w:val="Subtle Emphasis"/>
    <w:basedOn w:val="a2"/>
    <w:uiPriority w:val="19"/>
    <w:qFormat/>
    <w:rPr>
      <w:i/>
      <w:iCs/>
      <w:color w:val="808080"/>
    </w:rPr>
  </w:style>
  <w:style w:type="character" w:styleId="af5">
    <w:name w:val="Intense Emphasis"/>
    <w:basedOn w:val="a2"/>
    <w:uiPriority w:val="21"/>
    <w:qFormat/>
    <w:rPr>
      <w:b/>
      <w:bCs/>
      <w:i/>
      <w:iCs/>
      <w:color w:val="4F81BD"/>
    </w:rPr>
  </w:style>
  <w:style w:type="character" w:styleId="af6">
    <w:name w:val="Subtle Reference"/>
    <w:basedOn w:val="a2"/>
    <w:uiPriority w:val="31"/>
    <w:qFormat/>
    <w:rPr>
      <w:smallCaps/>
      <w:color w:val="C0504D"/>
      <w:u w:val="single"/>
    </w:rPr>
  </w:style>
  <w:style w:type="character" w:styleId="af7">
    <w:name w:val="Intense Reference"/>
    <w:basedOn w:val="a2"/>
    <w:uiPriority w:val="32"/>
    <w:qFormat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2"/>
    <w:uiPriority w:val="33"/>
    <w:qFormat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qFormat/>
    <w:pPr>
      <w:outlineLvl w:val="9"/>
    </w:pPr>
  </w:style>
  <w:style w:type="table" w:styleId="afa">
    <w:name w:val="Table Grid"/>
    <w:basedOn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pPr>
      <w:spacing w:after="0" w:line="240" w:lineRule="auto"/>
    </w:pPr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pPr>
      <w:spacing w:after="0" w:line="240" w:lineRule="auto"/>
    </w:pPr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pPr>
      <w:spacing w:after="0" w:line="240" w:lineRule="auto"/>
    </w:pPr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c">
    <w:name w:val="Light List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d">
    <w:name w:val="Light Grid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1">
    <w:name w:val="Light Grid Accent 4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1">
    <w:name w:val="Light Grid Accent 5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1">
    <w:name w:val="Light Grid Accent 6"/>
    <w:basedOn w:val="a3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SimSu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SimSun"/>
        <w:b/>
        <w:bCs/>
      </w:rPr>
    </w:tblStylePr>
    <w:tblStylePr w:type="lastCol">
      <w:rPr>
        <w:rFonts w:ascii="Calibri" w:eastAsia="MS Gothic" w:hAnsi="Calibri" w:cs="SimSu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0">
    <w:name w:val="Medium Shading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SimSu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6">
    <w:name w:val="Medium List 2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7">
    <w:name w:val="Medium Grid 2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pPr>
      <w:spacing w:after="0" w:line="240" w:lineRule="auto"/>
    </w:pPr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e">
    <w:name w:val="Dark List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000000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F81BD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C0504D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9BBB59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8064A2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4BACC6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pPr>
      <w:spacing w:after="0" w:line="240" w:lineRule="auto"/>
    </w:pPr>
    <w:rPr>
      <w:color w:val="FFFFFF"/>
    </w:rPr>
    <w:tblPr>
      <w:tblStyleRowBandSize w:val="1"/>
      <w:tblStyleColBandSize w:val="1"/>
      <w:shd w:val="clear" w:color="auto" w:fill="F79646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">
    <w:name w:val="Colorful Shading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0">
    <w:name w:val="Colorful List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6E6E6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2F8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8EDED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5F8EE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2EFF6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EDF6F9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pPr>
      <w:spacing w:after="0" w:line="240" w:lineRule="auto"/>
    </w:pPr>
    <w:rPr>
      <w:color w:val="000000"/>
    </w:rPr>
    <w:tblPr>
      <w:tblStyleRowBandSize w:val="1"/>
      <w:tblStyleColBandSize w:val="1"/>
      <w:shd w:val="clear" w:color="auto" w:fill="FEF4EC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1">
    <w:name w:val="Colorful Grid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CCCCCC"/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BE5F1"/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2DBDB"/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AF1DD"/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E5DFEC"/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DAEEF3"/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  <w:shd w:val="clear" w:color="auto" w:fill="FDE9D9"/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FirstParagraph">
    <w:name w:val="First Paragraph"/>
    <w:basedOn w:val="ab"/>
    <w:next w:val="ab"/>
    <w:qFormat/>
    <w:rsid w:val="00C1390D"/>
    <w:pPr>
      <w:spacing w:before="180" w:after="180" w:line="240" w:lineRule="auto"/>
    </w:pPr>
    <w:rPr>
      <w:rFonts w:ascii="Cambria" w:eastAsia="Cambria" w:hAnsi="Cambria"/>
      <w:sz w:val="24"/>
      <w:szCs w:val="24"/>
    </w:rPr>
  </w:style>
  <w:style w:type="paragraph" w:customStyle="1" w:styleId="Compact">
    <w:name w:val="Compact"/>
    <w:basedOn w:val="ab"/>
    <w:qFormat/>
    <w:rsid w:val="00C1390D"/>
    <w:pPr>
      <w:spacing w:before="36" w:after="36" w:line="240" w:lineRule="auto"/>
    </w:pPr>
    <w:rPr>
      <w:rFonts w:ascii="Cambria" w:eastAsia="Cambria" w:hAnsi="Cambria"/>
      <w:sz w:val="24"/>
      <w:szCs w:val="24"/>
    </w:rPr>
  </w:style>
  <w:style w:type="paragraph" w:customStyle="1" w:styleId="210">
    <w:name w:val="عنوان 21"/>
    <w:basedOn w:val="a1"/>
    <w:next w:val="ab"/>
    <w:uiPriority w:val="9"/>
    <w:qFormat/>
    <w:rsid w:val="00C1390D"/>
    <w:pPr>
      <w:keepNext/>
      <w:keepLines/>
      <w:spacing w:before="200" w:after="0" w:line="240" w:lineRule="auto"/>
      <w:outlineLvl w:val="1"/>
    </w:pPr>
    <w:rPr>
      <w:rFonts w:ascii="Calibri" w:eastAsia="SimSun" w:hAnsi="Calibri"/>
      <w:b/>
      <w:bCs/>
      <w:color w:val="4F81BD"/>
      <w:sz w:val="28"/>
      <w:szCs w:val="28"/>
    </w:rPr>
  </w:style>
  <w:style w:type="paragraph" w:customStyle="1" w:styleId="310">
    <w:name w:val="عنوان 31"/>
    <w:basedOn w:val="a1"/>
    <w:next w:val="ab"/>
    <w:uiPriority w:val="9"/>
    <w:qFormat/>
    <w:rsid w:val="00C1390D"/>
    <w:pPr>
      <w:keepNext/>
      <w:keepLines/>
      <w:spacing w:before="200" w:after="0" w:line="240" w:lineRule="auto"/>
      <w:outlineLvl w:val="2"/>
    </w:pPr>
    <w:rPr>
      <w:rFonts w:ascii="Calibri" w:eastAsia="SimSun" w:hAnsi="Calibri"/>
      <w:b/>
      <w:bCs/>
      <w:color w:val="4F81BD"/>
      <w:sz w:val="24"/>
      <w:szCs w:val="24"/>
    </w:rPr>
  </w:style>
  <w:style w:type="table" w:customStyle="1" w:styleId="Table">
    <w:name w:val="Table"/>
    <w:qFormat/>
    <w:rsid w:val="00C1390D"/>
    <w:pPr>
      <w:spacing w:line="240" w:lineRule="auto"/>
    </w:pPr>
    <w:rPr>
      <w:rFonts w:eastAsia="Cambria"/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ComputerZone</cp:lastModifiedBy>
  <cp:revision>4</cp:revision>
  <dcterms:created xsi:type="dcterms:W3CDTF">2013-12-23T23:15:00Z</dcterms:created>
  <dcterms:modified xsi:type="dcterms:W3CDTF">2026-08-06T20:20:00Z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87947fdff36b45ce92c48a4c27f6d005</vt:lpwstr>
  </property>
</Properties>
</file>