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F51E4" w14:textId="77777777" w:rsidR="00386AE3" w:rsidRDefault="00386AE3" w:rsidP="00386AE3"/>
    <w:p w14:paraId="61156753" w14:textId="77777777" w:rsidR="00386AE3" w:rsidRDefault="00386AE3" w:rsidP="00386AE3"/>
    <w:p w14:paraId="0D29D0A5" w14:textId="77777777" w:rsidR="00386AE3" w:rsidRDefault="00386AE3" w:rsidP="00386AE3"/>
    <w:p w14:paraId="1835F63A" w14:textId="77777777" w:rsidR="00386AE3" w:rsidRDefault="00386AE3" w:rsidP="00386AE3"/>
    <w:p w14:paraId="6933CFF5" w14:textId="77777777" w:rsidR="00386AE3" w:rsidRDefault="00386AE3" w:rsidP="00386AE3"/>
    <w:p w14:paraId="03BDCF63" w14:textId="77777777" w:rsidR="00386AE3" w:rsidRDefault="00386AE3" w:rsidP="00386AE3"/>
    <w:p w14:paraId="23C9B33A" w14:textId="77777777" w:rsidR="00386AE3" w:rsidRDefault="00386AE3" w:rsidP="00386AE3"/>
    <w:p w14:paraId="0BED7CA2" w14:textId="77777777" w:rsidR="00386AE3" w:rsidRDefault="00386AE3" w:rsidP="00386AE3"/>
    <w:p w14:paraId="30D30E0C" w14:textId="77777777" w:rsidR="00386AE3" w:rsidRPr="002A685C" w:rsidRDefault="00386AE3" w:rsidP="00386AE3">
      <w:pPr>
        <w:pStyle w:val="1"/>
        <w:rPr>
          <w:rFonts w:asciiTheme="majorBidi" w:hAnsiTheme="majorBidi" w:cstheme="majorBidi"/>
          <w:b w:val="0"/>
          <w:bCs w:val="0"/>
        </w:rPr>
      </w:pPr>
      <w:r w:rsidRPr="002A685C">
        <w:rPr>
          <w:rFonts w:asciiTheme="majorBidi" w:hAnsiTheme="majorBidi" w:cstheme="majorBidi"/>
          <w:b w:val="0"/>
          <w:bCs w:val="0"/>
        </w:rPr>
        <w:t xml:space="preserve">Supplementary </w:t>
      </w:r>
      <w:proofErr w:type="spellStart"/>
      <w:r w:rsidRPr="002A685C">
        <w:rPr>
          <w:rFonts w:asciiTheme="majorBidi" w:hAnsiTheme="majorBidi" w:cstheme="majorBidi"/>
          <w:b w:val="0"/>
          <w:bCs w:val="0"/>
        </w:rPr>
        <w:t>Material_AI</w:t>
      </w:r>
      <w:proofErr w:type="spellEnd"/>
      <w:r w:rsidRPr="002A685C">
        <w:rPr>
          <w:rFonts w:asciiTheme="majorBidi" w:hAnsiTheme="majorBidi" w:cstheme="majorBidi"/>
          <w:b w:val="0"/>
          <w:bCs w:val="0"/>
        </w:rPr>
        <w:t xml:space="preserve"> Prompts and Model Outputs</w:t>
      </w:r>
    </w:p>
    <w:p w14:paraId="2BCEA8DE" w14:textId="77777777" w:rsidR="00386AE3" w:rsidRDefault="00386AE3" w:rsidP="00386AE3">
      <w:pPr>
        <w:bidi/>
        <w:jc w:val="both"/>
        <w:rPr>
          <w:rFonts w:asciiTheme="majorBidi" w:hAnsiTheme="majorBidi" w:cstheme="majorBidi"/>
        </w:rPr>
      </w:pPr>
      <w:r>
        <w:rPr>
          <w:rFonts w:asciiTheme="majorBidi" w:hAnsiTheme="majorBidi" w:cstheme="majorBidi"/>
        </w:rPr>
        <w:br w:type="page"/>
      </w:r>
    </w:p>
    <w:p w14:paraId="32312391" w14:textId="77777777" w:rsidR="00386AE3" w:rsidRDefault="00386AE3" w:rsidP="00386AE3">
      <w:pPr>
        <w:spacing w:line="240" w:lineRule="auto"/>
        <w:jc w:val="both"/>
        <w:rPr>
          <w:rFonts w:asciiTheme="majorBidi" w:hAnsiTheme="majorBidi" w:cstheme="majorBidi"/>
        </w:rPr>
      </w:pPr>
    </w:p>
    <w:p w14:paraId="222E4021" w14:textId="77777777" w:rsidR="00386AE3" w:rsidRDefault="00386AE3" w:rsidP="00386AE3">
      <w:pPr>
        <w:spacing w:line="240" w:lineRule="auto"/>
        <w:jc w:val="both"/>
        <w:rPr>
          <w:rFonts w:asciiTheme="majorBidi" w:hAnsiTheme="majorBidi" w:cstheme="majorBidi"/>
        </w:rPr>
      </w:pPr>
    </w:p>
    <w:p w14:paraId="635EEC48" w14:textId="77777777" w:rsidR="00386AE3" w:rsidRDefault="00386AE3" w:rsidP="00386AE3">
      <w:pPr>
        <w:spacing w:line="240" w:lineRule="auto"/>
        <w:jc w:val="both"/>
        <w:rPr>
          <w:rFonts w:asciiTheme="majorBidi" w:hAnsiTheme="majorBidi" w:cstheme="majorBidi"/>
        </w:rPr>
      </w:pPr>
    </w:p>
    <w:p w14:paraId="4B9B6C22" w14:textId="77777777" w:rsidR="00386AE3" w:rsidRDefault="00386AE3" w:rsidP="00386AE3">
      <w:pPr>
        <w:spacing w:line="240" w:lineRule="auto"/>
        <w:jc w:val="both"/>
        <w:rPr>
          <w:rFonts w:asciiTheme="majorBidi" w:hAnsiTheme="majorBidi" w:cstheme="majorBidi"/>
        </w:rPr>
      </w:pPr>
    </w:p>
    <w:p w14:paraId="2490365C" w14:textId="77777777" w:rsidR="00386AE3" w:rsidRDefault="00386AE3" w:rsidP="00386AE3">
      <w:pPr>
        <w:spacing w:line="240" w:lineRule="auto"/>
        <w:jc w:val="both"/>
        <w:rPr>
          <w:rFonts w:asciiTheme="majorBidi" w:hAnsiTheme="majorBidi" w:cstheme="majorBidi"/>
        </w:rPr>
      </w:pPr>
    </w:p>
    <w:p w14:paraId="4B823160" w14:textId="77777777" w:rsidR="00386AE3" w:rsidRDefault="00386AE3" w:rsidP="00386AE3">
      <w:pPr>
        <w:spacing w:line="240" w:lineRule="auto"/>
        <w:jc w:val="both"/>
        <w:rPr>
          <w:rFonts w:asciiTheme="majorBidi" w:hAnsiTheme="majorBidi" w:cstheme="majorBidi"/>
        </w:rPr>
      </w:pPr>
    </w:p>
    <w:p w14:paraId="5CAD146D" w14:textId="77777777" w:rsidR="00386AE3" w:rsidRDefault="00386AE3" w:rsidP="00386AE3">
      <w:pPr>
        <w:spacing w:line="240" w:lineRule="auto"/>
        <w:jc w:val="both"/>
        <w:rPr>
          <w:rFonts w:asciiTheme="majorBidi" w:hAnsiTheme="majorBidi" w:cstheme="majorBidi"/>
        </w:rPr>
      </w:pPr>
    </w:p>
    <w:p w14:paraId="76F590A8" w14:textId="77777777" w:rsidR="00386AE3" w:rsidRDefault="00386AE3" w:rsidP="00386AE3">
      <w:pPr>
        <w:spacing w:line="240" w:lineRule="auto"/>
        <w:jc w:val="both"/>
        <w:rPr>
          <w:rFonts w:asciiTheme="majorBidi" w:hAnsiTheme="majorBidi" w:cstheme="majorBidi"/>
        </w:rPr>
      </w:pPr>
    </w:p>
    <w:p w14:paraId="45BB6EEC" w14:textId="77777777" w:rsidR="00386AE3" w:rsidRDefault="00386AE3" w:rsidP="00386AE3">
      <w:pPr>
        <w:spacing w:line="240" w:lineRule="auto"/>
        <w:jc w:val="both"/>
        <w:rPr>
          <w:rFonts w:asciiTheme="majorBidi" w:hAnsiTheme="majorBidi" w:cstheme="majorBidi"/>
        </w:rPr>
      </w:pPr>
    </w:p>
    <w:p w14:paraId="429B312C" w14:textId="77777777" w:rsidR="00386AE3" w:rsidRDefault="00386AE3" w:rsidP="00386AE3">
      <w:pPr>
        <w:spacing w:line="240" w:lineRule="auto"/>
        <w:jc w:val="both"/>
        <w:rPr>
          <w:rFonts w:asciiTheme="majorBidi" w:hAnsiTheme="majorBidi" w:cstheme="majorBidi"/>
        </w:rPr>
      </w:pPr>
    </w:p>
    <w:p w14:paraId="56BA2BDE" w14:textId="77777777" w:rsidR="00386AE3" w:rsidRDefault="00386AE3" w:rsidP="00386AE3">
      <w:pPr>
        <w:spacing w:line="240" w:lineRule="auto"/>
        <w:jc w:val="both"/>
        <w:rPr>
          <w:rFonts w:asciiTheme="majorBidi" w:hAnsiTheme="majorBidi" w:cstheme="majorBidi"/>
        </w:rPr>
      </w:pPr>
    </w:p>
    <w:p w14:paraId="3F31B70B" w14:textId="77777777" w:rsidR="00386AE3" w:rsidRPr="002A685C" w:rsidRDefault="00386AE3" w:rsidP="00386AE3">
      <w:pPr>
        <w:pStyle w:val="1"/>
        <w:rPr>
          <w:rFonts w:asciiTheme="majorBidi" w:hAnsiTheme="majorBidi" w:cstheme="majorBidi"/>
          <w:b w:val="0"/>
          <w:bCs w:val="0"/>
        </w:rPr>
      </w:pPr>
      <w:r w:rsidRPr="002A685C">
        <w:rPr>
          <w:rFonts w:asciiTheme="majorBidi" w:hAnsiTheme="majorBidi" w:cstheme="majorBidi"/>
          <w:b w:val="0"/>
          <w:bCs w:val="0"/>
        </w:rPr>
        <w:t>Part I</w:t>
      </w:r>
    </w:p>
    <w:p w14:paraId="71480134" w14:textId="77777777" w:rsidR="00386AE3" w:rsidRDefault="00386AE3" w:rsidP="00386AE3">
      <w:pPr>
        <w:spacing w:line="240" w:lineRule="auto"/>
        <w:jc w:val="both"/>
        <w:rPr>
          <w:rFonts w:asciiTheme="majorBidi" w:hAnsiTheme="majorBidi" w:cstheme="majorBidi"/>
        </w:rPr>
      </w:pPr>
    </w:p>
    <w:p w14:paraId="72630A6B" w14:textId="77777777" w:rsidR="00386AE3" w:rsidRPr="002A685C" w:rsidRDefault="00386AE3" w:rsidP="00386AE3">
      <w:pPr>
        <w:pStyle w:val="1"/>
        <w:rPr>
          <w:rFonts w:asciiTheme="majorBidi" w:hAnsiTheme="majorBidi" w:cstheme="majorBidi"/>
          <w:b w:val="0"/>
          <w:bCs w:val="0"/>
        </w:rPr>
      </w:pPr>
      <w:bookmarkStart w:id="0" w:name="_Hlk239157347"/>
      <w:r w:rsidRPr="002A685C">
        <w:rPr>
          <w:rFonts w:asciiTheme="majorBidi" w:hAnsiTheme="majorBidi" w:cstheme="majorBidi"/>
          <w:b w:val="0"/>
          <w:bCs w:val="0"/>
        </w:rPr>
        <w:t xml:space="preserve">Standardized Prompt </w:t>
      </w:r>
      <w:bookmarkEnd w:id="0"/>
      <w:r w:rsidRPr="002A685C">
        <w:rPr>
          <w:rFonts w:asciiTheme="majorBidi" w:hAnsiTheme="majorBidi" w:cstheme="majorBidi"/>
          <w:b w:val="0"/>
          <w:bCs w:val="0"/>
        </w:rPr>
        <w:t>Used Across All Models</w:t>
      </w:r>
    </w:p>
    <w:p w14:paraId="5C93A5AD" w14:textId="77777777" w:rsidR="00386AE3" w:rsidRDefault="00386AE3" w:rsidP="00386AE3">
      <w:pPr>
        <w:bidi/>
        <w:jc w:val="both"/>
        <w:rPr>
          <w:rFonts w:asciiTheme="majorBidi" w:hAnsiTheme="majorBidi" w:cstheme="majorBidi"/>
          <w:rtl/>
          <w:lang w:bidi="ar-EG"/>
        </w:rPr>
      </w:pPr>
      <w:r>
        <w:rPr>
          <w:rFonts w:asciiTheme="majorBidi" w:hAnsiTheme="majorBidi" w:cstheme="majorBidi"/>
        </w:rPr>
        <w:br w:type="page"/>
      </w:r>
    </w:p>
    <w:p w14:paraId="2747D2F6" w14:textId="77777777" w:rsidR="00386AE3" w:rsidRPr="002A685C" w:rsidRDefault="00386AE3" w:rsidP="00386AE3">
      <w:pPr>
        <w:spacing w:line="240" w:lineRule="auto"/>
        <w:jc w:val="center"/>
        <w:rPr>
          <w:rFonts w:asciiTheme="majorBidi" w:hAnsiTheme="majorBidi" w:cstheme="majorBidi"/>
          <w:b/>
          <w:bCs/>
          <w:color w:val="FF0000"/>
          <w:sz w:val="28"/>
          <w:szCs w:val="28"/>
        </w:rPr>
      </w:pPr>
      <w:r w:rsidRPr="002A685C">
        <w:rPr>
          <w:rFonts w:asciiTheme="majorBidi" w:hAnsiTheme="majorBidi" w:cstheme="majorBidi"/>
          <w:b/>
          <w:bCs/>
          <w:color w:val="FF0000"/>
          <w:sz w:val="28"/>
          <w:szCs w:val="28"/>
        </w:rPr>
        <w:lastRenderedPageBreak/>
        <w:t>Standardized Prompt</w:t>
      </w:r>
    </w:p>
    <w:p w14:paraId="0974FD8A"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Comparative Legal Analysis Task – Case Study ……</w:t>
      </w:r>
    </w:p>
    <w:p w14:paraId="682F4643"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You are participating in a comparative empirical study examining the ability of large language models to identify potential legislative gaps and assess their constitutional significance in Arabic legislation.</w:t>
      </w:r>
    </w:p>
    <w:p w14:paraId="78A75BD7"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 xml:space="preserve">Your task is to </w:t>
      </w:r>
      <w:proofErr w:type="spellStart"/>
      <w:r w:rsidRPr="00EC6960">
        <w:rPr>
          <w:rFonts w:asciiTheme="majorBidi" w:hAnsiTheme="majorBidi" w:cstheme="majorBidi"/>
        </w:rPr>
        <w:t>analyse</w:t>
      </w:r>
      <w:proofErr w:type="spellEnd"/>
      <w:r w:rsidRPr="00EC6960">
        <w:rPr>
          <w:rFonts w:asciiTheme="majorBidi" w:hAnsiTheme="majorBidi" w:cstheme="majorBidi"/>
        </w:rPr>
        <w:t xml:space="preserve"> the statutory provision below independently.</w:t>
      </w:r>
    </w:p>
    <w:p w14:paraId="477B4FB3" w14:textId="77777777" w:rsidR="00386AE3" w:rsidRPr="00EC6960" w:rsidRDefault="00386AE3" w:rsidP="00386AE3">
      <w:pPr>
        <w:spacing w:line="240" w:lineRule="auto"/>
        <w:ind w:firstLine="0"/>
        <w:jc w:val="both"/>
        <w:rPr>
          <w:rFonts w:asciiTheme="majorBidi" w:hAnsiTheme="majorBidi" w:cstheme="majorBidi"/>
          <w:b/>
          <w:bCs/>
        </w:rPr>
      </w:pPr>
      <w:r w:rsidRPr="00EC6960">
        <w:rPr>
          <w:rFonts w:asciiTheme="majorBidi" w:hAnsiTheme="majorBidi" w:cstheme="majorBidi"/>
          <w:b/>
          <w:bCs/>
        </w:rPr>
        <w:t>Important methodological instructions</w:t>
      </w:r>
    </w:p>
    <w:p w14:paraId="60AD64F6"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proofErr w:type="spellStart"/>
      <w:r w:rsidRPr="00EC6960">
        <w:rPr>
          <w:rFonts w:asciiTheme="majorBidi" w:hAnsiTheme="majorBidi" w:cstheme="majorBidi"/>
        </w:rPr>
        <w:t>Analyse</w:t>
      </w:r>
      <w:proofErr w:type="spellEnd"/>
      <w:r w:rsidRPr="00EC6960">
        <w:rPr>
          <w:rFonts w:asciiTheme="majorBidi" w:hAnsiTheme="majorBidi" w:cstheme="majorBidi"/>
        </w:rPr>
        <w:t xml:space="preserve"> the statutory text itself before reaching any conclusion.</w:t>
      </w:r>
    </w:p>
    <w:p w14:paraId="77071086"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Do not assume that the provision contains a legislative defect merely because the task concerns legislative gaps.</w:t>
      </w:r>
    </w:p>
    <w:p w14:paraId="6511D8BE"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Identify any potentially omitted element, procedural safeguard, condition, exception, or regulatory mechanism that may be legally relevant.</w:t>
      </w:r>
    </w:p>
    <w:p w14:paraId="78B4D8CC"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Distinguish carefully between:</w:t>
      </w:r>
    </w:p>
    <w:p w14:paraId="4CEDF9E7" w14:textId="77777777" w:rsidR="00386AE3" w:rsidRPr="00EC6960" w:rsidRDefault="00386AE3" w:rsidP="00386AE3">
      <w:pPr>
        <w:pStyle w:val="a6"/>
        <w:numPr>
          <w:ilvl w:val="0"/>
          <w:numId w:val="131"/>
        </w:numPr>
        <w:spacing w:line="240" w:lineRule="auto"/>
        <w:ind w:left="567"/>
        <w:jc w:val="both"/>
        <w:rPr>
          <w:rFonts w:asciiTheme="majorBidi" w:hAnsiTheme="majorBidi" w:cstheme="majorBidi"/>
        </w:rPr>
      </w:pPr>
      <w:r w:rsidRPr="00EC6960">
        <w:rPr>
          <w:rFonts w:asciiTheme="majorBidi" w:hAnsiTheme="majorBidi" w:cstheme="majorBidi"/>
        </w:rPr>
        <w:t>a genuine legislative gap;</w:t>
      </w:r>
    </w:p>
    <w:p w14:paraId="6098ED0E" w14:textId="77777777" w:rsidR="00386AE3" w:rsidRPr="00EC6960" w:rsidRDefault="00386AE3" w:rsidP="00386AE3">
      <w:pPr>
        <w:pStyle w:val="a6"/>
        <w:numPr>
          <w:ilvl w:val="0"/>
          <w:numId w:val="131"/>
        </w:numPr>
        <w:spacing w:line="240" w:lineRule="auto"/>
        <w:ind w:left="567"/>
        <w:jc w:val="both"/>
        <w:rPr>
          <w:rFonts w:asciiTheme="majorBidi" w:hAnsiTheme="majorBidi" w:cstheme="majorBidi"/>
        </w:rPr>
      </w:pPr>
      <w:r w:rsidRPr="00EC6960">
        <w:rPr>
          <w:rFonts w:asciiTheme="majorBidi" w:hAnsiTheme="majorBidi" w:cstheme="majorBidi"/>
        </w:rPr>
        <w:t>a deliberate legislative choice;</w:t>
      </w:r>
    </w:p>
    <w:p w14:paraId="65CB1FA1" w14:textId="77777777" w:rsidR="00386AE3" w:rsidRPr="00EC6960" w:rsidRDefault="00386AE3" w:rsidP="00386AE3">
      <w:pPr>
        <w:pStyle w:val="a6"/>
        <w:numPr>
          <w:ilvl w:val="0"/>
          <w:numId w:val="131"/>
        </w:numPr>
        <w:spacing w:line="240" w:lineRule="auto"/>
        <w:ind w:left="567"/>
        <w:jc w:val="both"/>
        <w:rPr>
          <w:rFonts w:asciiTheme="majorBidi" w:hAnsiTheme="majorBidi" w:cstheme="majorBidi"/>
        </w:rPr>
      </w:pPr>
      <w:r w:rsidRPr="00EC6960">
        <w:rPr>
          <w:rFonts w:asciiTheme="majorBidi" w:hAnsiTheme="majorBidi" w:cstheme="majorBidi"/>
        </w:rPr>
        <w:t>a matter of legislative policy or discretion; and</w:t>
      </w:r>
    </w:p>
    <w:p w14:paraId="3C8952C2" w14:textId="77777777" w:rsidR="00386AE3" w:rsidRPr="00EC6960" w:rsidRDefault="00386AE3" w:rsidP="00386AE3">
      <w:pPr>
        <w:pStyle w:val="a6"/>
        <w:numPr>
          <w:ilvl w:val="0"/>
          <w:numId w:val="131"/>
        </w:numPr>
        <w:spacing w:line="240" w:lineRule="auto"/>
        <w:ind w:left="567"/>
        <w:jc w:val="both"/>
        <w:rPr>
          <w:rFonts w:asciiTheme="majorBidi" w:hAnsiTheme="majorBidi" w:cstheme="majorBidi"/>
        </w:rPr>
      </w:pPr>
      <w:r w:rsidRPr="00EC6960">
        <w:rPr>
          <w:rFonts w:asciiTheme="majorBidi" w:hAnsiTheme="majorBidi" w:cstheme="majorBidi"/>
        </w:rPr>
        <w:t>a constitutionally significant omission.</w:t>
      </w:r>
    </w:p>
    <w:p w14:paraId="7B38AC32"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Do not assume that an omitted procedural safeguard is constitutionally mandatory. Explain why it would or would not be required.</w:t>
      </w:r>
    </w:p>
    <w:p w14:paraId="4833048E"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Consider both arguments supporting and arguments opposing the existence of a legislative gap.</w:t>
      </w:r>
    </w:p>
    <w:p w14:paraId="6842A84E"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Do not invent judicial decisions, constitutional provisions, statutory provisions, case numbers, or doctrinal rules.</w:t>
      </w:r>
    </w:p>
    <w:p w14:paraId="603FA7AE"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If you rely on external legal authorities, identify them clearly and distinguish them from your analysis of the statutory text.</w:t>
      </w:r>
    </w:p>
    <w:p w14:paraId="051094E8"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The analysis must focus on Egyptian law and the Egyptian constitutional framework.</w:t>
      </w:r>
    </w:p>
    <w:p w14:paraId="682D41D3"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Do not search for or assume the existence of a specific judicial decision dealing with this provision unless you can independently identify and verify it.</w:t>
      </w:r>
    </w:p>
    <w:p w14:paraId="2B4328AD" w14:textId="77777777" w:rsidR="00386AE3" w:rsidRPr="00EC6960" w:rsidRDefault="00386AE3" w:rsidP="00386AE3">
      <w:pPr>
        <w:pStyle w:val="a6"/>
        <w:numPr>
          <w:ilvl w:val="0"/>
          <w:numId w:val="130"/>
        </w:numPr>
        <w:spacing w:line="240" w:lineRule="auto"/>
        <w:ind w:left="142"/>
        <w:jc w:val="both"/>
        <w:rPr>
          <w:rFonts w:asciiTheme="majorBidi" w:hAnsiTheme="majorBidi" w:cstheme="majorBidi"/>
        </w:rPr>
      </w:pPr>
      <w:r w:rsidRPr="00EC6960">
        <w:rPr>
          <w:rFonts w:asciiTheme="majorBidi" w:hAnsiTheme="majorBidi" w:cstheme="majorBidi"/>
        </w:rPr>
        <w:t>Your conclusion must be based primarily on legal reasoning rather than on textual similarity or keyword matching.</w:t>
      </w:r>
    </w:p>
    <w:p w14:paraId="4A7C3356" w14:textId="77777777" w:rsidR="00386AE3" w:rsidRPr="00EC6960" w:rsidRDefault="00386AE3" w:rsidP="00386AE3">
      <w:pPr>
        <w:spacing w:line="240" w:lineRule="auto"/>
        <w:ind w:firstLine="0"/>
        <w:jc w:val="both"/>
        <w:rPr>
          <w:rFonts w:asciiTheme="majorBidi" w:hAnsiTheme="majorBidi" w:cstheme="majorBidi"/>
        </w:rPr>
      </w:pPr>
      <w:r>
        <w:rPr>
          <w:rFonts w:asciiTheme="majorBidi" w:hAnsiTheme="majorBidi" w:cstheme="majorBidi"/>
        </w:rPr>
        <w:t>…………………………………………….</w:t>
      </w:r>
    </w:p>
    <w:p w14:paraId="19CA56D1" w14:textId="77777777" w:rsidR="00386AE3" w:rsidRPr="00EC6960" w:rsidRDefault="00386AE3" w:rsidP="00386AE3">
      <w:pPr>
        <w:spacing w:line="240" w:lineRule="auto"/>
        <w:ind w:firstLine="0"/>
        <w:jc w:val="both"/>
        <w:rPr>
          <w:rFonts w:asciiTheme="majorBidi" w:hAnsiTheme="majorBidi" w:cstheme="majorBidi"/>
          <w:b/>
          <w:bCs/>
        </w:rPr>
      </w:pPr>
      <w:r w:rsidRPr="00EC6960">
        <w:rPr>
          <w:rFonts w:asciiTheme="majorBidi" w:hAnsiTheme="majorBidi" w:cstheme="majorBidi"/>
          <w:b/>
          <w:bCs/>
        </w:rPr>
        <w:t xml:space="preserve"> Statutory Provision</w:t>
      </w:r>
    </w:p>
    <w:p w14:paraId="02714AF9" w14:textId="77777777" w:rsidR="00386AE3" w:rsidRDefault="00386AE3" w:rsidP="00386AE3">
      <w:pPr>
        <w:spacing w:line="240" w:lineRule="auto"/>
        <w:jc w:val="both"/>
        <w:rPr>
          <w:rFonts w:asciiTheme="majorBidi" w:hAnsiTheme="majorBidi" w:cstheme="majorBidi"/>
        </w:rPr>
      </w:pPr>
      <w:r w:rsidRPr="00EC6960">
        <w:rPr>
          <w:rFonts w:asciiTheme="majorBidi" w:hAnsiTheme="majorBidi" w:cstheme="majorBidi"/>
        </w:rPr>
        <w:t xml:space="preserve">Article </w:t>
      </w:r>
      <w:proofErr w:type="gramStart"/>
      <w:r>
        <w:rPr>
          <w:rFonts w:asciiTheme="majorBidi" w:hAnsiTheme="majorBidi" w:cstheme="majorBidi"/>
        </w:rPr>
        <w:t>…..</w:t>
      </w:r>
      <w:proofErr w:type="gramEnd"/>
      <w:r w:rsidRPr="00EC6960">
        <w:rPr>
          <w:rFonts w:asciiTheme="majorBidi" w:hAnsiTheme="majorBidi" w:cstheme="majorBidi"/>
        </w:rPr>
        <w:t xml:space="preserve"> of the </w:t>
      </w:r>
      <w:r>
        <w:rPr>
          <w:rFonts w:asciiTheme="majorBidi" w:hAnsiTheme="majorBidi" w:cstheme="majorBidi"/>
        </w:rPr>
        <w:t>……………….</w:t>
      </w:r>
      <w:r w:rsidRPr="00EC6960">
        <w:rPr>
          <w:rFonts w:asciiTheme="majorBidi" w:hAnsiTheme="majorBidi" w:cstheme="majorBidi"/>
        </w:rPr>
        <w:t xml:space="preserve"> Law No. </w:t>
      </w:r>
      <w:r>
        <w:rPr>
          <w:rFonts w:asciiTheme="majorBidi" w:hAnsiTheme="majorBidi" w:cstheme="majorBidi"/>
        </w:rPr>
        <w:t>……</w:t>
      </w:r>
      <w:r w:rsidRPr="00EC6960">
        <w:rPr>
          <w:rFonts w:asciiTheme="majorBidi" w:hAnsiTheme="majorBidi" w:cstheme="majorBidi"/>
        </w:rPr>
        <w:t xml:space="preserve"> of </w:t>
      </w:r>
      <w:r>
        <w:rPr>
          <w:rFonts w:asciiTheme="majorBidi" w:hAnsiTheme="majorBidi" w:cstheme="majorBidi"/>
        </w:rPr>
        <w:t>…………</w:t>
      </w:r>
    </w:p>
    <w:p w14:paraId="4F55EB07" w14:textId="77777777" w:rsidR="00386AE3" w:rsidRDefault="00386AE3" w:rsidP="00386AE3">
      <w:pPr>
        <w:spacing w:line="240" w:lineRule="auto"/>
        <w:jc w:val="center"/>
        <w:rPr>
          <w:rFonts w:asciiTheme="majorBidi" w:hAnsiTheme="majorBidi" w:cstheme="majorBidi"/>
        </w:rPr>
      </w:pPr>
      <w:r>
        <w:rPr>
          <w:rFonts w:asciiTheme="majorBidi" w:hAnsiTheme="majorBidi" w:cstheme="majorBidi"/>
        </w:rPr>
        <w:t>"Arabic Text"</w:t>
      </w:r>
    </w:p>
    <w:p w14:paraId="2E264AB5" w14:textId="77777777" w:rsidR="00386AE3" w:rsidRPr="00EC6960" w:rsidRDefault="00386AE3" w:rsidP="00386AE3">
      <w:pPr>
        <w:spacing w:line="240" w:lineRule="auto"/>
        <w:jc w:val="center"/>
        <w:rPr>
          <w:rFonts w:asciiTheme="majorBidi" w:hAnsiTheme="majorBidi" w:cstheme="majorBidi"/>
        </w:rPr>
      </w:pPr>
    </w:p>
    <w:p w14:paraId="0E0CC019" w14:textId="77777777" w:rsidR="00386AE3" w:rsidRPr="00EC6960" w:rsidRDefault="00386AE3" w:rsidP="00386AE3">
      <w:pPr>
        <w:spacing w:line="240" w:lineRule="auto"/>
        <w:ind w:firstLine="0"/>
        <w:jc w:val="both"/>
        <w:rPr>
          <w:rFonts w:asciiTheme="majorBidi" w:hAnsiTheme="majorBidi" w:cstheme="majorBidi"/>
        </w:rPr>
      </w:pPr>
      <w:r>
        <w:rPr>
          <w:rFonts w:asciiTheme="majorBidi" w:hAnsiTheme="majorBidi" w:cstheme="majorBidi"/>
        </w:rPr>
        <w:t>…………………………………………….</w:t>
      </w:r>
    </w:p>
    <w:p w14:paraId="1A32375B" w14:textId="77777777" w:rsidR="00386AE3" w:rsidRPr="00EC6960" w:rsidRDefault="00386AE3" w:rsidP="00386AE3">
      <w:pPr>
        <w:spacing w:line="240" w:lineRule="auto"/>
        <w:ind w:firstLine="0"/>
        <w:jc w:val="both"/>
        <w:rPr>
          <w:rFonts w:asciiTheme="majorBidi" w:hAnsiTheme="majorBidi" w:cstheme="majorBidi"/>
          <w:b/>
          <w:bCs/>
        </w:rPr>
      </w:pPr>
      <w:r w:rsidRPr="00EC6960">
        <w:rPr>
          <w:rFonts w:asciiTheme="majorBidi" w:hAnsiTheme="majorBidi" w:cstheme="majorBidi"/>
          <w:b/>
          <w:bCs/>
        </w:rPr>
        <w:t xml:space="preserve"> Required Analysis</w:t>
      </w:r>
    </w:p>
    <w:p w14:paraId="13826159"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Please structure your answer under the following headings.</w:t>
      </w:r>
    </w:p>
    <w:p w14:paraId="0BDD4B28" w14:textId="77777777" w:rsidR="00386AE3" w:rsidRPr="00EC6960" w:rsidRDefault="00386AE3" w:rsidP="00386AE3">
      <w:pPr>
        <w:pStyle w:val="a6"/>
        <w:numPr>
          <w:ilvl w:val="0"/>
          <w:numId w:val="132"/>
        </w:numPr>
        <w:spacing w:line="240" w:lineRule="auto"/>
        <w:jc w:val="both"/>
        <w:rPr>
          <w:rFonts w:asciiTheme="majorBidi" w:hAnsiTheme="majorBidi" w:cstheme="majorBidi"/>
          <w:b/>
          <w:bCs/>
        </w:rPr>
      </w:pPr>
      <w:r w:rsidRPr="00EC6960">
        <w:rPr>
          <w:rFonts w:asciiTheme="majorBidi" w:hAnsiTheme="majorBidi" w:cstheme="majorBidi"/>
          <w:b/>
          <w:bCs/>
        </w:rPr>
        <w:t>Statutory Structure</w:t>
      </w:r>
    </w:p>
    <w:p w14:paraId="4398FD5F"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Explain the legal mechanism established by the provision.</w:t>
      </w:r>
    </w:p>
    <w:p w14:paraId="5F3CF60F" w14:textId="77777777" w:rsidR="00386AE3" w:rsidRPr="00EC6960" w:rsidRDefault="00386AE3" w:rsidP="00386AE3">
      <w:pPr>
        <w:spacing w:line="240" w:lineRule="auto"/>
        <w:jc w:val="both"/>
        <w:rPr>
          <w:rFonts w:asciiTheme="majorBidi" w:hAnsiTheme="majorBidi" w:cstheme="majorBidi"/>
          <w:b/>
          <w:bCs/>
        </w:rPr>
      </w:pPr>
      <w:r w:rsidRPr="00EC6960">
        <w:rPr>
          <w:rFonts w:asciiTheme="majorBidi" w:hAnsiTheme="majorBidi" w:cstheme="majorBidi"/>
          <w:b/>
          <w:bCs/>
        </w:rPr>
        <w:t>Identify:</w:t>
      </w:r>
    </w:p>
    <w:p w14:paraId="40B88167" w14:textId="77777777" w:rsidR="00386AE3" w:rsidRPr="00EC6960" w:rsidRDefault="00386AE3" w:rsidP="00386AE3">
      <w:pPr>
        <w:pStyle w:val="a6"/>
        <w:numPr>
          <w:ilvl w:val="0"/>
          <w:numId w:val="133"/>
        </w:numPr>
        <w:spacing w:line="240" w:lineRule="auto"/>
        <w:jc w:val="both"/>
        <w:rPr>
          <w:rFonts w:asciiTheme="majorBidi" w:hAnsiTheme="majorBidi" w:cstheme="majorBidi"/>
        </w:rPr>
      </w:pPr>
      <w:r w:rsidRPr="00EC6960">
        <w:rPr>
          <w:rFonts w:asciiTheme="majorBidi" w:hAnsiTheme="majorBidi" w:cstheme="majorBidi"/>
        </w:rPr>
        <w:t>the triggering event;</w:t>
      </w:r>
    </w:p>
    <w:p w14:paraId="0149321A" w14:textId="77777777" w:rsidR="00386AE3" w:rsidRPr="00EC6960" w:rsidRDefault="00386AE3" w:rsidP="00386AE3">
      <w:pPr>
        <w:pStyle w:val="a6"/>
        <w:numPr>
          <w:ilvl w:val="0"/>
          <w:numId w:val="133"/>
        </w:numPr>
        <w:spacing w:line="240" w:lineRule="auto"/>
        <w:jc w:val="both"/>
        <w:rPr>
          <w:rFonts w:asciiTheme="majorBidi" w:hAnsiTheme="majorBidi" w:cstheme="majorBidi"/>
        </w:rPr>
      </w:pPr>
      <w:r w:rsidRPr="00EC6960">
        <w:rPr>
          <w:rFonts w:asciiTheme="majorBidi" w:hAnsiTheme="majorBidi" w:cstheme="majorBidi"/>
        </w:rPr>
        <w:lastRenderedPageBreak/>
        <w:t>the statutory period;</w:t>
      </w:r>
    </w:p>
    <w:p w14:paraId="7013AF36" w14:textId="77777777" w:rsidR="00386AE3" w:rsidRPr="00EC6960" w:rsidRDefault="00386AE3" w:rsidP="00386AE3">
      <w:pPr>
        <w:pStyle w:val="a6"/>
        <w:numPr>
          <w:ilvl w:val="0"/>
          <w:numId w:val="133"/>
        </w:numPr>
        <w:spacing w:line="240" w:lineRule="auto"/>
        <w:jc w:val="both"/>
        <w:rPr>
          <w:rFonts w:asciiTheme="majorBidi" w:hAnsiTheme="majorBidi" w:cstheme="majorBidi"/>
        </w:rPr>
      </w:pPr>
      <w:r w:rsidRPr="00EC6960">
        <w:rPr>
          <w:rFonts w:asciiTheme="majorBidi" w:hAnsiTheme="majorBidi" w:cstheme="majorBidi"/>
        </w:rPr>
        <w:t>the legal consequence;</w:t>
      </w:r>
    </w:p>
    <w:p w14:paraId="3E35AB6C" w14:textId="77777777" w:rsidR="00386AE3" w:rsidRPr="00EC6960" w:rsidRDefault="00386AE3" w:rsidP="00386AE3">
      <w:pPr>
        <w:pStyle w:val="a6"/>
        <w:numPr>
          <w:ilvl w:val="0"/>
          <w:numId w:val="133"/>
        </w:numPr>
        <w:spacing w:line="240" w:lineRule="auto"/>
        <w:jc w:val="both"/>
        <w:rPr>
          <w:rFonts w:asciiTheme="majorBidi" w:hAnsiTheme="majorBidi" w:cstheme="majorBidi"/>
        </w:rPr>
      </w:pPr>
      <w:r w:rsidRPr="00EC6960">
        <w:rPr>
          <w:rFonts w:asciiTheme="majorBidi" w:hAnsiTheme="majorBidi" w:cstheme="majorBidi"/>
        </w:rPr>
        <w:t>the possibility of returning within the prescribed period;</w:t>
      </w:r>
    </w:p>
    <w:p w14:paraId="2BFE168B" w14:textId="77777777" w:rsidR="00386AE3" w:rsidRPr="00EC6960" w:rsidRDefault="00386AE3" w:rsidP="00386AE3">
      <w:pPr>
        <w:pStyle w:val="a6"/>
        <w:numPr>
          <w:ilvl w:val="0"/>
          <w:numId w:val="133"/>
        </w:numPr>
        <w:spacing w:line="240" w:lineRule="auto"/>
        <w:jc w:val="both"/>
        <w:rPr>
          <w:rFonts w:asciiTheme="majorBidi" w:hAnsiTheme="majorBidi" w:cstheme="majorBidi"/>
        </w:rPr>
      </w:pPr>
      <w:r w:rsidRPr="00EC6960">
        <w:rPr>
          <w:rFonts w:asciiTheme="majorBidi" w:hAnsiTheme="majorBidi" w:cstheme="majorBidi"/>
        </w:rPr>
        <w:t>the role of the competent university bodies; and</w:t>
      </w:r>
    </w:p>
    <w:p w14:paraId="4DB390D6" w14:textId="77777777" w:rsidR="00386AE3" w:rsidRPr="00EC6960" w:rsidRDefault="00386AE3" w:rsidP="00386AE3">
      <w:pPr>
        <w:pStyle w:val="a6"/>
        <w:numPr>
          <w:ilvl w:val="0"/>
          <w:numId w:val="133"/>
        </w:numPr>
        <w:spacing w:line="240" w:lineRule="auto"/>
        <w:jc w:val="both"/>
        <w:rPr>
          <w:rFonts w:asciiTheme="majorBidi" w:hAnsiTheme="majorBidi" w:cstheme="majorBidi"/>
        </w:rPr>
      </w:pPr>
      <w:r w:rsidRPr="00EC6960">
        <w:rPr>
          <w:rFonts w:asciiTheme="majorBidi" w:hAnsiTheme="majorBidi" w:cstheme="majorBidi"/>
        </w:rPr>
        <w:t>any procedural safeguards expressly included in the provision.</w:t>
      </w:r>
    </w:p>
    <w:p w14:paraId="7CC84060" w14:textId="77777777" w:rsidR="00386AE3" w:rsidRPr="00140B26" w:rsidRDefault="00386AE3" w:rsidP="00386AE3">
      <w:pPr>
        <w:pStyle w:val="a6"/>
        <w:numPr>
          <w:ilvl w:val="0"/>
          <w:numId w:val="132"/>
        </w:numPr>
        <w:spacing w:line="240" w:lineRule="auto"/>
        <w:jc w:val="both"/>
        <w:rPr>
          <w:rFonts w:asciiTheme="majorBidi" w:hAnsiTheme="majorBidi" w:cstheme="majorBidi"/>
          <w:b/>
          <w:bCs/>
        </w:rPr>
      </w:pPr>
      <w:r w:rsidRPr="00EC6960">
        <w:rPr>
          <w:rFonts w:asciiTheme="majorBidi" w:hAnsiTheme="majorBidi" w:cstheme="majorBidi"/>
          <w:b/>
          <w:bCs/>
        </w:rPr>
        <w:t>Potential Legislative Omissions</w:t>
      </w:r>
    </w:p>
    <w:p w14:paraId="295A8C87"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Identify all material elements that appear potentially absent from the statutory scheme.</w:t>
      </w:r>
    </w:p>
    <w:p w14:paraId="11CDCF04"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For each potential omission, explain:</w:t>
      </w:r>
    </w:p>
    <w:p w14:paraId="1F8B9A3B" w14:textId="77777777" w:rsidR="00386AE3" w:rsidRPr="00140B26" w:rsidRDefault="00386AE3" w:rsidP="00386AE3">
      <w:pPr>
        <w:pStyle w:val="a6"/>
        <w:numPr>
          <w:ilvl w:val="0"/>
          <w:numId w:val="134"/>
        </w:numPr>
        <w:spacing w:line="240" w:lineRule="auto"/>
        <w:jc w:val="both"/>
        <w:rPr>
          <w:rFonts w:asciiTheme="majorBidi" w:hAnsiTheme="majorBidi" w:cstheme="majorBidi"/>
        </w:rPr>
      </w:pPr>
      <w:r w:rsidRPr="00140B26">
        <w:rPr>
          <w:rFonts w:asciiTheme="majorBidi" w:hAnsiTheme="majorBidi" w:cstheme="majorBidi"/>
        </w:rPr>
        <w:t>what is absent;</w:t>
      </w:r>
    </w:p>
    <w:p w14:paraId="49A891BD" w14:textId="77777777" w:rsidR="00386AE3" w:rsidRPr="00140B26" w:rsidRDefault="00386AE3" w:rsidP="00386AE3">
      <w:pPr>
        <w:pStyle w:val="a6"/>
        <w:numPr>
          <w:ilvl w:val="0"/>
          <w:numId w:val="134"/>
        </w:numPr>
        <w:spacing w:line="240" w:lineRule="auto"/>
        <w:jc w:val="both"/>
        <w:rPr>
          <w:rFonts w:asciiTheme="majorBidi" w:hAnsiTheme="majorBidi" w:cstheme="majorBidi"/>
        </w:rPr>
      </w:pPr>
      <w:r w:rsidRPr="00140B26">
        <w:rPr>
          <w:rFonts w:asciiTheme="majorBidi" w:hAnsiTheme="majorBidi" w:cstheme="majorBidi"/>
        </w:rPr>
        <w:t>why it might matter legally;</w:t>
      </w:r>
    </w:p>
    <w:p w14:paraId="62EBE45D" w14:textId="77777777" w:rsidR="00386AE3" w:rsidRPr="00140B26" w:rsidRDefault="00386AE3" w:rsidP="00386AE3">
      <w:pPr>
        <w:pStyle w:val="a6"/>
        <w:numPr>
          <w:ilvl w:val="0"/>
          <w:numId w:val="134"/>
        </w:numPr>
        <w:spacing w:line="240" w:lineRule="auto"/>
        <w:jc w:val="both"/>
        <w:rPr>
          <w:rFonts w:asciiTheme="majorBidi" w:hAnsiTheme="majorBidi" w:cstheme="majorBidi"/>
        </w:rPr>
      </w:pPr>
      <w:r w:rsidRPr="00140B26">
        <w:rPr>
          <w:rFonts w:asciiTheme="majorBidi" w:hAnsiTheme="majorBidi" w:cstheme="majorBidi"/>
        </w:rPr>
        <w:t>whether the omission is material or merely incidental; and</w:t>
      </w:r>
    </w:p>
    <w:p w14:paraId="0EA4A26C" w14:textId="77777777" w:rsidR="00386AE3" w:rsidRPr="00140B26" w:rsidRDefault="00386AE3" w:rsidP="00386AE3">
      <w:pPr>
        <w:pStyle w:val="a6"/>
        <w:numPr>
          <w:ilvl w:val="0"/>
          <w:numId w:val="134"/>
        </w:numPr>
        <w:spacing w:line="240" w:lineRule="auto"/>
        <w:jc w:val="both"/>
        <w:rPr>
          <w:rFonts w:asciiTheme="majorBidi" w:hAnsiTheme="majorBidi" w:cstheme="majorBidi"/>
        </w:rPr>
      </w:pPr>
      <w:r w:rsidRPr="00140B26">
        <w:rPr>
          <w:rFonts w:asciiTheme="majorBidi" w:hAnsiTheme="majorBidi" w:cstheme="majorBidi"/>
        </w:rPr>
        <w:t>whether the legislature could reasonably have intended to leave the matter unregulated.</w:t>
      </w:r>
    </w:p>
    <w:p w14:paraId="5CF7CC85"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Do not assume that an omission is unconstitutional merely because it exists.</w:t>
      </w:r>
    </w:p>
    <w:p w14:paraId="296DE881" w14:textId="77777777" w:rsidR="00386AE3" w:rsidRPr="00140B26" w:rsidRDefault="00386AE3" w:rsidP="00386AE3">
      <w:pPr>
        <w:pStyle w:val="a6"/>
        <w:numPr>
          <w:ilvl w:val="0"/>
          <w:numId w:val="132"/>
        </w:numPr>
        <w:spacing w:line="240" w:lineRule="auto"/>
        <w:jc w:val="both"/>
        <w:rPr>
          <w:rFonts w:asciiTheme="majorBidi" w:hAnsiTheme="majorBidi" w:cstheme="majorBidi"/>
          <w:b/>
          <w:bCs/>
        </w:rPr>
      </w:pPr>
      <w:r w:rsidRPr="00140B26">
        <w:rPr>
          <w:rFonts w:asciiTheme="majorBidi" w:hAnsiTheme="majorBidi" w:cstheme="majorBidi"/>
          <w:b/>
          <w:bCs/>
        </w:rPr>
        <w:t>Constitutional Assessment</w:t>
      </w:r>
    </w:p>
    <w:p w14:paraId="787D5CB3"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For each potentially material omission, assess whether it could raise a constitutional issue.</w:t>
      </w:r>
    </w:p>
    <w:p w14:paraId="7C5A35EF"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Identify the relevant constitutional principles or rights and explain the legal connection between the omission and the constitutional issue.</w:t>
      </w:r>
    </w:p>
    <w:p w14:paraId="2BD41C38"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In particular, consider whether the statutory mechanism provides adequate procedural protection to the affected member of the academic staff before the termination of his service.</w:t>
      </w:r>
    </w:p>
    <w:p w14:paraId="034B56B5" w14:textId="77777777" w:rsidR="00386AE3" w:rsidRDefault="00386AE3" w:rsidP="00386AE3">
      <w:pPr>
        <w:spacing w:line="240" w:lineRule="auto"/>
        <w:jc w:val="both"/>
        <w:rPr>
          <w:rFonts w:asciiTheme="majorBidi" w:hAnsiTheme="majorBidi" w:cstheme="majorBidi"/>
        </w:rPr>
      </w:pPr>
    </w:p>
    <w:p w14:paraId="7C4A005E"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Explain both:</w:t>
      </w:r>
    </w:p>
    <w:p w14:paraId="3DFD1335" w14:textId="77777777" w:rsidR="00386AE3" w:rsidRPr="00140B26" w:rsidRDefault="00386AE3" w:rsidP="00386AE3">
      <w:pPr>
        <w:spacing w:line="240" w:lineRule="auto"/>
        <w:jc w:val="both"/>
        <w:rPr>
          <w:rFonts w:asciiTheme="majorBidi" w:hAnsiTheme="majorBidi" w:cstheme="majorBidi"/>
          <w:b/>
          <w:bCs/>
        </w:rPr>
      </w:pPr>
      <w:r w:rsidRPr="00140B26">
        <w:rPr>
          <w:rFonts w:asciiTheme="majorBidi" w:hAnsiTheme="majorBidi" w:cstheme="majorBidi"/>
          <w:b/>
          <w:bCs/>
        </w:rPr>
        <w:t>A. The argument that the omission is constitutionally problematic.</w:t>
      </w:r>
    </w:p>
    <w:p w14:paraId="30D6A8CE" w14:textId="77777777" w:rsidR="00386AE3" w:rsidRPr="00140B26" w:rsidRDefault="00386AE3" w:rsidP="00386AE3">
      <w:pPr>
        <w:spacing w:line="240" w:lineRule="auto"/>
        <w:jc w:val="both"/>
        <w:rPr>
          <w:rFonts w:asciiTheme="majorBidi" w:hAnsiTheme="majorBidi" w:cstheme="majorBidi"/>
          <w:b/>
          <w:bCs/>
        </w:rPr>
      </w:pPr>
      <w:r w:rsidRPr="00140B26">
        <w:rPr>
          <w:rFonts w:asciiTheme="majorBidi" w:hAnsiTheme="majorBidi" w:cstheme="majorBidi"/>
          <w:b/>
          <w:bCs/>
        </w:rPr>
        <w:t>B. The counterargument that the omission represents a permissible legislative choice.</w:t>
      </w:r>
    </w:p>
    <w:p w14:paraId="3616A46E" w14:textId="77777777" w:rsidR="00386AE3" w:rsidRPr="00EC6960" w:rsidRDefault="00386AE3" w:rsidP="00386AE3">
      <w:pPr>
        <w:spacing w:line="240" w:lineRule="auto"/>
        <w:jc w:val="both"/>
        <w:rPr>
          <w:rFonts w:asciiTheme="majorBidi" w:hAnsiTheme="majorBidi" w:cstheme="majorBidi"/>
        </w:rPr>
      </w:pPr>
    </w:p>
    <w:p w14:paraId="1DAECF47" w14:textId="77777777" w:rsidR="00386AE3" w:rsidRPr="00140B26" w:rsidRDefault="00386AE3" w:rsidP="00386AE3">
      <w:pPr>
        <w:pStyle w:val="a6"/>
        <w:numPr>
          <w:ilvl w:val="0"/>
          <w:numId w:val="132"/>
        </w:numPr>
        <w:spacing w:line="240" w:lineRule="auto"/>
        <w:jc w:val="both"/>
        <w:rPr>
          <w:rFonts w:asciiTheme="majorBidi" w:hAnsiTheme="majorBidi" w:cstheme="majorBidi"/>
          <w:b/>
          <w:bCs/>
        </w:rPr>
      </w:pPr>
      <w:r w:rsidRPr="00140B26">
        <w:rPr>
          <w:rFonts w:asciiTheme="majorBidi" w:hAnsiTheme="majorBidi" w:cstheme="majorBidi"/>
          <w:b/>
          <w:bCs/>
        </w:rPr>
        <w:t>Legislative-Gap Classification</w:t>
      </w:r>
    </w:p>
    <w:p w14:paraId="56529CED"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Classify the principal issue, if any, using the following categories:</w:t>
      </w:r>
    </w:p>
    <w:p w14:paraId="3A5B0A89" w14:textId="77777777" w:rsidR="00386AE3" w:rsidRPr="00140B26" w:rsidRDefault="00386AE3" w:rsidP="00386AE3">
      <w:pPr>
        <w:pStyle w:val="a6"/>
        <w:numPr>
          <w:ilvl w:val="0"/>
          <w:numId w:val="135"/>
        </w:numPr>
        <w:spacing w:line="240" w:lineRule="auto"/>
        <w:jc w:val="both"/>
        <w:rPr>
          <w:rFonts w:asciiTheme="majorBidi" w:hAnsiTheme="majorBidi" w:cstheme="majorBidi"/>
        </w:rPr>
      </w:pPr>
      <w:r w:rsidRPr="00140B26">
        <w:rPr>
          <w:rFonts w:asciiTheme="majorBidi" w:hAnsiTheme="majorBidi" w:cstheme="majorBidi"/>
        </w:rPr>
        <w:t>no legislative gap;</w:t>
      </w:r>
    </w:p>
    <w:p w14:paraId="51B00CD3" w14:textId="77777777" w:rsidR="00386AE3" w:rsidRPr="00140B26" w:rsidRDefault="00386AE3" w:rsidP="00386AE3">
      <w:pPr>
        <w:pStyle w:val="a6"/>
        <w:numPr>
          <w:ilvl w:val="0"/>
          <w:numId w:val="135"/>
        </w:numPr>
        <w:spacing w:line="240" w:lineRule="auto"/>
        <w:jc w:val="both"/>
        <w:rPr>
          <w:rFonts w:asciiTheme="majorBidi" w:hAnsiTheme="majorBidi" w:cstheme="majorBidi"/>
        </w:rPr>
      </w:pPr>
      <w:r w:rsidRPr="00140B26">
        <w:rPr>
          <w:rFonts w:asciiTheme="majorBidi" w:hAnsiTheme="majorBidi" w:cstheme="majorBidi"/>
        </w:rPr>
        <w:t>textual omission without constitutional significance;</w:t>
      </w:r>
    </w:p>
    <w:p w14:paraId="69E8D96F" w14:textId="77777777" w:rsidR="00386AE3" w:rsidRPr="00140B26" w:rsidRDefault="00386AE3" w:rsidP="00386AE3">
      <w:pPr>
        <w:pStyle w:val="a6"/>
        <w:numPr>
          <w:ilvl w:val="0"/>
          <w:numId w:val="135"/>
        </w:numPr>
        <w:spacing w:line="240" w:lineRule="auto"/>
        <w:jc w:val="both"/>
        <w:rPr>
          <w:rFonts w:asciiTheme="majorBidi" w:hAnsiTheme="majorBidi" w:cstheme="majorBidi"/>
        </w:rPr>
      </w:pPr>
      <w:r w:rsidRPr="00140B26">
        <w:rPr>
          <w:rFonts w:asciiTheme="majorBidi" w:hAnsiTheme="majorBidi" w:cstheme="majorBidi"/>
        </w:rPr>
        <w:t>material legislative gap;</w:t>
      </w:r>
    </w:p>
    <w:p w14:paraId="24EA6EE9" w14:textId="77777777" w:rsidR="00386AE3" w:rsidRPr="00140B26" w:rsidRDefault="00386AE3" w:rsidP="00386AE3">
      <w:pPr>
        <w:pStyle w:val="a6"/>
        <w:numPr>
          <w:ilvl w:val="0"/>
          <w:numId w:val="135"/>
        </w:numPr>
        <w:spacing w:line="240" w:lineRule="auto"/>
        <w:jc w:val="both"/>
        <w:rPr>
          <w:rFonts w:asciiTheme="majorBidi" w:hAnsiTheme="majorBidi" w:cstheme="majorBidi"/>
        </w:rPr>
      </w:pPr>
      <w:r w:rsidRPr="00140B26">
        <w:rPr>
          <w:rFonts w:asciiTheme="majorBidi" w:hAnsiTheme="majorBidi" w:cstheme="majorBidi"/>
        </w:rPr>
        <w:t>constitutionally significant legislative omission.</w:t>
      </w:r>
    </w:p>
    <w:p w14:paraId="50ADB696"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Explain the classification.</w:t>
      </w:r>
    </w:p>
    <w:p w14:paraId="33427F72" w14:textId="77777777" w:rsidR="00386AE3" w:rsidRPr="00140B26" w:rsidRDefault="00386AE3" w:rsidP="00386AE3">
      <w:pPr>
        <w:pStyle w:val="a6"/>
        <w:numPr>
          <w:ilvl w:val="0"/>
          <w:numId w:val="132"/>
        </w:numPr>
        <w:spacing w:line="240" w:lineRule="auto"/>
        <w:jc w:val="both"/>
        <w:rPr>
          <w:rFonts w:asciiTheme="majorBidi" w:hAnsiTheme="majorBidi" w:cstheme="majorBidi"/>
          <w:b/>
          <w:bCs/>
        </w:rPr>
      </w:pPr>
      <w:r w:rsidRPr="00140B26">
        <w:rPr>
          <w:rFonts w:asciiTheme="majorBidi" w:hAnsiTheme="majorBidi" w:cstheme="majorBidi"/>
          <w:b/>
          <w:bCs/>
        </w:rPr>
        <w:t>Judicial-Review Perspective</w:t>
      </w:r>
    </w:p>
    <w:p w14:paraId="192001EC" w14:textId="77777777" w:rsidR="00386AE3" w:rsidRPr="00EC6960" w:rsidRDefault="00386AE3" w:rsidP="00386AE3">
      <w:pPr>
        <w:spacing w:line="240" w:lineRule="auto"/>
        <w:jc w:val="both"/>
        <w:rPr>
          <w:rFonts w:asciiTheme="majorBidi" w:hAnsiTheme="majorBidi" w:cstheme="majorBidi"/>
        </w:rPr>
      </w:pPr>
    </w:p>
    <w:p w14:paraId="7BF6757A"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Assume that an affected member of the academic staff challenges the constitutionality of the provision on the ground that it fails to provide an adequate procedural safeguard before termination of service.</w:t>
      </w:r>
    </w:p>
    <w:p w14:paraId="3905B2BF" w14:textId="77777777" w:rsidR="00386AE3" w:rsidRPr="00EC6960" w:rsidRDefault="00386AE3" w:rsidP="00386AE3">
      <w:pPr>
        <w:spacing w:line="240" w:lineRule="auto"/>
        <w:jc w:val="both"/>
        <w:rPr>
          <w:rFonts w:asciiTheme="majorBidi" w:hAnsiTheme="majorBidi" w:cstheme="majorBidi"/>
        </w:rPr>
      </w:pPr>
      <w:proofErr w:type="spellStart"/>
      <w:r w:rsidRPr="00EC6960">
        <w:rPr>
          <w:rFonts w:asciiTheme="majorBidi" w:hAnsiTheme="majorBidi" w:cstheme="majorBidi"/>
        </w:rPr>
        <w:t>Analyse</w:t>
      </w:r>
      <w:proofErr w:type="spellEnd"/>
      <w:r w:rsidRPr="00EC6960">
        <w:rPr>
          <w:rFonts w:asciiTheme="majorBidi" w:hAnsiTheme="majorBidi" w:cstheme="majorBidi"/>
        </w:rPr>
        <w:t xml:space="preserve"> how a constitutional court could approach the challenge.</w:t>
      </w:r>
    </w:p>
    <w:p w14:paraId="2AA712BE"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lastRenderedPageBreak/>
        <w:t>Do not predict the result merely by intuition. Identify the competing constitutional considerations and explain which interpretation is legally stronger and why.</w:t>
      </w:r>
    </w:p>
    <w:p w14:paraId="6686D631" w14:textId="77777777" w:rsidR="00386AE3" w:rsidRPr="00EC6960" w:rsidRDefault="00386AE3" w:rsidP="00386AE3">
      <w:pPr>
        <w:spacing w:line="240" w:lineRule="auto"/>
        <w:jc w:val="both"/>
        <w:rPr>
          <w:rFonts w:asciiTheme="majorBidi" w:hAnsiTheme="majorBidi" w:cstheme="majorBidi"/>
        </w:rPr>
      </w:pPr>
    </w:p>
    <w:p w14:paraId="5DD40777" w14:textId="77777777" w:rsidR="00386AE3" w:rsidRPr="00140B26" w:rsidRDefault="00386AE3" w:rsidP="00386AE3">
      <w:pPr>
        <w:pStyle w:val="a6"/>
        <w:numPr>
          <w:ilvl w:val="0"/>
          <w:numId w:val="132"/>
        </w:numPr>
        <w:spacing w:line="240" w:lineRule="auto"/>
        <w:jc w:val="both"/>
        <w:rPr>
          <w:rFonts w:asciiTheme="majorBidi" w:hAnsiTheme="majorBidi" w:cstheme="majorBidi"/>
          <w:b/>
          <w:bCs/>
        </w:rPr>
      </w:pPr>
      <w:r w:rsidRPr="00140B26">
        <w:rPr>
          <w:rFonts w:asciiTheme="majorBidi" w:hAnsiTheme="majorBidi" w:cstheme="majorBidi"/>
          <w:b/>
          <w:bCs/>
        </w:rPr>
        <w:t>Proposed Legislative Amendment</w:t>
      </w:r>
    </w:p>
    <w:p w14:paraId="2A2F4F20"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If you conclude that the provision contains a material or constitutionally significant omission, propose a precise Arabic legislative amendment.</w:t>
      </w:r>
    </w:p>
    <w:p w14:paraId="73FB51DE"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The amendment must:</w:t>
      </w:r>
    </w:p>
    <w:p w14:paraId="0B80AA49" w14:textId="77777777" w:rsidR="00386AE3" w:rsidRPr="00140B26" w:rsidRDefault="00386AE3" w:rsidP="00386AE3">
      <w:pPr>
        <w:pStyle w:val="a6"/>
        <w:numPr>
          <w:ilvl w:val="0"/>
          <w:numId w:val="136"/>
        </w:numPr>
        <w:spacing w:line="240" w:lineRule="auto"/>
        <w:jc w:val="both"/>
        <w:rPr>
          <w:rFonts w:asciiTheme="majorBidi" w:hAnsiTheme="majorBidi" w:cstheme="majorBidi"/>
        </w:rPr>
      </w:pPr>
      <w:r w:rsidRPr="00140B26">
        <w:rPr>
          <w:rFonts w:asciiTheme="majorBidi" w:hAnsiTheme="majorBidi" w:cstheme="majorBidi"/>
        </w:rPr>
        <w:t>preserve the existing structure of the provision as far as possible;</w:t>
      </w:r>
    </w:p>
    <w:p w14:paraId="62117714" w14:textId="77777777" w:rsidR="00386AE3" w:rsidRPr="00140B26" w:rsidRDefault="00386AE3" w:rsidP="00386AE3">
      <w:pPr>
        <w:pStyle w:val="a6"/>
        <w:numPr>
          <w:ilvl w:val="0"/>
          <w:numId w:val="136"/>
        </w:numPr>
        <w:spacing w:line="240" w:lineRule="auto"/>
        <w:jc w:val="both"/>
        <w:rPr>
          <w:rFonts w:asciiTheme="majorBidi" w:hAnsiTheme="majorBidi" w:cstheme="majorBidi"/>
        </w:rPr>
      </w:pPr>
      <w:r w:rsidRPr="00140B26">
        <w:rPr>
          <w:rFonts w:asciiTheme="majorBidi" w:hAnsiTheme="majorBidi" w:cstheme="majorBidi"/>
        </w:rPr>
        <w:t>address only the identified defect;</w:t>
      </w:r>
    </w:p>
    <w:p w14:paraId="53121BD2" w14:textId="77777777" w:rsidR="00386AE3" w:rsidRPr="00140B26" w:rsidRDefault="00386AE3" w:rsidP="00386AE3">
      <w:pPr>
        <w:pStyle w:val="a6"/>
        <w:numPr>
          <w:ilvl w:val="0"/>
          <w:numId w:val="136"/>
        </w:numPr>
        <w:spacing w:line="240" w:lineRule="auto"/>
        <w:jc w:val="both"/>
        <w:rPr>
          <w:rFonts w:asciiTheme="majorBidi" w:hAnsiTheme="majorBidi" w:cstheme="majorBidi"/>
        </w:rPr>
      </w:pPr>
      <w:r w:rsidRPr="00140B26">
        <w:rPr>
          <w:rFonts w:asciiTheme="majorBidi" w:hAnsiTheme="majorBidi" w:cstheme="majorBidi"/>
        </w:rPr>
        <w:t>use formal Egyptian legislative drafting language; and</w:t>
      </w:r>
    </w:p>
    <w:p w14:paraId="78C23428" w14:textId="77777777" w:rsidR="00386AE3" w:rsidRPr="00140B26" w:rsidRDefault="00386AE3" w:rsidP="00386AE3">
      <w:pPr>
        <w:pStyle w:val="a6"/>
        <w:numPr>
          <w:ilvl w:val="0"/>
          <w:numId w:val="136"/>
        </w:numPr>
        <w:spacing w:line="240" w:lineRule="auto"/>
        <w:jc w:val="both"/>
        <w:rPr>
          <w:rFonts w:asciiTheme="majorBidi" w:hAnsiTheme="majorBidi" w:cstheme="majorBidi"/>
        </w:rPr>
      </w:pPr>
      <w:r w:rsidRPr="00140B26">
        <w:rPr>
          <w:rFonts w:asciiTheme="majorBidi" w:hAnsiTheme="majorBidi" w:cstheme="majorBidi"/>
        </w:rPr>
        <w:t>clearly specify the procedural safeguard to be introduced.</w:t>
      </w:r>
    </w:p>
    <w:p w14:paraId="4D57DFD0"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If you conclude that no amendment is legally necessary, explain why instead of proposing an artificial amendment.</w:t>
      </w:r>
    </w:p>
    <w:p w14:paraId="3F31FD03" w14:textId="77777777" w:rsidR="00386AE3" w:rsidRPr="00EC6960" w:rsidRDefault="00386AE3" w:rsidP="00386AE3">
      <w:pPr>
        <w:spacing w:line="240" w:lineRule="auto"/>
        <w:jc w:val="both"/>
        <w:rPr>
          <w:rFonts w:asciiTheme="majorBidi" w:hAnsiTheme="majorBidi" w:cstheme="majorBidi"/>
        </w:rPr>
      </w:pPr>
    </w:p>
    <w:p w14:paraId="7BC43CBE" w14:textId="77777777" w:rsidR="00386AE3" w:rsidRPr="00140B26" w:rsidRDefault="00386AE3" w:rsidP="00386AE3">
      <w:pPr>
        <w:pStyle w:val="a6"/>
        <w:numPr>
          <w:ilvl w:val="0"/>
          <w:numId w:val="132"/>
        </w:numPr>
        <w:spacing w:line="240" w:lineRule="auto"/>
        <w:jc w:val="both"/>
        <w:rPr>
          <w:rFonts w:asciiTheme="majorBidi" w:hAnsiTheme="majorBidi" w:cstheme="majorBidi"/>
          <w:b/>
          <w:bCs/>
        </w:rPr>
      </w:pPr>
      <w:r w:rsidRPr="00140B26">
        <w:rPr>
          <w:rFonts w:asciiTheme="majorBidi" w:hAnsiTheme="majorBidi" w:cstheme="majorBidi"/>
          <w:b/>
          <w:bCs/>
        </w:rPr>
        <w:t>Confidence and Limitations</w:t>
      </w:r>
    </w:p>
    <w:p w14:paraId="325B515E"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Conclude by stating:</w:t>
      </w:r>
    </w:p>
    <w:p w14:paraId="744D3EDD" w14:textId="77777777" w:rsidR="00386AE3" w:rsidRPr="00EC6960" w:rsidRDefault="00386AE3" w:rsidP="00386AE3">
      <w:pPr>
        <w:spacing w:line="240" w:lineRule="auto"/>
        <w:jc w:val="both"/>
        <w:rPr>
          <w:rFonts w:asciiTheme="majorBidi" w:hAnsiTheme="majorBidi" w:cstheme="majorBidi"/>
        </w:rPr>
      </w:pPr>
    </w:p>
    <w:p w14:paraId="52719B92" w14:textId="77777777" w:rsidR="00386AE3" w:rsidRPr="00140B26" w:rsidRDefault="00386AE3" w:rsidP="00386AE3">
      <w:pPr>
        <w:pStyle w:val="a6"/>
        <w:numPr>
          <w:ilvl w:val="0"/>
          <w:numId w:val="136"/>
        </w:numPr>
        <w:spacing w:line="240" w:lineRule="auto"/>
        <w:jc w:val="both"/>
        <w:rPr>
          <w:rFonts w:asciiTheme="majorBidi" w:hAnsiTheme="majorBidi" w:cstheme="majorBidi"/>
        </w:rPr>
      </w:pPr>
      <w:r w:rsidRPr="00140B26">
        <w:rPr>
          <w:rFonts w:asciiTheme="majorBidi" w:hAnsiTheme="majorBidi" w:cstheme="majorBidi"/>
        </w:rPr>
        <w:t>your overall conclusion;</w:t>
      </w:r>
    </w:p>
    <w:p w14:paraId="6B6A1078" w14:textId="77777777" w:rsidR="00386AE3" w:rsidRPr="00140B26" w:rsidRDefault="00386AE3" w:rsidP="00386AE3">
      <w:pPr>
        <w:pStyle w:val="a6"/>
        <w:numPr>
          <w:ilvl w:val="0"/>
          <w:numId w:val="136"/>
        </w:numPr>
        <w:spacing w:line="240" w:lineRule="auto"/>
        <w:jc w:val="both"/>
        <w:rPr>
          <w:rFonts w:asciiTheme="majorBidi" w:hAnsiTheme="majorBidi" w:cstheme="majorBidi"/>
        </w:rPr>
      </w:pPr>
      <w:r w:rsidRPr="00140B26">
        <w:rPr>
          <w:rFonts w:asciiTheme="majorBidi" w:hAnsiTheme="majorBidi" w:cstheme="majorBidi"/>
        </w:rPr>
        <w:t>the strongest argument supporting that conclusion;</w:t>
      </w:r>
    </w:p>
    <w:p w14:paraId="5F06C307" w14:textId="77777777" w:rsidR="00386AE3" w:rsidRPr="00140B26" w:rsidRDefault="00386AE3" w:rsidP="00386AE3">
      <w:pPr>
        <w:pStyle w:val="a6"/>
        <w:numPr>
          <w:ilvl w:val="0"/>
          <w:numId w:val="136"/>
        </w:numPr>
        <w:spacing w:line="240" w:lineRule="auto"/>
        <w:jc w:val="both"/>
        <w:rPr>
          <w:rFonts w:asciiTheme="majorBidi" w:hAnsiTheme="majorBidi" w:cstheme="majorBidi"/>
        </w:rPr>
      </w:pPr>
      <w:r w:rsidRPr="00140B26">
        <w:rPr>
          <w:rFonts w:asciiTheme="majorBidi" w:hAnsiTheme="majorBidi" w:cstheme="majorBidi"/>
        </w:rPr>
        <w:t>the strongest argument against it; and</w:t>
      </w:r>
    </w:p>
    <w:p w14:paraId="2174D210" w14:textId="77777777" w:rsidR="00386AE3" w:rsidRPr="00140B26" w:rsidRDefault="00386AE3" w:rsidP="00386AE3">
      <w:pPr>
        <w:pStyle w:val="a6"/>
        <w:numPr>
          <w:ilvl w:val="0"/>
          <w:numId w:val="136"/>
        </w:numPr>
        <w:spacing w:line="240" w:lineRule="auto"/>
        <w:jc w:val="both"/>
        <w:rPr>
          <w:rFonts w:asciiTheme="majorBidi" w:hAnsiTheme="majorBidi" w:cstheme="majorBidi"/>
        </w:rPr>
      </w:pPr>
      <w:r w:rsidRPr="00140B26">
        <w:rPr>
          <w:rFonts w:asciiTheme="majorBidi" w:hAnsiTheme="majorBidi" w:cstheme="majorBidi"/>
        </w:rPr>
        <w:t>any uncertainty arising from the absence of additional legislative history or judicial authorities.</w:t>
      </w:r>
    </w:p>
    <w:p w14:paraId="19AB8695" w14:textId="77777777" w:rsidR="00386AE3" w:rsidRDefault="00386AE3" w:rsidP="00386AE3">
      <w:pPr>
        <w:spacing w:line="240" w:lineRule="auto"/>
        <w:jc w:val="both"/>
        <w:rPr>
          <w:rFonts w:asciiTheme="majorBidi" w:hAnsiTheme="majorBidi" w:cstheme="majorBidi"/>
        </w:rPr>
      </w:pPr>
    </w:p>
    <w:p w14:paraId="6456C2A4" w14:textId="77777777" w:rsidR="00386AE3" w:rsidRPr="00EC6960" w:rsidRDefault="00386AE3" w:rsidP="00386AE3">
      <w:pPr>
        <w:spacing w:line="240" w:lineRule="auto"/>
        <w:jc w:val="both"/>
        <w:rPr>
          <w:rFonts w:asciiTheme="majorBidi" w:hAnsiTheme="majorBidi" w:cstheme="majorBidi"/>
        </w:rPr>
      </w:pPr>
      <w:r w:rsidRPr="00EC6960">
        <w:rPr>
          <w:rFonts w:asciiTheme="majorBidi" w:hAnsiTheme="majorBidi" w:cstheme="majorBidi"/>
        </w:rPr>
        <w:t>Do not manufacture authorities to eliminate uncertainty.</w:t>
      </w:r>
    </w:p>
    <w:p w14:paraId="6F75F67A" w14:textId="77777777" w:rsidR="00386AE3" w:rsidRDefault="00386AE3" w:rsidP="00386AE3">
      <w:pPr>
        <w:bidi/>
        <w:jc w:val="both"/>
        <w:rPr>
          <w:rtl/>
          <w:lang w:bidi="ar-EG"/>
        </w:rPr>
      </w:pPr>
      <w:r>
        <w:rPr>
          <w:rtl/>
          <w:lang w:bidi="ar-EG"/>
        </w:rPr>
        <w:br w:type="page"/>
      </w:r>
    </w:p>
    <w:p w14:paraId="1B7D8B8D" w14:textId="77777777" w:rsidR="00386AE3" w:rsidRDefault="00386AE3" w:rsidP="00386AE3">
      <w:pPr>
        <w:bidi/>
        <w:ind w:firstLine="0"/>
        <w:jc w:val="both"/>
        <w:rPr>
          <w:rtl/>
          <w:lang w:bidi="ar-EG"/>
        </w:rPr>
      </w:pPr>
    </w:p>
    <w:p w14:paraId="3A5F62FC" w14:textId="77777777" w:rsidR="00386AE3" w:rsidRDefault="00386AE3" w:rsidP="00386AE3">
      <w:pPr>
        <w:bidi/>
        <w:ind w:firstLine="0"/>
        <w:jc w:val="both"/>
        <w:rPr>
          <w:rtl/>
        </w:rPr>
      </w:pPr>
    </w:p>
    <w:p w14:paraId="78653150" w14:textId="0BC6A3B5" w:rsidR="00386AE3" w:rsidRDefault="00386AE3" w:rsidP="00386AE3">
      <w:pPr>
        <w:bidi/>
        <w:ind w:firstLine="0"/>
        <w:jc w:val="both"/>
      </w:pPr>
    </w:p>
    <w:p w14:paraId="5E830DF9" w14:textId="64BC04A3" w:rsidR="00B72E5B" w:rsidRDefault="00B72E5B" w:rsidP="00B72E5B">
      <w:pPr>
        <w:bidi/>
        <w:ind w:firstLine="0"/>
        <w:jc w:val="both"/>
      </w:pPr>
    </w:p>
    <w:p w14:paraId="1C0AD2BC" w14:textId="664330E4" w:rsidR="00B72E5B" w:rsidRDefault="00B72E5B" w:rsidP="00B72E5B">
      <w:pPr>
        <w:bidi/>
        <w:ind w:firstLine="0"/>
        <w:jc w:val="both"/>
      </w:pPr>
    </w:p>
    <w:p w14:paraId="3AB77651" w14:textId="2B42D2F3" w:rsidR="00B72E5B" w:rsidRDefault="00B72E5B" w:rsidP="00B72E5B">
      <w:pPr>
        <w:bidi/>
        <w:ind w:firstLine="0"/>
        <w:jc w:val="both"/>
      </w:pPr>
    </w:p>
    <w:p w14:paraId="3DA37FBB" w14:textId="77777777" w:rsidR="00B72E5B" w:rsidRDefault="00B72E5B" w:rsidP="00B72E5B">
      <w:pPr>
        <w:bidi/>
        <w:ind w:firstLine="0"/>
        <w:jc w:val="both"/>
        <w:rPr>
          <w:rtl/>
        </w:rPr>
      </w:pPr>
    </w:p>
    <w:p w14:paraId="5D21CD1C" w14:textId="77777777" w:rsidR="00386AE3" w:rsidRDefault="00386AE3" w:rsidP="00386AE3">
      <w:pPr>
        <w:bidi/>
        <w:ind w:firstLine="0"/>
        <w:jc w:val="both"/>
        <w:rPr>
          <w:rtl/>
        </w:rPr>
      </w:pPr>
    </w:p>
    <w:p w14:paraId="74C69F88" w14:textId="77777777" w:rsidR="00386AE3" w:rsidRDefault="00386AE3" w:rsidP="00386AE3">
      <w:pPr>
        <w:bidi/>
        <w:ind w:firstLine="0"/>
        <w:jc w:val="both"/>
        <w:rPr>
          <w:rtl/>
        </w:rPr>
      </w:pPr>
    </w:p>
    <w:p w14:paraId="02E327FC" w14:textId="77777777" w:rsidR="00386AE3" w:rsidRPr="00AB2B5F" w:rsidRDefault="00386AE3" w:rsidP="00386AE3">
      <w:pPr>
        <w:pStyle w:val="1"/>
        <w:rPr>
          <w:rFonts w:asciiTheme="majorBidi" w:hAnsiTheme="majorBidi" w:cstheme="majorBidi"/>
          <w:b w:val="0"/>
          <w:bCs w:val="0"/>
          <w:rtl/>
        </w:rPr>
      </w:pPr>
      <w:r w:rsidRPr="002A685C">
        <w:rPr>
          <w:rFonts w:asciiTheme="majorBidi" w:hAnsiTheme="majorBidi" w:cstheme="majorBidi"/>
          <w:b w:val="0"/>
          <w:bCs w:val="0"/>
        </w:rPr>
        <w:t>Part I</w:t>
      </w:r>
      <w:r>
        <w:rPr>
          <w:rFonts w:asciiTheme="majorBidi" w:hAnsiTheme="majorBidi" w:cstheme="majorBidi"/>
          <w:b w:val="0"/>
          <w:bCs w:val="0"/>
        </w:rPr>
        <w:t>I</w:t>
      </w:r>
    </w:p>
    <w:p w14:paraId="5F81A086" w14:textId="77777777" w:rsidR="00386AE3" w:rsidRPr="00AB2B5F" w:rsidRDefault="00386AE3" w:rsidP="00386AE3">
      <w:pPr>
        <w:pStyle w:val="1"/>
        <w:rPr>
          <w:rFonts w:asciiTheme="majorBidi" w:hAnsiTheme="majorBidi" w:cstheme="majorBidi"/>
          <w:b w:val="0"/>
          <w:bCs w:val="0"/>
        </w:rPr>
      </w:pPr>
      <w:r w:rsidRPr="00AB2B5F">
        <w:rPr>
          <w:rFonts w:asciiTheme="majorBidi" w:hAnsiTheme="majorBidi" w:cstheme="majorBidi"/>
          <w:b w:val="0"/>
          <w:bCs w:val="0"/>
        </w:rPr>
        <w:t>Case studies</w:t>
      </w:r>
    </w:p>
    <w:p w14:paraId="0AF81472" w14:textId="77777777" w:rsidR="00386AE3" w:rsidRDefault="00386AE3" w:rsidP="00386AE3">
      <w:pPr>
        <w:bidi/>
        <w:ind w:firstLine="0"/>
        <w:jc w:val="both"/>
        <w:rPr>
          <w:rtl/>
          <w:lang w:bidi="ar-EG"/>
        </w:rPr>
      </w:pPr>
    </w:p>
    <w:p w14:paraId="6A3502C6" w14:textId="77777777" w:rsidR="00386AE3" w:rsidRDefault="00386AE3" w:rsidP="00386AE3">
      <w:pPr>
        <w:bidi/>
        <w:ind w:firstLine="0"/>
        <w:jc w:val="both"/>
        <w:rPr>
          <w:rtl/>
          <w:lang w:bidi="ar-EG"/>
        </w:rPr>
      </w:pPr>
    </w:p>
    <w:p w14:paraId="0EB849F6" w14:textId="77777777" w:rsidR="00386AE3" w:rsidRDefault="00386AE3" w:rsidP="00386AE3">
      <w:pPr>
        <w:bidi/>
        <w:ind w:firstLine="0"/>
        <w:jc w:val="both"/>
        <w:rPr>
          <w:rtl/>
          <w:lang w:bidi="ar-EG"/>
        </w:rPr>
      </w:pPr>
    </w:p>
    <w:p w14:paraId="4EFA28A6" w14:textId="77777777" w:rsidR="00386AE3" w:rsidRDefault="00386AE3" w:rsidP="00386AE3">
      <w:pPr>
        <w:bidi/>
        <w:ind w:firstLine="0"/>
        <w:jc w:val="both"/>
        <w:rPr>
          <w:rtl/>
          <w:lang w:bidi="ar-EG"/>
        </w:rPr>
      </w:pPr>
    </w:p>
    <w:p w14:paraId="6DF650AD" w14:textId="77777777" w:rsidR="00386AE3" w:rsidRDefault="00386AE3" w:rsidP="00386AE3">
      <w:pPr>
        <w:bidi/>
        <w:ind w:firstLine="0"/>
        <w:jc w:val="both"/>
        <w:rPr>
          <w:rtl/>
          <w:lang w:bidi="ar-EG"/>
        </w:rPr>
      </w:pPr>
    </w:p>
    <w:p w14:paraId="1D81FE07" w14:textId="77777777" w:rsidR="00386AE3" w:rsidRDefault="00386AE3" w:rsidP="00386AE3">
      <w:pPr>
        <w:bidi/>
        <w:ind w:firstLine="0"/>
        <w:jc w:val="both"/>
        <w:rPr>
          <w:rtl/>
          <w:lang w:bidi="ar-EG"/>
        </w:rPr>
      </w:pPr>
    </w:p>
    <w:p w14:paraId="1EFB0BB7" w14:textId="77777777" w:rsidR="00386AE3" w:rsidRDefault="00386AE3" w:rsidP="00386AE3">
      <w:pPr>
        <w:bidi/>
        <w:ind w:firstLine="0"/>
        <w:jc w:val="both"/>
        <w:rPr>
          <w:rtl/>
          <w:lang w:bidi="ar-EG"/>
        </w:rPr>
      </w:pPr>
    </w:p>
    <w:p w14:paraId="1FFD35A9" w14:textId="77777777" w:rsidR="00386AE3" w:rsidRDefault="00386AE3" w:rsidP="00386AE3">
      <w:pPr>
        <w:bidi/>
        <w:ind w:firstLine="0"/>
        <w:jc w:val="both"/>
        <w:rPr>
          <w:rtl/>
          <w:lang w:bidi="ar-EG"/>
        </w:rPr>
      </w:pPr>
    </w:p>
    <w:p w14:paraId="738A8CF8" w14:textId="4467FF67" w:rsidR="00386AE3" w:rsidRDefault="00386AE3" w:rsidP="00386AE3">
      <w:pPr>
        <w:bidi/>
        <w:ind w:firstLine="0"/>
        <w:jc w:val="both"/>
        <w:rPr>
          <w:lang w:bidi="ar-EG"/>
        </w:rPr>
      </w:pPr>
    </w:p>
    <w:p w14:paraId="64BDDD6B" w14:textId="77777777" w:rsidR="00B72E5B" w:rsidRDefault="00B72E5B" w:rsidP="00B72E5B">
      <w:pPr>
        <w:bidi/>
        <w:ind w:firstLine="0"/>
        <w:jc w:val="both"/>
        <w:rPr>
          <w:lang w:bidi="ar-EG"/>
        </w:rPr>
      </w:pPr>
    </w:p>
    <w:p w14:paraId="254EFE35" w14:textId="77777777" w:rsidR="00386AE3" w:rsidRDefault="00386AE3" w:rsidP="00386AE3">
      <w:pPr>
        <w:bidi/>
        <w:ind w:firstLine="0"/>
        <w:jc w:val="both"/>
        <w:rPr>
          <w:rtl/>
          <w:lang w:bidi="ar-EG"/>
        </w:rPr>
      </w:pPr>
    </w:p>
    <w:p w14:paraId="627AF152" w14:textId="77777777" w:rsidR="00386AE3" w:rsidRPr="00AB2B5F" w:rsidRDefault="00386AE3" w:rsidP="00386AE3">
      <w:pPr>
        <w:pStyle w:val="1"/>
        <w:rPr>
          <w:rFonts w:asciiTheme="majorBidi" w:hAnsiTheme="majorBidi" w:cstheme="majorBidi"/>
          <w:rtl/>
        </w:rPr>
      </w:pPr>
      <w:r w:rsidRPr="00AB2B5F">
        <w:rPr>
          <w:rFonts w:asciiTheme="majorBidi" w:hAnsiTheme="majorBidi" w:cstheme="majorBidi"/>
        </w:rPr>
        <w:lastRenderedPageBreak/>
        <w:t>Case study I</w:t>
      </w:r>
    </w:p>
    <w:p w14:paraId="2188CE3A" w14:textId="77777777" w:rsidR="00386AE3" w:rsidRPr="00AB2B5F" w:rsidRDefault="00386AE3" w:rsidP="00386AE3">
      <w:pPr>
        <w:pStyle w:val="2"/>
        <w:rPr>
          <w:rFonts w:asciiTheme="majorBidi" w:hAnsiTheme="majorBidi" w:cstheme="majorBidi"/>
        </w:rPr>
      </w:pPr>
      <w:r w:rsidRPr="00AB2B5F">
        <w:rPr>
          <w:rFonts w:asciiTheme="majorBidi" w:hAnsiTheme="majorBidi" w:cstheme="majorBidi"/>
        </w:rPr>
        <w:t xml:space="preserve">ChatGPT </w:t>
      </w:r>
      <w:r>
        <w:rPr>
          <w:rFonts w:asciiTheme="majorBidi" w:hAnsiTheme="majorBidi" w:cstheme="majorBidi"/>
        </w:rPr>
        <w:t>Output</w:t>
      </w:r>
    </w:p>
    <w:p w14:paraId="185C4F14"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1. Statutory Structure</w:t>
      </w:r>
    </w:p>
    <w:p w14:paraId="28527B19"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The following is an independent analysis of the text, while distinguishing between </w:t>
      </w:r>
      <w:r w:rsidRPr="0021068A">
        <w:rPr>
          <w:rFonts w:ascii="Times New Roman" w:eastAsia="Times New Roman" w:hAnsi="Times New Roman" w:cs="Times New Roman"/>
          <w:b/>
          <w:bCs/>
          <w:kern w:val="0"/>
          <w14:ligatures w14:val="none"/>
        </w:rPr>
        <w:t>what the text itself reveals</w:t>
      </w:r>
      <w:r w:rsidRPr="0021068A">
        <w:rPr>
          <w:rFonts w:ascii="Times New Roman" w:eastAsia="Times New Roman" w:hAnsi="Times New Roman" w:cs="Times New Roman"/>
          <w:kern w:val="0"/>
          <w14:ligatures w14:val="none"/>
        </w:rPr>
        <w:t xml:space="preserve"> and what may be derived from the Egyptian constitutional and judicial framework. I have specifically verified the existence of a judgment of the Supreme Constitutional Court that addressed </w:t>
      </w:r>
      <w:r w:rsidRPr="0021068A">
        <w:rPr>
          <w:rFonts w:ascii="Times New Roman" w:eastAsia="Times New Roman" w:hAnsi="Times New Roman" w:cs="Times New Roman"/>
          <w:b/>
          <w:bCs/>
          <w:kern w:val="0"/>
          <w14:ligatures w14:val="none"/>
        </w:rPr>
        <w:t>Article 117 itself</w:t>
      </w:r>
      <w:r w:rsidRPr="0021068A">
        <w:rPr>
          <w:rFonts w:ascii="Times New Roman" w:eastAsia="Times New Roman" w:hAnsi="Times New Roman" w:cs="Times New Roman"/>
          <w:kern w:val="0"/>
          <w14:ligatures w14:val="none"/>
        </w:rPr>
        <w:t xml:space="preserve"> and the issue of the absence of a requirement to issue a warning. Therefore, I will not treat this issue as merely a theoretical possibility. (</w:t>
      </w:r>
      <w:hyperlink r:id="rId5" w:history="1">
        <w:r w:rsidRPr="0021068A">
          <w:rPr>
            <w:rFonts w:ascii="Times New Roman" w:eastAsia="Times New Roman" w:hAnsi="Times New Roman" w:cs="Times New Roman"/>
            <w:color w:val="0000FF"/>
            <w:kern w:val="0"/>
            <w:u w:val="single"/>
            <w14:ligatures w14:val="none"/>
          </w:rPr>
          <w:t>almasryalyoum.com</w:t>
        </w:r>
      </w:hyperlink>
      <w:r w:rsidRPr="0021068A">
        <w:rPr>
          <w:rFonts w:ascii="Times New Roman" w:eastAsia="Times New Roman" w:hAnsi="Times New Roman" w:cs="Times New Roman"/>
          <w:kern w:val="0"/>
          <w14:ligatures w14:val="none"/>
        </w:rPr>
        <w:t>)</w:t>
      </w:r>
    </w:p>
    <w:p w14:paraId="7F4936D5"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b/>
          <w:bCs/>
          <w:kern w:val="0"/>
          <w14:ligatures w14:val="none"/>
        </w:rPr>
        <w:t>Preliminary methodological note:</w:t>
      </w:r>
      <w:r w:rsidRPr="0021068A">
        <w:rPr>
          <w:rFonts w:ascii="Times New Roman" w:eastAsia="Times New Roman" w:hAnsi="Times New Roman" w:cs="Times New Roman"/>
          <w:kern w:val="0"/>
          <w14:ligatures w14:val="none"/>
        </w:rPr>
        <w:t xml:space="preserve"> The text you provided begins with the phrase “</w:t>
      </w:r>
      <w:r w:rsidRPr="0021068A">
        <w:rPr>
          <w:rFonts w:ascii="Times New Roman" w:eastAsia="Times New Roman" w:hAnsi="Times New Roman" w:cs="Times New Roman"/>
          <w:kern w:val="0"/>
          <w:rtl/>
          <w14:ligatures w14:val="none"/>
        </w:rPr>
        <w:t>يعتبر عضو هيئة التدريس مستقبلا</w:t>
      </w:r>
      <w:r w:rsidRPr="0021068A">
        <w:rPr>
          <w:rFonts w:ascii="Times New Roman" w:eastAsia="Times New Roman" w:hAnsi="Times New Roman" w:cs="Times New Roman"/>
          <w:kern w:val="0"/>
          <w14:ligatures w14:val="none"/>
        </w:rPr>
        <w:t>,” whereas the published text of the Law reads “</w:t>
      </w:r>
      <w:r w:rsidRPr="0021068A">
        <w:rPr>
          <w:rFonts w:ascii="Times New Roman" w:eastAsia="Times New Roman" w:hAnsi="Times New Roman" w:cs="Times New Roman"/>
          <w:kern w:val="0"/>
          <w:rtl/>
          <w14:ligatures w14:val="none"/>
        </w:rPr>
        <w:t xml:space="preserve">يعتبر عضو هيئة التدريس </w:t>
      </w:r>
      <w:r w:rsidRPr="0021068A">
        <w:rPr>
          <w:rFonts w:ascii="Times New Roman" w:eastAsia="Times New Roman" w:hAnsi="Times New Roman" w:cs="Times New Roman"/>
          <w:b/>
          <w:bCs/>
          <w:kern w:val="0"/>
          <w:rtl/>
          <w14:ligatures w14:val="none"/>
        </w:rPr>
        <w:t>مستقيلاً</w:t>
      </w:r>
      <w:r w:rsidRPr="0021068A">
        <w:rPr>
          <w:rFonts w:ascii="Times New Roman" w:eastAsia="Times New Roman" w:hAnsi="Times New Roman" w:cs="Times New Roman"/>
          <w:kern w:val="0"/>
          <w14:ligatures w14:val="none"/>
        </w:rPr>
        <w:t>” (“a faculty member shall be deemed to have resigned”). The expression “</w:t>
      </w:r>
      <w:r w:rsidRPr="0021068A">
        <w:rPr>
          <w:rFonts w:ascii="Times New Roman" w:eastAsia="Times New Roman" w:hAnsi="Times New Roman" w:cs="Times New Roman"/>
          <w:kern w:val="0"/>
          <w:rtl/>
          <w14:ligatures w14:val="none"/>
        </w:rPr>
        <w:t>مستقبلا</w:t>
      </w:r>
      <w:r w:rsidRPr="0021068A">
        <w:rPr>
          <w:rFonts w:ascii="Times New Roman" w:eastAsia="Times New Roman" w:hAnsi="Times New Roman" w:cs="Times New Roman"/>
          <w:kern w:val="0"/>
          <w14:ligatures w14:val="none"/>
        </w:rPr>
        <w:t>” appears to be a material transcription error. The officially published version of the Law confirms the structure of the Article and the effects contained therein. (</w:t>
      </w:r>
      <w:hyperlink r:id="rId6" w:history="1">
        <w:r w:rsidRPr="0021068A">
          <w:rPr>
            <w:rFonts w:ascii="Times New Roman" w:eastAsia="Times New Roman" w:hAnsi="Times New Roman" w:cs="Times New Roman"/>
            <w:color w:val="0000FF"/>
            <w:kern w:val="0"/>
            <w:u w:val="single"/>
            <w14:ligatures w14:val="none"/>
          </w:rPr>
          <w:t>moe.gov.eg</w:t>
        </w:r>
      </w:hyperlink>
      <w:r w:rsidRPr="0021068A">
        <w:rPr>
          <w:rFonts w:ascii="Times New Roman" w:eastAsia="Times New Roman" w:hAnsi="Times New Roman" w:cs="Times New Roman"/>
          <w:kern w:val="0"/>
          <w14:ligatures w14:val="none"/>
        </w:rPr>
        <w:t>)</w:t>
      </w:r>
    </w:p>
    <w:p w14:paraId="36C997E5" w14:textId="77777777" w:rsidR="00386AE3" w:rsidRPr="00736CB4" w:rsidRDefault="00386AE3" w:rsidP="00386AE3">
      <w:pPr>
        <w:rPr>
          <w:rFonts w:asciiTheme="majorBidi" w:hAnsiTheme="majorBidi" w:cstheme="majorBidi"/>
          <w:b/>
          <w:bCs/>
          <w:sz w:val="36"/>
          <w:szCs w:val="36"/>
        </w:rPr>
      </w:pPr>
      <w:r w:rsidRPr="00736CB4">
        <w:rPr>
          <w:rFonts w:asciiTheme="majorBidi" w:hAnsiTheme="majorBidi" w:cstheme="majorBidi"/>
          <w:b/>
          <w:bCs/>
          <w:sz w:val="36"/>
          <w:szCs w:val="36"/>
        </w:rPr>
        <w:t>First: The Legal Structure of the Provision</w:t>
      </w:r>
    </w:p>
    <w:p w14:paraId="6ED4F23F"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Article 117 establishes a special system for the termination of the service of a faculty member on the basis of absence from work. This system is based on a </w:t>
      </w:r>
      <w:r w:rsidRPr="0021068A">
        <w:rPr>
          <w:rFonts w:ascii="Times New Roman" w:eastAsia="Times New Roman" w:hAnsi="Times New Roman" w:cs="Times New Roman"/>
          <w:b/>
          <w:bCs/>
          <w:kern w:val="0"/>
          <w14:ligatures w14:val="none"/>
        </w:rPr>
        <w:t>statutory presumption of implied resignation</w:t>
      </w:r>
      <w:r w:rsidRPr="0021068A">
        <w:rPr>
          <w:rFonts w:ascii="Times New Roman" w:eastAsia="Times New Roman" w:hAnsi="Times New Roman" w:cs="Times New Roman"/>
          <w:kern w:val="0"/>
          <w14:ligatures w14:val="none"/>
        </w:rPr>
        <w:t>, rather than on disciplinary dismissal.</w:t>
      </w:r>
    </w:p>
    <w:p w14:paraId="7A5E54B8"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system can be broken down into successive stages:</w:t>
      </w:r>
    </w:p>
    <w:p w14:paraId="0FE4FE2C"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A. The Triggering Event</w:t>
      </w:r>
    </w:p>
    <w:p w14:paraId="5EF7A40A"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starting point occurs if:</w:t>
      </w:r>
    </w:p>
    <w:p w14:paraId="5D5D0D77" w14:textId="77777777" w:rsidR="00386AE3" w:rsidRPr="0021068A" w:rsidRDefault="00386AE3" w:rsidP="00386AE3">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faculty member has stopped attending work;</w:t>
      </w:r>
    </w:p>
    <w:p w14:paraId="55DA7568" w14:textId="77777777" w:rsidR="00386AE3" w:rsidRPr="0021068A" w:rsidRDefault="00386AE3" w:rsidP="00386AE3">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for a period exceeding one month; and</w:t>
      </w:r>
    </w:p>
    <w:p w14:paraId="38D6F531" w14:textId="77777777" w:rsidR="00386AE3" w:rsidRPr="0021068A" w:rsidRDefault="00386AE3" w:rsidP="00386AE3">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without permission.</w:t>
      </w:r>
    </w:p>
    <w:p w14:paraId="29892D8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provision deliberately extends the scope of the rule to a case in which the absence occurs following the expiration of a permitted secondment, scientific mission, scientific leave, leave to accompany a spouse, or any other leave.</w:t>
      </w:r>
    </w:p>
    <w:p w14:paraId="0EA5180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Thus, the legislature does not treat the expiration of the preceding authorization, by itself, as a sufficient ground for terminating the service. Rather, it makes </w:t>
      </w:r>
      <w:r w:rsidRPr="0021068A">
        <w:rPr>
          <w:rFonts w:ascii="Times New Roman" w:eastAsia="Times New Roman" w:hAnsi="Times New Roman" w:cs="Times New Roman"/>
          <w:b/>
          <w:bCs/>
          <w:kern w:val="0"/>
          <w14:ligatures w14:val="none"/>
        </w:rPr>
        <w:t>unauthorized absence from work</w:t>
      </w:r>
      <w:r w:rsidRPr="0021068A">
        <w:rPr>
          <w:rFonts w:ascii="Times New Roman" w:eastAsia="Times New Roman" w:hAnsi="Times New Roman" w:cs="Times New Roman"/>
          <w:kern w:val="0"/>
          <w14:ligatures w14:val="none"/>
        </w:rPr>
        <w:t xml:space="preserve"> the legal event that triggers the system.</w:t>
      </w:r>
    </w:p>
    <w:p w14:paraId="6E984312"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B. The Six-Month Period</w:t>
      </w:r>
    </w:p>
    <w:p w14:paraId="62520B03"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lastRenderedPageBreak/>
        <w:t xml:space="preserve">Although the occurrence of an absence exceeding one month triggers the system, the final consequence does not immediately become irreversible. The provision gives the faculty member an opportunity to return within </w:t>
      </w:r>
      <w:r w:rsidRPr="0021068A">
        <w:rPr>
          <w:rFonts w:ascii="Times New Roman" w:eastAsia="Times New Roman" w:hAnsi="Times New Roman" w:cs="Times New Roman"/>
          <w:b/>
          <w:bCs/>
          <w:kern w:val="0"/>
          <w14:ligatures w14:val="none"/>
        </w:rPr>
        <w:t>six months at most from the date of the absence</w:t>
      </w:r>
      <w:r w:rsidRPr="0021068A">
        <w:rPr>
          <w:rFonts w:ascii="Times New Roman" w:eastAsia="Times New Roman" w:hAnsi="Times New Roman" w:cs="Times New Roman"/>
          <w:kern w:val="0"/>
          <w14:ligatures w14:val="none"/>
        </w:rPr>
        <w:t>.</w:t>
      </w:r>
    </w:p>
    <w:p w14:paraId="007D6D80"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is an important point in understanding the provision: the six months are not merely an administrative period within which the university must issue a decision terminating the service. Rather, they constitute part of the legal formation of the presumption itself.</w:t>
      </w:r>
    </w:p>
    <w:p w14:paraId="66DE8131"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administrative judiciary that has addressed Article 117 has established that the presumption is based on unauthorized absence and failure to return within the six months, and that the termination of service takes effect retroactively from the date of the absence. (</w:t>
      </w:r>
      <w:hyperlink r:id="rId7" w:history="1">
        <w:r w:rsidRPr="0021068A">
          <w:rPr>
            <w:rFonts w:ascii="Times New Roman" w:eastAsia="Times New Roman" w:hAnsi="Times New Roman" w:cs="Times New Roman"/>
            <w:color w:val="0000FF"/>
            <w:kern w:val="0"/>
            <w:u w:val="single"/>
            <w14:ligatures w14:val="none"/>
          </w:rPr>
          <w:t>lawhub.info</w:t>
        </w:r>
      </w:hyperlink>
      <w:r w:rsidRPr="0021068A">
        <w:rPr>
          <w:rFonts w:ascii="Times New Roman" w:eastAsia="Times New Roman" w:hAnsi="Times New Roman" w:cs="Times New Roman"/>
          <w:kern w:val="0"/>
          <w14:ligatures w14:val="none"/>
        </w:rPr>
        <w:t>)</w:t>
      </w:r>
    </w:p>
    <w:p w14:paraId="010F2FC3"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C. If the Faculty Member Does Not Return Within the Six Months</w:t>
      </w:r>
    </w:p>
    <w:p w14:paraId="3EA80D8D"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service is deemed to have ended as of the date on which the absence began.</w:t>
      </w:r>
    </w:p>
    <w:p w14:paraId="501CBF87"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Here, the provision does not make termination of service dependent upon a subsequent assessment by the university as to whether termination of service is appropriate. According to the judicial interpretation of the provision, the subsequent administrative decision merely discloses the occurrence of the legal effect and does not create that effect in the first place. (</w:t>
      </w:r>
      <w:hyperlink r:id="rId8" w:history="1">
        <w:r w:rsidRPr="0021068A">
          <w:rPr>
            <w:rFonts w:ascii="Times New Roman" w:eastAsia="Times New Roman" w:hAnsi="Times New Roman" w:cs="Times New Roman"/>
            <w:color w:val="0000FF"/>
            <w:kern w:val="0"/>
            <w:u w:val="single"/>
            <w14:ligatures w14:val="none"/>
          </w:rPr>
          <w:t>lawhub.info</w:t>
        </w:r>
      </w:hyperlink>
      <w:r w:rsidRPr="0021068A">
        <w:rPr>
          <w:rFonts w:ascii="Times New Roman" w:eastAsia="Times New Roman" w:hAnsi="Times New Roman" w:cs="Times New Roman"/>
          <w:kern w:val="0"/>
          <w14:ligatures w14:val="none"/>
        </w:rPr>
        <w:t>)</w:t>
      </w:r>
    </w:p>
    <w:p w14:paraId="79EC7329"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D. If the Faculty Member Returns Within the Six Months</w:t>
      </w:r>
    </w:p>
    <w:p w14:paraId="7F0AD2EB"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Here, the provision distinguishes between two situations:</w:t>
      </w:r>
    </w:p>
    <w:p w14:paraId="5D4A7848"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b/>
          <w:bCs/>
          <w:kern w:val="0"/>
          <w14:ligatures w14:val="none"/>
        </w:rPr>
        <w:t>First:</w:t>
      </w:r>
      <w:r w:rsidRPr="0021068A">
        <w:rPr>
          <w:rFonts w:ascii="Times New Roman" w:eastAsia="Times New Roman" w:hAnsi="Times New Roman" w:cs="Times New Roman"/>
          <w:kern w:val="0"/>
          <w14:ligatures w14:val="none"/>
        </w:rPr>
        <w:t xml:space="preserve"> The faculty member returns within the six-month period and submits a compelling excuse which is accepted by the University Council after obtaining the opinion of the Faculty Council or Institute Council and the Department Council.</w:t>
      </w:r>
    </w:p>
    <w:p w14:paraId="0CF54630"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result is that the absence is treated as special leave:</w:t>
      </w:r>
    </w:p>
    <w:p w14:paraId="389265B9" w14:textId="77777777" w:rsidR="00386AE3" w:rsidRPr="0021068A" w:rsidRDefault="00386AE3" w:rsidP="00386AE3">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with pay during the first two months; and</w:t>
      </w:r>
    </w:p>
    <w:p w14:paraId="63552C38" w14:textId="77777777" w:rsidR="00386AE3" w:rsidRPr="0021068A" w:rsidRDefault="00386AE3" w:rsidP="00386AE3">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without pay during the following four months.</w:t>
      </w:r>
    </w:p>
    <w:p w14:paraId="558E3B28"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b/>
          <w:bCs/>
          <w:kern w:val="0"/>
          <w14:ligatures w14:val="none"/>
        </w:rPr>
        <w:t>Second:</w:t>
      </w:r>
      <w:r w:rsidRPr="0021068A">
        <w:rPr>
          <w:rFonts w:ascii="Times New Roman" w:eastAsia="Times New Roman" w:hAnsi="Times New Roman" w:cs="Times New Roman"/>
          <w:kern w:val="0"/>
          <w14:ligatures w14:val="none"/>
        </w:rPr>
        <w:t xml:space="preserve"> The faculty member returns within the six-month period without submitting an excuse, or submits an excuse that is not accepted.</w:t>
      </w:r>
    </w:p>
    <w:p w14:paraId="4C804D10"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In this case, the third paragraph does not terminate the service merely because the excuse was not accepted. Rather, the absence is treated as an interruption that is not included in the period of service calculated for pension purposes and is not included in the periods referred to in Articles 69/First and 70/First, while other consequences also arise, without prejudice to the disciplinary rules.</w:t>
      </w:r>
    </w:p>
    <w:p w14:paraId="71194F5A"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E. The Procedural Safeguard Actually Included in the Provision</w:t>
      </w:r>
    </w:p>
    <w:p w14:paraId="73062927"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lastRenderedPageBreak/>
        <w:t>It is important not to say that the provision is completely devoid of any procedural safeguard.</w:t>
      </w:r>
    </w:p>
    <w:p w14:paraId="4E65A7F1"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In the case of a faculty member who returns within the six-month period and submits a compelling excuse, the University Council does not have unrestricted authority to decide the matter independently of any other institutional input. The provision expressly requires it to act </w:t>
      </w:r>
      <w:r w:rsidRPr="0021068A">
        <w:rPr>
          <w:rFonts w:ascii="Times New Roman" w:eastAsia="Times New Roman" w:hAnsi="Times New Roman" w:cs="Times New Roman"/>
          <w:b/>
          <w:bCs/>
          <w:kern w:val="0"/>
          <w14:ligatures w14:val="none"/>
        </w:rPr>
        <w:t>after obtaining the opinion of the Faculty Council or Institute Council and the Department Council</w:t>
      </w:r>
      <w:r w:rsidRPr="0021068A">
        <w:rPr>
          <w:rFonts w:ascii="Times New Roman" w:eastAsia="Times New Roman" w:hAnsi="Times New Roman" w:cs="Times New Roman"/>
          <w:kern w:val="0"/>
          <w14:ligatures w14:val="none"/>
        </w:rPr>
        <w:t>.</w:t>
      </w:r>
    </w:p>
    <w:p w14:paraId="2CE89C3F"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Thus, there is an institutional, multi-level safeguard, but it is limited to the </w:t>
      </w:r>
      <w:r w:rsidRPr="0021068A">
        <w:rPr>
          <w:rFonts w:ascii="Times New Roman" w:eastAsia="Times New Roman" w:hAnsi="Times New Roman" w:cs="Times New Roman"/>
          <w:b/>
          <w:bCs/>
          <w:kern w:val="0"/>
          <w14:ligatures w14:val="none"/>
        </w:rPr>
        <w:t>case of a faculty member who returns within the six-month period and submits a compelling excuse</w:t>
      </w:r>
      <w:r w:rsidRPr="0021068A">
        <w:rPr>
          <w:rFonts w:ascii="Times New Roman" w:eastAsia="Times New Roman" w:hAnsi="Times New Roman" w:cs="Times New Roman"/>
          <w:kern w:val="0"/>
          <w14:ligatures w14:val="none"/>
        </w:rPr>
        <w:t>.</w:t>
      </w:r>
    </w:p>
    <w:p w14:paraId="72BEF29A"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It is precisely here that the issue that may constitute a legislative gap emerges:</w:t>
      </w:r>
    </w:p>
    <w:p w14:paraId="226DF65B"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b/>
          <w:bCs/>
          <w:kern w:val="0"/>
          <w14:ligatures w14:val="none"/>
        </w:rPr>
        <w:t>What about the faculty member who does not return within the six-month period?</w:t>
      </w:r>
    </w:p>
    <w:p w14:paraId="6F90D700" w14:textId="77777777" w:rsidR="00386AE3" w:rsidRPr="0021068A"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D488AA9">
          <v:rect id="_x0000_i1025" style="width:0;height:1.5pt" o:hralign="center" o:hrstd="t" o:hr="t" fillcolor="#a0a0a0" stroked="f"/>
        </w:pict>
      </w:r>
    </w:p>
    <w:p w14:paraId="229501F4"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2. Potential Legislative Omissions</w:t>
      </w:r>
    </w:p>
    <w:p w14:paraId="4978B74B"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When the provision is analyzed without assuming in advance that a defect exists, several issues appear that may potentially be regarded as omissions.</w:t>
      </w:r>
    </w:p>
    <w:p w14:paraId="371CA74A" w14:textId="77777777" w:rsidR="00386AE3" w:rsidRPr="00FB7E11" w:rsidRDefault="00386AE3" w:rsidP="00386AE3">
      <w:pPr>
        <w:ind w:firstLine="0"/>
        <w:rPr>
          <w:rFonts w:asciiTheme="majorBidi" w:hAnsiTheme="majorBidi" w:cstheme="majorBidi"/>
          <w:b/>
          <w:bCs/>
          <w:sz w:val="36"/>
          <w:szCs w:val="36"/>
        </w:rPr>
      </w:pPr>
      <w:r w:rsidRPr="00FB7E11">
        <w:rPr>
          <w:rFonts w:asciiTheme="majorBidi" w:hAnsiTheme="majorBidi" w:cstheme="majorBidi"/>
          <w:b/>
          <w:bCs/>
          <w:sz w:val="36"/>
          <w:szCs w:val="36"/>
        </w:rPr>
        <w:t>A. The Absence of an Express Provision Requiring Notification or Warning of the Faculty Member Before the Consequence of Termination of Service Is Triggered</w:t>
      </w:r>
    </w:p>
    <w:p w14:paraId="614AA310"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is the most prominent issue that can be contemplated.</w:t>
      </w:r>
    </w:p>
    <w:p w14:paraId="075E8D35"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provision does not expressly require:</w:t>
      </w:r>
    </w:p>
    <w:p w14:paraId="515BEF69" w14:textId="77777777" w:rsidR="00386AE3" w:rsidRPr="0021068A" w:rsidRDefault="00386AE3" w:rsidP="00386AE3">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notifying the faculty member that he or she is absent;</w:t>
      </w:r>
    </w:p>
    <w:p w14:paraId="4EFC8215" w14:textId="77777777" w:rsidR="00386AE3" w:rsidRPr="0021068A" w:rsidRDefault="00386AE3" w:rsidP="00386AE3">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warning him or her of the necessity of returning;</w:t>
      </w:r>
    </w:p>
    <w:p w14:paraId="481751E5" w14:textId="77777777" w:rsidR="00386AE3" w:rsidRPr="0021068A" w:rsidRDefault="00386AE3" w:rsidP="00386AE3">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notifying him or her that the six-month period is approaching its expiration; or</w:t>
      </w:r>
    </w:p>
    <w:p w14:paraId="41AD981B" w14:textId="77777777" w:rsidR="00386AE3" w:rsidRPr="0021068A" w:rsidRDefault="00386AE3" w:rsidP="00386AE3">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granting him or her a final opportunity to present a defense before the consequence of termination of service is triggered.</w:t>
      </w:r>
    </w:p>
    <w:p w14:paraId="3BB11C73"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This absence is </w:t>
      </w:r>
      <w:r w:rsidRPr="0021068A">
        <w:rPr>
          <w:rFonts w:ascii="Times New Roman" w:eastAsia="Times New Roman" w:hAnsi="Times New Roman" w:cs="Times New Roman"/>
          <w:b/>
          <w:bCs/>
          <w:kern w:val="0"/>
          <w14:ligatures w14:val="none"/>
        </w:rPr>
        <w:t>material from a procedural perspective</w:t>
      </w:r>
      <w:r w:rsidRPr="0021068A">
        <w:rPr>
          <w:rFonts w:ascii="Times New Roman" w:eastAsia="Times New Roman" w:hAnsi="Times New Roman" w:cs="Times New Roman"/>
          <w:kern w:val="0"/>
          <w14:ligatures w14:val="none"/>
        </w:rPr>
        <w:t xml:space="preserve"> because the consequence resulting from the provision is very serious: termination of an existing employment relationship, with retroactive effect from the date of the absence.</w:t>
      </w:r>
    </w:p>
    <w:p w14:paraId="149D3D0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However, it is not correct to move from this observation directly to the conclusion that there is a constitutional defect.</w:t>
      </w:r>
    </w:p>
    <w:p w14:paraId="6F3BC3F5"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A warning may be a useful administrative measure, but it is not necessarily a constitutionally mandatory safeguard in every system for terminating service.</w:t>
      </w:r>
    </w:p>
    <w:p w14:paraId="62D97C99"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lastRenderedPageBreak/>
        <w:t>More importantly, this issue has already been judicially resolved with respect to the provision under consideration: the Supreme Constitutional Court rejected the challenge to the provision insofar as it does not require a warning to the faculty member before termination of service, and held that the particular nature of the legal status of faculty members and the importance of the regular functioning of the educational process are considerations falling within the legislature's assessment. (</w:t>
      </w:r>
      <w:hyperlink r:id="rId9" w:history="1">
        <w:r w:rsidRPr="0021068A">
          <w:rPr>
            <w:rFonts w:ascii="Times New Roman" w:eastAsia="Times New Roman" w:hAnsi="Times New Roman" w:cs="Times New Roman"/>
            <w:color w:val="0000FF"/>
            <w:kern w:val="0"/>
            <w:u w:val="single"/>
            <w14:ligatures w14:val="none"/>
          </w:rPr>
          <w:t>almasryalyoum.com</w:t>
        </w:r>
      </w:hyperlink>
      <w:r w:rsidRPr="0021068A">
        <w:rPr>
          <w:rFonts w:ascii="Times New Roman" w:eastAsia="Times New Roman" w:hAnsi="Times New Roman" w:cs="Times New Roman"/>
          <w:kern w:val="0"/>
          <w14:ligatures w14:val="none"/>
        </w:rPr>
        <w:t>)</w:t>
      </w:r>
    </w:p>
    <w:p w14:paraId="4C8DD751"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Accordingly, </w:t>
      </w:r>
      <w:r w:rsidRPr="0021068A">
        <w:rPr>
          <w:rFonts w:ascii="Times New Roman" w:eastAsia="Times New Roman" w:hAnsi="Times New Roman" w:cs="Times New Roman"/>
          <w:b/>
          <w:bCs/>
          <w:kern w:val="0"/>
          <w14:ligatures w14:val="none"/>
        </w:rPr>
        <w:t>the absence of a warning cannot, in light of the existing legal position, be classified as a legislative gap of established constitutional significance</w:t>
      </w:r>
      <w:r w:rsidRPr="0021068A">
        <w:rPr>
          <w:rFonts w:ascii="Times New Roman" w:eastAsia="Times New Roman" w:hAnsi="Times New Roman" w:cs="Times New Roman"/>
          <w:kern w:val="0"/>
          <w14:ligatures w14:val="none"/>
        </w:rPr>
        <w:t>.</w:t>
      </w:r>
    </w:p>
    <w:p w14:paraId="788A212E" w14:textId="77777777" w:rsidR="00386AE3" w:rsidRPr="00FB7E11" w:rsidRDefault="00386AE3" w:rsidP="00386AE3">
      <w:pPr>
        <w:ind w:firstLine="0"/>
        <w:rPr>
          <w:rFonts w:asciiTheme="majorBidi" w:hAnsiTheme="majorBidi" w:cstheme="majorBidi"/>
          <w:b/>
          <w:bCs/>
          <w:sz w:val="36"/>
          <w:szCs w:val="36"/>
        </w:rPr>
      </w:pPr>
      <w:r w:rsidRPr="00FB7E11">
        <w:rPr>
          <w:rFonts w:asciiTheme="majorBidi" w:hAnsiTheme="majorBidi" w:cstheme="majorBidi"/>
          <w:b/>
          <w:bCs/>
          <w:sz w:val="36"/>
          <w:szCs w:val="36"/>
        </w:rPr>
        <w:t>B. The Absence of an Express Provision Requiring the Faculty Member's Defense to Be Heard Before Termination of Service</w:t>
      </w:r>
    </w:p>
    <w:p w14:paraId="6627CAF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issue is deeper than the mere absence of a warning.</w:t>
      </w:r>
    </w:p>
    <w:p w14:paraId="1FA30755"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provision does not provide, in the case where the faculty member does not return within the six-month period, for a procedure through which the university receives his or her statements or documents concerning the reasons for failing to return.</w:t>
      </w:r>
    </w:p>
    <w:p w14:paraId="4C5CFCED"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absence may be more significant than the absence of a warning because the faculty member may have an exceptional circumstance or force majeure preventing his or her return.</w:t>
      </w:r>
    </w:p>
    <w:p w14:paraId="26600104"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However, the provision chose to address this issue in a different manner: it </w:t>
      </w:r>
      <w:r w:rsidRPr="0021068A">
        <w:rPr>
          <w:rFonts w:ascii="Times New Roman" w:eastAsia="Times New Roman" w:hAnsi="Times New Roman" w:cs="Times New Roman"/>
          <w:b/>
          <w:bCs/>
          <w:kern w:val="0"/>
          <w14:ligatures w14:val="none"/>
        </w:rPr>
        <w:t>requires the faculty member to return within the six-month period</w:t>
      </w:r>
      <w:r w:rsidRPr="0021068A">
        <w:rPr>
          <w:rFonts w:ascii="Times New Roman" w:eastAsia="Times New Roman" w:hAnsi="Times New Roman" w:cs="Times New Roman"/>
          <w:kern w:val="0"/>
          <w14:ligatures w14:val="none"/>
        </w:rPr>
        <w:t>, and then provides a specific framework for examining and accepting the compelling excuse.</w:t>
      </w:r>
    </w:p>
    <w:p w14:paraId="4C13C607"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In other words, the legislature did not leave the issue of excuses entirely unregulated; rather, it established a specific temporal and institutional framework for dealing with them.</w:t>
      </w:r>
    </w:p>
    <w:p w14:paraId="2DA0D0A3"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Accordingly, the question is not whether the matter is regulated at all.</w:t>
      </w:r>
    </w:p>
    <w:p w14:paraId="0D70CBBE"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Rather, the question is:</w:t>
      </w:r>
    </w:p>
    <w:p w14:paraId="3B44F949"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b/>
          <w:bCs/>
          <w:kern w:val="0"/>
          <w14:ligatures w14:val="none"/>
        </w:rPr>
        <w:t>Was the legislature constitutionally required to permit the excuse to be examined even after the expiration of the six-month period, or before the consequence of termination of service is triggered?</w:t>
      </w:r>
    </w:p>
    <w:p w14:paraId="601C4760"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answer is not conclusive.</w:t>
      </w:r>
    </w:p>
    <w:p w14:paraId="37EB1042" w14:textId="77777777" w:rsidR="00386AE3" w:rsidRPr="00FB7E11" w:rsidRDefault="00386AE3" w:rsidP="00386AE3">
      <w:pPr>
        <w:ind w:firstLine="0"/>
        <w:rPr>
          <w:rFonts w:asciiTheme="majorBidi" w:hAnsiTheme="majorBidi" w:cstheme="majorBidi"/>
          <w:b/>
          <w:bCs/>
          <w:sz w:val="36"/>
          <w:szCs w:val="36"/>
        </w:rPr>
      </w:pPr>
      <w:r w:rsidRPr="00FB7E11">
        <w:rPr>
          <w:rFonts w:asciiTheme="majorBidi" w:hAnsiTheme="majorBidi" w:cstheme="majorBidi"/>
          <w:b/>
          <w:bCs/>
          <w:sz w:val="36"/>
          <w:szCs w:val="36"/>
        </w:rPr>
        <w:t>C. The Absence of an Express Requirement to State Reasons for the University Council's Decision to Accept or Reject the Excuse</w:t>
      </w:r>
    </w:p>
    <w:p w14:paraId="4FDB7A69"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lastRenderedPageBreak/>
        <w:t>The provision requires the University Council to obtain the opinion of the Faculty Council or Institute Council and the Department Council, but it does not expressly provide for:</w:t>
      </w:r>
    </w:p>
    <w:p w14:paraId="31F3DE18" w14:textId="77777777" w:rsidR="00386AE3" w:rsidRPr="0021068A" w:rsidRDefault="00386AE3" w:rsidP="00386AE3">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an obligation to give reasons for the decision;</w:t>
      </w:r>
    </w:p>
    <w:p w14:paraId="739C1149" w14:textId="77777777" w:rsidR="00386AE3" w:rsidRPr="0021068A" w:rsidRDefault="00386AE3" w:rsidP="00386AE3">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notifying the faculty member of the reasons for rejecting the excuse; or</w:t>
      </w:r>
    </w:p>
    <w:p w14:paraId="4550242A" w14:textId="77777777" w:rsidR="00386AE3" w:rsidRPr="0021068A" w:rsidRDefault="00386AE3" w:rsidP="00386AE3">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establishing detailed criteria for the concept of a “compelling excuse.”</w:t>
      </w:r>
    </w:p>
    <w:p w14:paraId="2E8848D5"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is a genuine legislative observation, but it is weaker than the preceding issue.</w:t>
      </w:r>
    </w:p>
    <w:p w14:paraId="3D5EEA99"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expression “compelling excuse” constitutes a legal standard that may be interpreted and applied judicially. It is not necessarily the case that every element of this standard must be exhaustively defined by statute.</w:t>
      </w:r>
    </w:p>
    <w:p w14:paraId="7D5AB38A"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Furthermore, the administrative decision remains subject to judicial review.</w:t>
      </w:r>
    </w:p>
    <w:p w14:paraId="1BA6ABA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Therefore, I tend to regard this issue as </w:t>
      </w:r>
      <w:r w:rsidRPr="0021068A">
        <w:rPr>
          <w:rFonts w:ascii="Times New Roman" w:eastAsia="Times New Roman" w:hAnsi="Times New Roman" w:cs="Times New Roman"/>
          <w:b/>
          <w:bCs/>
          <w:kern w:val="0"/>
          <w14:ligatures w14:val="none"/>
        </w:rPr>
        <w:t>a potential regulatory deficiency rather than a substantial legislative gap in itself</w:t>
      </w:r>
      <w:r w:rsidRPr="0021068A">
        <w:rPr>
          <w:rFonts w:ascii="Times New Roman" w:eastAsia="Times New Roman" w:hAnsi="Times New Roman" w:cs="Times New Roman"/>
          <w:kern w:val="0"/>
          <w14:ligatures w14:val="none"/>
        </w:rPr>
        <w:t>.</w:t>
      </w:r>
    </w:p>
    <w:p w14:paraId="6414A6BF" w14:textId="77777777" w:rsidR="00386AE3" w:rsidRPr="00FB7E11" w:rsidRDefault="00386AE3" w:rsidP="00386AE3">
      <w:pPr>
        <w:ind w:firstLine="0"/>
        <w:rPr>
          <w:rFonts w:asciiTheme="majorBidi" w:hAnsiTheme="majorBidi" w:cstheme="majorBidi"/>
          <w:b/>
          <w:bCs/>
          <w:sz w:val="36"/>
          <w:szCs w:val="36"/>
        </w:rPr>
      </w:pPr>
      <w:r w:rsidRPr="00FB7E11">
        <w:rPr>
          <w:rFonts w:asciiTheme="majorBidi" w:hAnsiTheme="majorBidi" w:cstheme="majorBidi"/>
          <w:b/>
          <w:bCs/>
          <w:sz w:val="36"/>
          <w:szCs w:val="36"/>
        </w:rPr>
        <w:t>D. The Absence of an Express Legislative Mechanism for Addressing Force Majeure That Prevents Return Throughout the Six-Month Period</w:t>
      </w:r>
    </w:p>
    <w:p w14:paraId="074DCF3F"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is the strongest point that could be raised by someone seeking to establish the existence of a genuine legislative gap.</w:t>
      </w:r>
    </w:p>
    <w:p w14:paraId="4F145FE7"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provision gives decisive importance to returning within six months. If the faculty member does not return during this period, his or her service terminates as of the date of the absence.</w:t>
      </w:r>
    </w:p>
    <w:p w14:paraId="5BB00DB6"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administrative judiciary has in fact dealt with cases in which faculty members argued that illness or other circumstances prevented their return, and Article 117 has been treated as a special regulation governing absence that cannot easily be replaced by general rules. (</w:t>
      </w:r>
      <w:hyperlink r:id="rId10" w:history="1">
        <w:r w:rsidRPr="0021068A">
          <w:rPr>
            <w:rFonts w:ascii="Times New Roman" w:eastAsia="Times New Roman" w:hAnsi="Times New Roman" w:cs="Times New Roman"/>
            <w:color w:val="0000FF"/>
            <w:kern w:val="0"/>
            <w:u w:val="single"/>
            <w14:ligatures w14:val="none"/>
          </w:rPr>
          <w:t>mksegypt.org</w:t>
        </w:r>
      </w:hyperlink>
      <w:r w:rsidRPr="0021068A">
        <w:rPr>
          <w:rFonts w:ascii="Times New Roman" w:eastAsia="Times New Roman" w:hAnsi="Times New Roman" w:cs="Times New Roman"/>
          <w:kern w:val="0"/>
          <w14:ligatures w14:val="none"/>
        </w:rPr>
        <w:t>)</w:t>
      </w:r>
    </w:p>
    <w:p w14:paraId="0C0AF56F"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Nevertheless, even this issue is not sufficient by itself to conclude that there is a constitutional defect. The legislature may have deliberately chosen a </w:t>
      </w:r>
      <w:r w:rsidRPr="0021068A">
        <w:rPr>
          <w:rFonts w:ascii="Times New Roman" w:eastAsia="Times New Roman" w:hAnsi="Times New Roman" w:cs="Times New Roman"/>
          <w:b/>
          <w:bCs/>
          <w:kern w:val="0"/>
          <w14:ligatures w14:val="none"/>
        </w:rPr>
        <w:t>strict maximum period</w:t>
      </w:r>
      <w:r w:rsidRPr="0021068A">
        <w:rPr>
          <w:rFonts w:ascii="Times New Roman" w:eastAsia="Times New Roman" w:hAnsi="Times New Roman" w:cs="Times New Roman"/>
          <w:kern w:val="0"/>
          <w14:ligatures w14:val="none"/>
        </w:rPr>
        <w:t xml:space="preserve"> in order to ensure the stability of the university institution and to prevent the employment status from remaining suspended indefinitely.</w:t>
      </w:r>
    </w:p>
    <w:p w14:paraId="1B764F89" w14:textId="77777777" w:rsidR="00386AE3" w:rsidRPr="0021068A"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2FC432B">
          <v:rect id="_x0000_i1026" style="width:0;height:1.5pt" o:hralign="center" o:hrstd="t" o:hr="t" fillcolor="#a0a0a0" stroked="f"/>
        </w:pict>
      </w:r>
    </w:p>
    <w:p w14:paraId="24D5F4B1"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3. Constitutional Assessment</w:t>
      </w:r>
    </w:p>
    <w:p w14:paraId="3F18ED70" w14:textId="77777777" w:rsidR="00386AE3" w:rsidRPr="00FB7E11" w:rsidRDefault="00386AE3" w:rsidP="00386AE3">
      <w:pPr>
        <w:ind w:firstLine="0"/>
        <w:rPr>
          <w:rFonts w:asciiTheme="majorBidi" w:hAnsiTheme="majorBidi" w:cstheme="majorBidi"/>
          <w:b/>
          <w:bCs/>
          <w:sz w:val="36"/>
          <w:szCs w:val="36"/>
        </w:rPr>
      </w:pPr>
      <w:r w:rsidRPr="00FB7E11">
        <w:rPr>
          <w:rFonts w:asciiTheme="majorBidi" w:hAnsiTheme="majorBidi" w:cstheme="majorBidi"/>
          <w:b/>
          <w:bCs/>
          <w:sz w:val="36"/>
          <w:szCs w:val="36"/>
        </w:rPr>
        <w:t>A. The Constitutional Framework</w:t>
      </w:r>
    </w:p>
    <w:p w14:paraId="3A59B1F0"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issue may be connected to several constitutional principles.</w:t>
      </w:r>
    </w:p>
    <w:p w14:paraId="1E0C0C45"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lastRenderedPageBreak/>
        <w:t>The Constitution guarantees work as a right, a duty, and an honor in Article 12. It also regulates public employment and establishes the principles of equality and the rule of law. (</w:t>
      </w:r>
      <w:hyperlink r:id="rId11" w:history="1">
        <w:r w:rsidRPr="0021068A">
          <w:rPr>
            <w:rFonts w:ascii="Times New Roman" w:eastAsia="Times New Roman" w:hAnsi="Times New Roman" w:cs="Times New Roman"/>
            <w:color w:val="0000FF"/>
            <w:kern w:val="0"/>
            <w:u w:val="single"/>
            <w14:ligatures w14:val="none"/>
          </w:rPr>
          <w:t>presidency.eg</w:t>
        </w:r>
      </w:hyperlink>
      <w:r w:rsidRPr="0021068A">
        <w:rPr>
          <w:rFonts w:ascii="Times New Roman" w:eastAsia="Times New Roman" w:hAnsi="Times New Roman" w:cs="Times New Roman"/>
          <w:kern w:val="0"/>
          <w14:ligatures w14:val="none"/>
        </w:rPr>
        <w:t>)</w:t>
      </w:r>
    </w:p>
    <w:p w14:paraId="4F3F82DD"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Article 53 establishes equality before the law, Article 97 guarantees the right of access to the courts, while Article 92 provides that the regulation of rights and freedoms may not result in their impairment or diminution in a manner that deprives them of their effectiveness. The Supreme Constitutional Court has also affirmed that the legislature's authority to regulate rights is, in principle, discretionary, provided that it does not exceed the limits imposed by the Constitution. (</w:t>
      </w:r>
      <w:hyperlink r:id="rId12" w:history="1">
        <w:r w:rsidRPr="0021068A">
          <w:rPr>
            <w:rFonts w:ascii="Times New Roman" w:eastAsia="Times New Roman" w:hAnsi="Times New Roman" w:cs="Times New Roman"/>
            <w:color w:val="0000FF"/>
            <w:kern w:val="0"/>
            <w:u w:val="single"/>
            <w14:ligatures w14:val="none"/>
          </w:rPr>
          <w:t>sccourt.gov.eg</w:t>
        </w:r>
      </w:hyperlink>
      <w:r w:rsidRPr="0021068A">
        <w:rPr>
          <w:rFonts w:ascii="Times New Roman" w:eastAsia="Times New Roman" w:hAnsi="Times New Roman" w:cs="Times New Roman"/>
          <w:kern w:val="0"/>
          <w14:ligatures w14:val="none"/>
        </w:rPr>
        <w:t>)</w:t>
      </w:r>
    </w:p>
    <w:p w14:paraId="528C4348"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issue also has a particular dimension arising from the constitutional status of higher education and university autonomy, as well as the protection of the material and moral rights of faculty members. These considerations have been addressed by the Supreme Constitutional Court in judgments concerning the Universities Organization Law. (</w:t>
      </w:r>
      <w:hyperlink r:id="rId13" w:history="1">
        <w:r w:rsidRPr="0021068A">
          <w:rPr>
            <w:rFonts w:ascii="Times New Roman" w:eastAsia="Times New Roman" w:hAnsi="Times New Roman" w:cs="Times New Roman"/>
            <w:color w:val="0000FF"/>
            <w:kern w:val="0"/>
            <w:u w:val="single"/>
            <w14:ligatures w14:val="none"/>
          </w:rPr>
          <w:t>sccourt.gov.eg</w:t>
        </w:r>
      </w:hyperlink>
      <w:r w:rsidRPr="0021068A">
        <w:rPr>
          <w:rFonts w:ascii="Times New Roman" w:eastAsia="Times New Roman" w:hAnsi="Times New Roman" w:cs="Times New Roman"/>
          <w:kern w:val="0"/>
          <w14:ligatures w14:val="none"/>
        </w:rPr>
        <w:t>)</w:t>
      </w:r>
    </w:p>
    <w:p w14:paraId="69FE09AE" w14:textId="77777777" w:rsidR="00386AE3" w:rsidRPr="00FB7E11" w:rsidRDefault="00386AE3" w:rsidP="00386AE3">
      <w:pPr>
        <w:ind w:firstLine="0"/>
        <w:rPr>
          <w:rFonts w:asciiTheme="majorBidi" w:hAnsiTheme="majorBidi" w:cstheme="majorBidi"/>
          <w:b/>
          <w:bCs/>
          <w:sz w:val="36"/>
          <w:szCs w:val="36"/>
        </w:rPr>
      </w:pPr>
      <w:r w:rsidRPr="00FB7E11">
        <w:rPr>
          <w:rFonts w:asciiTheme="majorBidi" w:hAnsiTheme="majorBidi" w:cstheme="majorBidi"/>
          <w:b/>
          <w:bCs/>
          <w:sz w:val="36"/>
          <w:szCs w:val="36"/>
        </w:rPr>
        <w:t>A. The Argument That the Omission Is Constitutionally Problematic</w:t>
      </w:r>
    </w:p>
    <w:p w14:paraId="51C640F6"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argument may be constructed as follows:</w:t>
      </w:r>
    </w:p>
    <w:p w14:paraId="3DB6F4A9"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termination of a faculty member's service constitutes an interference with an established employment status and with a right of constitutional value, while Article 117 permits this consequence, in the case of failure to return within six months, without expressly requiring:</w:t>
      </w:r>
    </w:p>
    <w:p w14:paraId="2ED4C253" w14:textId="77777777" w:rsidR="00386AE3" w:rsidRPr="0021068A" w:rsidRDefault="00386AE3" w:rsidP="00386AE3">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notification of the faculty member;</w:t>
      </w:r>
    </w:p>
    <w:p w14:paraId="332FB635" w14:textId="77777777" w:rsidR="00386AE3" w:rsidRPr="0021068A" w:rsidRDefault="00386AE3" w:rsidP="00386AE3">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an opportunity to be heard;</w:t>
      </w:r>
    </w:p>
    <w:p w14:paraId="486DD0BE" w14:textId="77777777" w:rsidR="00386AE3" w:rsidRPr="0021068A" w:rsidRDefault="00386AE3" w:rsidP="00386AE3">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an opportunity to establish force majeure; or</w:t>
      </w:r>
    </w:p>
    <w:p w14:paraId="37EDD96C" w14:textId="77777777" w:rsidR="00386AE3" w:rsidRPr="0021068A" w:rsidRDefault="00386AE3" w:rsidP="00386AE3">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a reasoned decision after considering his or her defense.</w:t>
      </w:r>
    </w:p>
    <w:p w14:paraId="3ABADA41"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Accordingly, it may be argued that the provision assumes that </w:t>
      </w:r>
      <w:r w:rsidRPr="0021068A">
        <w:rPr>
          <w:rFonts w:ascii="Times New Roman" w:eastAsia="Times New Roman" w:hAnsi="Times New Roman" w:cs="Times New Roman"/>
          <w:b/>
          <w:bCs/>
          <w:kern w:val="0"/>
          <w14:ligatures w14:val="none"/>
        </w:rPr>
        <w:t>failure to return within six months is sufficient by itself</w:t>
      </w:r>
      <w:r w:rsidRPr="0021068A">
        <w:rPr>
          <w:rFonts w:ascii="Times New Roman" w:eastAsia="Times New Roman" w:hAnsi="Times New Roman" w:cs="Times New Roman"/>
          <w:kern w:val="0"/>
          <w14:ligatures w14:val="none"/>
        </w:rPr>
        <w:t xml:space="preserve"> to infer an unwillingness to continue in service, without providing a procedural mechanism through which the faculty member can demonstrate that the failure to return did not constitute a voluntary decision to resign.</w:t>
      </w:r>
    </w:p>
    <w:p w14:paraId="2D53B72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argument becomes stronger if the faculty member can establish that the failure to return was not voluntary, but resulted from a force majeure or circumstance beyond his or her control.</w:t>
      </w:r>
    </w:p>
    <w:p w14:paraId="7FA6D85D"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It may also be argued that the protection of constitutional rights does not concern merely the availability of subsequent judicial review, but may, in certain contexts, require a minimum level of safeguards before an action affecting the right is taken.</w:t>
      </w:r>
    </w:p>
    <w:p w14:paraId="3EC76FA1" w14:textId="77777777" w:rsidR="00386AE3" w:rsidRPr="00FB7E11" w:rsidRDefault="00386AE3" w:rsidP="00386AE3">
      <w:pPr>
        <w:ind w:firstLine="0"/>
        <w:rPr>
          <w:rFonts w:asciiTheme="majorBidi" w:hAnsiTheme="majorBidi" w:cstheme="majorBidi"/>
          <w:b/>
          <w:bCs/>
          <w:sz w:val="36"/>
          <w:szCs w:val="36"/>
        </w:rPr>
      </w:pPr>
      <w:r w:rsidRPr="00FB7E11">
        <w:rPr>
          <w:rFonts w:asciiTheme="majorBidi" w:hAnsiTheme="majorBidi" w:cstheme="majorBidi"/>
          <w:b/>
          <w:bCs/>
          <w:sz w:val="36"/>
          <w:szCs w:val="36"/>
        </w:rPr>
        <w:t>B. The Counterargument: The Provision Represents a Permissible Legislative Choice</w:t>
      </w:r>
    </w:p>
    <w:p w14:paraId="04125978"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argument, in my assessment, is stronger.</w:t>
      </w:r>
    </w:p>
    <w:p w14:paraId="4EFF0C3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lastRenderedPageBreak/>
        <w:t xml:space="preserve">First, the legislature did not establish a punitive system based on vague criteria. Rather, it established </w:t>
      </w:r>
      <w:r w:rsidRPr="0021068A">
        <w:rPr>
          <w:rFonts w:ascii="Times New Roman" w:eastAsia="Times New Roman" w:hAnsi="Times New Roman" w:cs="Times New Roman"/>
          <w:b/>
          <w:bCs/>
          <w:kern w:val="0"/>
          <w14:ligatures w14:val="none"/>
        </w:rPr>
        <w:t>objective and calculable criteria</w:t>
      </w:r>
      <w:r w:rsidRPr="0021068A">
        <w:rPr>
          <w:rFonts w:ascii="Times New Roman" w:eastAsia="Times New Roman" w:hAnsi="Times New Roman" w:cs="Times New Roman"/>
          <w:kern w:val="0"/>
          <w14:ligatures w14:val="none"/>
        </w:rPr>
        <w:t>:</w:t>
      </w:r>
    </w:p>
    <w:p w14:paraId="29854A1E"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b/>
          <w:bCs/>
          <w:kern w:val="0"/>
          <w14:ligatures w14:val="none"/>
        </w:rPr>
        <w:t>absence for more than one month + failure to return within six months.</w:t>
      </w:r>
    </w:p>
    <w:p w14:paraId="79791F16"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Second, the faculty member is given a relatively long period—six months—in which to remedy the situation.</w:t>
      </w:r>
    </w:p>
    <w:p w14:paraId="36AA860E"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Third, the legislature did not make mere absence for one month sufficient to terminate service permanently; rather, it made continued absence until the expiration of six months the decisive element.</w:t>
      </w:r>
    </w:p>
    <w:p w14:paraId="46E592B0"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Fourth, the legislature expressly regulated the case of return accompanied by a compelling excuse and subjected acceptance of the excuse to the University Council after obtaining the opinion of the Faculty Council or Institute Council and the Department Council. (</w:t>
      </w:r>
      <w:hyperlink r:id="rId14" w:history="1">
        <w:r w:rsidRPr="0021068A">
          <w:rPr>
            <w:rFonts w:ascii="Times New Roman" w:eastAsia="Times New Roman" w:hAnsi="Times New Roman" w:cs="Times New Roman"/>
            <w:color w:val="0000FF"/>
            <w:kern w:val="0"/>
            <w:u w:val="single"/>
            <w14:ligatures w14:val="none"/>
          </w:rPr>
          <w:t>lawhub.info</w:t>
        </w:r>
      </w:hyperlink>
      <w:r w:rsidRPr="0021068A">
        <w:rPr>
          <w:rFonts w:ascii="Times New Roman" w:eastAsia="Times New Roman" w:hAnsi="Times New Roman" w:cs="Times New Roman"/>
          <w:kern w:val="0"/>
          <w14:ligatures w14:val="none"/>
        </w:rPr>
        <w:t>)</w:t>
      </w:r>
    </w:p>
    <w:p w14:paraId="70394E57"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Fifth, and most importantly, </w:t>
      </w:r>
      <w:r w:rsidRPr="0021068A">
        <w:rPr>
          <w:rFonts w:ascii="Times New Roman" w:eastAsia="Times New Roman" w:hAnsi="Times New Roman" w:cs="Times New Roman"/>
          <w:b/>
          <w:bCs/>
          <w:kern w:val="0"/>
          <w14:ligatures w14:val="none"/>
        </w:rPr>
        <w:t>the Supreme Constitutional Court actually considered the challenge to Article 117 concerning the absence of a warning requirement and rejected it</w:t>
      </w:r>
      <w:r w:rsidRPr="0021068A">
        <w:rPr>
          <w:rFonts w:ascii="Times New Roman" w:eastAsia="Times New Roman" w:hAnsi="Times New Roman" w:cs="Times New Roman"/>
          <w:kern w:val="0"/>
          <w14:ligatures w14:val="none"/>
        </w:rPr>
        <w:t>, relying on the special nature of faculty members and the necessity of maintaining the regular functioning of the educational process, as well as the difference between their legal status and that of other employees. (</w:t>
      </w:r>
      <w:hyperlink r:id="rId15" w:history="1">
        <w:r w:rsidRPr="0021068A">
          <w:rPr>
            <w:rFonts w:ascii="Times New Roman" w:eastAsia="Times New Roman" w:hAnsi="Times New Roman" w:cs="Times New Roman"/>
            <w:color w:val="0000FF"/>
            <w:kern w:val="0"/>
            <w:u w:val="single"/>
            <w14:ligatures w14:val="none"/>
          </w:rPr>
          <w:t>almasryalyoum.com</w:t>
        </w:r>
      </w:hyperlink>
      <w:r w:rsidRPr="0021068A">
        <w:rPr>
          <w:rFonts w:ascii="Times New Roman" w:eastAsia="Times New Roman" w:hAnsi="Times New Roman" w:cs="Times New Roman"/>
          <w:kern w:val="0"/>
          <w14:ligatures w14:val="none"/>
        </w:rPr>
        <w:t>)</w:t>
      </w:r>
    </w:p>
    <w:p w14:paraId="617F48BA"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This judgment does not mean that every possible procedural deficiency in Article 117 is constitutionally immune, but it substantially weakens the argument that the </w:t>
      </w:r>
      <w:r w:rsidRPr="0021068A">
        <w:rPr>
          <w:rFonts w:ascii="Times New Roman" w:eastAsia="Times New Roman" w:hAnsi="Times New Roman" w:cs="Times New Roman"/>
          <w:b/>
          <w:bCs/>
          <w:kern w:val="0"/>
          <w14:ligatures w14:val="none"/>
        </w:rPr>
        <w:t>absence of a warning, by itself, constitutes a constitutional defect</w:t>
      </w:r>
      <w:r w:rsidRPr="0021068A">
        <w:rPr>
          <w:rFonts w:ascii="Times New Roman" w:eastAsia="Times New Roman" w:hAnsi="Times New Roman" w:cs="Times New Roman"/>
          <w:kern w:val="0"/>
          <w14:ligatures w14:val="none"/>
        </w:rPr>
        <w:t>.</w:t>
      </w:r>
    </w:p>
    <w:p w14:paraId="6B1601C7" w14:textId="77777777" w:rsidR="00386AE3" w:rsidRPr="00FB7E11" w:rsidRDefault="00386AE3" w:rsidP="00386AE3">
      <w:pPr>
        <w:ind w:firstLine="0"/>
        <w:rPr>
          <w:rFonts w:asciiTheme="majorBidi" w:hAnsiTheme="majorBidi" w:cstheme="majorBidi"/>
          <w:b/>
          <w:bCs/>
          <w:sz w:val="36"/>
          <w:szCs w:val="36"/>
        </w:rPr>
      </w:pPr>
      <w:r w:rsidRPr="00FB7E11">
        <w:rPr>
          <w:rFonts w:asciiTheme="majorBidi" w:hAnsiTheme="majorBidi" w:cstheme="majorBidi"/>
          <w:b/>
          <w:bCs/>
          <w:sz w:val="36"/>
          <w:szCs w:val="36"/>
        </w:rPr>
        <w:t>The Constitutional Conclusion</w:t>
      </w:r>
    </w:p>
    <w:p w14:paraId="464F12F3"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The more likely conclusion is that Article 117 </w:t>
      </w:r>
      <w:r w:rsidRPr="0021068A">
        <w:rPr>
          <w:rFonts w:ascii="Times New Roman" w:eastAsia="Times New Roman" w:hAnsi="Times New Roman" w:cs="Times New Roman"/>
          <w:b/>
          <w:bCs/>
          <w:kern w:val="0"/>
          <w14:ligatures w14:val="none"/>
        </w:rPr>
        <w:t>does not, in its current form, contain a procedural omission that can be characterized as an established violation of the Constitution merely because it does not require a warning or a prior hearing</w:t>
      </w:r>
      <w:r w:rsidRPr="0021068A">
        <w:rPr>
          <w:rFonts w:ascii="Times New Roman" w:eastAsia="Times New Roman" w:hAnsi="Times New Roman" w:cs="Times New Roman"/>
          <w:kern w:val="0"/>
          <w14:ligatures w14:val="none"/>
        </w:rPr>
        <w:t>.</w:t>
      </w:r>
    </w:p>
    <w:p w14:paraId="6296BE3B"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The absence of an express mechanism for examining force majeure that prevents return throughout the six-month period is more open to discussion as a </w:t>
      </w:r>
      <w:r w:rsidRPr="0021068A">
        <w:rPr>
          <w:rFonts w:ascii="Times New Roman" w:eastAsia="Times New Roman" w:hAnsi="Times New Roman" w:cs="Times New Roman"/>
          <w:b/>
          <w:bCs/>
          <w:kern w:val="0"/>
          <w14:ligatures w14:val="none"/>
        </w:rPr>
        <w:t>legislative matter</w:t>
      </w:r>
      <w:r w:rsidRPr="0021068A">
        <w:rPr>
          <w:rFonts w:ascii="Times New Roman" w:eastAsia="Times New Roman" w:hAnsi="Times New Roman" w:cs="Times New Roman"/>
          <w:kern w:val="0"/>
          <w14:ligatures w14:val="none"/>
        </w:rPr>
        <w:t>, but elevating it to the level of unconstitutionality requires establishing that the existing regulation impairs a constitutional right or makes its protection ineffective, rather than merely establishing that another regulation would have been fairer or more appropriate.</w:t>
      </w:r>
    </w:p>
    <w:p w14:paraId="4C0CC1FD" w14:textId="77777777" w:rsidR="00386AE3" w:rsidRPr="0021068A"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2A9B74B">
          <v:rect id="_x0000_i1027" style="width:0;height:1.5pt" o:hralign="center" o:hrstd="t" o:hr="t" fillcolor="#a0a0a0" stroked="f"/>
        </w:pict>
      </w:r>
    </w:p>
    <w:p w14:paraId="207AD79C"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4. Legislative-Gap Classification</w:t>
      </w:r>
    </w:p>
    <w:p w14:paraId="23AE4734"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If the task requires selecting a single classification for the principal issue, my classification is:</w:t>
      </w:r>
    </w:p>
    <w:p w14:paraId="6FEE4CF6" w14:textId="77777777" w:rsidR="00386AE3" w:rsidRPr="00FB7E11" w:rsidRDefault="00386AE3" w:rsidP="00386AE3">
      <w:pPr>
        <w:ind w:firstLine="0"/>
        <w:rPr>
          <w:rFonts w:asciiTheme="majorBidi" w:hAnsiTheme="majorBidi" w:cstheme="majorBidi"/>
          <w:b/>
          <w:bCs/>
          <w:sz w:val="36"/>
          <w:szCs w:val="36"/>
        </w:rPr>
      </w:pPr>
      <w:r w:rsidRPr="00FB7E11">
        <w:rPr>
          <w:rFonts w:asciiTheme="majorBidi" w:hAnsiTheme="majorBidi" w:cstheme="majorBidi"/>
          <w:b/>
          <w:bCs/>
          <w:sz w:val="36"/>
          <w:szCs w:val="36"/>
        </w:rPr>
        <w:t>Textual omission without constitutional significance</w:t>
      </w:r>
    </w:p>
    <w:p w14:paraId="240B669D"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lastRenderedPageBreak/>
        <w:t xml:space="preserve">There is, however, a </w:t>
      </w:r>
      <w:r w:rsidRPr="0021068A">
        <w:rPr>
          <w:rFonts w:ascii="Times New Roman" w:eastAsia="Times New Roman" w:hAnsi="Times New Roman" w:cs="Times New Roman"/>
          <w:b/>
          <w:bCs/>
          <w:kern w:val="0"/>
          <w14:ligatures w14:val="none"/>
        </w:rPr>
        <w:t>limited basis for arguing that the absence of regulation concerning force majeure constitutes a material legislative gap</w:t>
      </w:r>
      <w:r w:rsidRPr="0021068A">
        <w:rPr>
          <w:rFonts w:ascii="Times New Roman" w:eastAsia="Times New Roman" w:hAnsi="Times New Roman" w:cs="Times New Roman"/>
          <w:kern w:val="0"/>
          <w14:ligatures w14:val="none"/>
        </w:rPr>
        <w:t>.</w:t>
      </w:r>
    </w:p>
    <w:p w14:paraId="646C6894"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reason is that Article 117 does in fact lack certain procedures that the legislature could have added, particularly:</w:t>
      </w:r>
    </w:p>
    <w:p w14:paraId="2DF4E3E9" w14:textId="77777777" w:rsidR="00386AE3" w:rsidRPr="0021068A" w:rsidRDefault="00386AE3" w:rsidP="00386AE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notification;</w:t>
      </w:r>
    </w:p>
    <w:p w14:paraId="26D83BEF" w14:textId="77777777" w:rsidR="00386AE3" w:rsidRPr="0021068A" w:rsidRDefault="00386AE3" w:rsidP="00386AE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reasoning of the decision;</w:t>
      </w:r>
    </w:p>
    <w:p w14:paraId="508014F1" w14:textId="77777777" w:rsidR="00386AE3" w:rsidRPr="0021068A" w:rsidRDefault="00386AE3" w:rsidP="00386AE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detailed regulation of the examination of force majeure; and</w:t>
      </w:r>
    </w:p>
    <w:p w14:paraId="5CB04893" w14:textId="77777777" w:rsidR="00386AE3" w:rsidRPr="0021068A" w:rsidRDefault="00386AE3" w:rsidP="00386AE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an express mechanism for reconsidering exceptional cases.</w:t>
      </w:r>
    </w:p>
    <w:p w14:paraId="71DD263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However, these elements are not all constitutionally mandatory.</w:t>
      </w:r>
    </w:p>
    <w:p w14:paraId="4C10CF25"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In particular, the </w:t>
      </w:r>
      <w:r w:rsidRPr="0021068A">
        <w:rPr>
          <w:rFonts w:ascii="Times New Roman" w:eastAsia="Times New Roman" w:hAnsi="Times New Roman" w:cs="Times New Roman"/>
          <w:b/>
          <w:bCs/>
          <w:kern w:val="0"/>
          <w14:ligatures w14:val="none"/>
        </w:rPr>
        <w:t>absence of a warning</w:t>
      </w:r>
      <w:r w:rsidRPr="0021068A">
        <w:rPr>
          <w:rFonts w:ascii="Times New Roman" w:eastAsia="Times New Roman" w:hAnsi="Times New Roman" w:cs="Times New Roman"/>
          <w:kern w:val="0"/>
          <w14:ligatures w14:val="none"/>
        </w:rPr>
        <w:t xml:space="preserve"> cannot be regarded as a constitutional gap after the Supreme Constitutional Court addressed this issue with respect to Article 117 itself and concluded that a warning was not constitutionally required. (</w:t>
      </w:r>
      <w:hyperlink r:id="rId16" w:history="1">
        <w:r w:rsidRPr="0021068A">
          <w:rPr>
            <w:rFonts w:ascii="Times New Roman" w:eastAsia="Times New Roman" w:hAnsi="Times New Roman" w:cs="Times New Roman"/>
            <w:color w:val="0000FF"/>
            <w:kern w:val="0"/>
            <w:u w:val="single"/>
            <w14:ligatures w14:val="none"/>
          </w:rPr>
          <w:t>almasryalyoum.com</w:t>
        </w:r>
      </w:hyperlink>
      <w:r w:rsidRPr="0021068A">
        <w:rPr>
          <w:rFonts w:ascii="Times New Roman" w:eastAsia="Times New Roman" w:hAnsi="Times New Roman" w:cs="Times New Roman"/>
          <w:kern w:val="0"/>
          <w14:ligatures w14:val="none"/>
        </w:rPr>
        <w:t>)</w:t>
      </w:r>
    </w:p>
    <w:p w14:paraId="3BE7A851"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As for considering the system a </w:t>
      </w:r>
      <w:r w:rsidRPr="0021068A">
        <w:rPr>
          <w:rFonts w:ascii="Times New Roman" w:eastAsia="Times New Roman" w:hAnsi="Times New Roman" w:cs="Times New Roman"/>
          <w:b/>
          <w:bCs/>
          <w:kern w:val="0"/>
          <w14:ligatures w14:val="none"/>
        </w:rPr>
        <w:t>material legislative gap</w:t>
      </w:r>
      <w:r w:rsidRPr="0021068A">
        <w:rPr>
          <w:rFonts w:ascii="Times New Roman" w:eastAsia="Times New Roman" w:hAnsi="Times New Roman" w:cs="Times New Roman"/>
          <w:kern w:val="0"/>
          <w14:ligatures w14:val="none"/>
        </w:rPr>
        <w:t xml:space="preserve"> because of force majeure, this would require assuming that the absence of an exceptional mechanism for dealing with a circumstance that prevents return during the six-month period produces a result that cannot be constitutionally justified. This assumption is stronger than what the text itself permits us to establish.</w:t>
      </w:r>
    </w:p>
    <w:p w14:paraId="4130F827"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Therefore, I do not see a sufficient basis for classifying the provision as:</w:t>
      </w:r>
    </w:p>
    <w:p w14:paraId="0EACCA03"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b/>
          <w:bCs/>
          <w:kern w:val="0"/>
          <w14:ligatures w14:val="none"/>
        </w:rPr>
        <w:t>constitutionally significant legislative omission.</w:t>
      </w:r>
    </w:p>
    <w:p w14:paraId="15CE8067" w14:textId="77777777" w:rsidR="00386AE3" w:rsidRPr="0021068A"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3E97696">
          <v:rect id="_x0000_i1028" style="width:0;height:1.5pt" o:hralign="center" o:hrstd="t" o:hr="t" fillcolor="#a0a0a0" stroked="f"/>
        </w:pict>
      </w:r>
    </w:p>
    <w:p w14:paraId="2E20A272"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5. Judicial-Review Perspective</w:t>
      </w:r>
    </w:p>
    <w:p w14:paraId="3504BDA4"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If an affected faculty member challenged the constitutionality of Article 117 on the ground that it does not provide adequate procedural safeguards before termination of service, a constitutional court could approach the challenge through several levels.</w:t>
      </w:r>
    </w:p>
    <w:p w14:paraId="11EC0855"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First Level: Determining the Nature of the System</w:t>
      </w:r>
    </w:p>
    <w:p w14:paraId="270870D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The Court would likely begin from the proposition that Article 117 does not regulate “disciplinary dismissal” in the traditional sense, but rather regulates </w:t>
      </w:r>
      <w:r w:rsidRPr="0021068A">
        <w:rPr>
          <w:rFonts w:ascii="Times New Roman" w:eastAsia="Times New Roman" w:hAnsi="Times New Roman" w:cs="Times New Roman"/>
          <w:b/>
          <w:bCs/>
          <w:kern w:val="0"/>
          <w14:ligatures w14:val="none"/>
        </w:rPr>
        <w:t>implied resignation based on a statutory presumption arising from absence</w:t>
      </w:r>
      <w:r w:rsidRPr="0021068A">
        <w:rPr>
          <w:rFonts w:ascii="Times New Roman" w:eastAsia="Times New Roman" w:hAnsi="Times New Roman" w:cs="Times New Roman"/>
          <w:kern w:val="0"/>
          <w14:ligatures w14:val="none"/>
        </w:rPr>
        <w:t>.</w:t>
      </w:r>
    </w:p>
    <w:p w14:paraId="09DE6272"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is important because the safeguards associated with disciplinary sanctions do not necessarily apply, in the same form, to a legal system under which termination of service is based on a statutory presumption of the employee's unwillingness to continue in service.</w:t>
      </w:r>
    </w:p>
    <w:p w14:paraId="33735D92"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is consistent with the judicial understanding of Article 117 as a special system governing absence and implied resignation. (</w:t>
      </w:r>
      <w:hyperlink r:id="rId17" w:history="1">
        <w:r w:rsidRPr="0021068A">
          <w:rPr>
            <w:rFonts w:ascii="Times New Roman" w:eastAsia="Times New Roman" w:hAnsi="Times New Roman" w:cs="Times New Roman"/>
            <w:color w:val="0000FF"/>
            <w:kern w:val="0"/>
            <w:u w:val="single"/>
            <w14:ligatures w14:val="none"/>
          </w:rPr>
          <w:t>lawhub.info</w:t>
        </w:r>
      </w:hyperlink>
      <w:r w:rsidRPr="0021068A">
        <w:rPr>
          <w:rFonts w:ascii="Times New Roman" w:eastAsia="Times New Roman" w:hAnsi="Times New Roman" w:cs="Times New Roman"/>
          <w:kern w:val="0"/>
          <w14:ligatures w14:val="none"/>
        </w:rPr>
        <w:t>)</w:t>
      </w:r>
    </w:p>
    <w:p w14:paraId="6BD97FAE"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lastRenderedPageBreak/>
        <w:t>Second Level: Assessing the Legislative Purpose</w:t>
      </w:r>
    </w:p>
    <w:p w14:paraId="120427A8"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apparent purpose is to ensure the regular functioning of university work and to prevent a faculty position from remaining effectively vacant while the legal status of its holder remains unresolved.</w:t>
      </w:r>
    </w:p>
    <w:p w14:paraId="44720BCF"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This is a legitimate purpose connected to the nature of the university public service.</w:t>
      </w:r>
    </w:p>
    <w:p w14:paraId="663BCB61"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Third Level: Proportionality</w:t>
      </w:r>
    </w:p>
    <w:p w14:paraId="1EF63782"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following question would then arise:</w:t>
      </w:r>
    </w:p>
    <w:p w14:paraId="66BC45F3"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Is the means—termination of service after six months of failure to return—rationally connected to this purpose?</w:t>
      </w:r>
    </w:p>
    <w:p w14:paraId="5FD45F4E"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answer appears to be yes.</w:t>
      </w:r>
    </w:p>
    <w:p w14:paraId="71591FFB"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existence of a faculty member outside the university without authorization for six months constitutes an objective circumstance from which the legislature may infer an unwillingness to continue in service, particularly since the faculty member has been given this period to remedy the absence.</w:t>
      </w:r>
    </w:p>
    <w:p w14:paraId="032CC890"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Fourth Level: Does the Absence of a Warning Impair the Right?</w:t>
      </w:r>
    </w:p>
    <w:p w14:paraId="6816F0D6"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Here there is a decisive point: </w:t>
      </w:r>
      <w:r w:rsidRPr="0021068A">
        <w:rPr>
          <w:rFonts w:ascii="Times New Roman" w:eastAsia="Times New Roman" w:hAnsi="Times New Roman" w:cs="Times New Roman"/>
          <w:b/>
          <w:bCs/>
          <w:kern w:val="0"/>
          <w14:ligatures w14:val="none"/>
        </w:rPr>
        <w:t>the Supreme Constitutional Court has already answered this question with respect to Article 117 and rejected the proposition that the absence of a warning constitutes a constitutional defect.</w:t>
      </w:r>
      <w:r w:rsidRPr="0021068A">
        <w:rPr>
          <w:rFonts w:ascii="Times New Roman" w:eastAsia="Times New Roman" w:hAnsi="Times New Roman" w:cs="Times New Roman"/>
          <w:kern w:val="0"/>
          <w14:ligatures w14:val="none"/>
        </w:rPr>
        <w:t xml:space="preserve"> (</w:t>
      </w:r>
      <w:hyperlink r:id="rId18" w:history="1">
        <w:r w:rsidRPr="0021068A">
          <w:rPr>
            <w:rFonts w:ascii="Times New Roman" w:eastAsia="Times New Roman" w:hAnsi="Times New Roman" w:cs="Times New Roman"/>
            <w:color w:val="0000FF"/>
            <w:kern w:val="0"/>
            <w:u w:val="single"/>
            <w14:ligatures w14:val="none"/>
          </w:rPr>
          <w:t>almasryalyoum.com</w:t>
        </w:r>
      </w:hyperlink>
      <w:r w:rsidRPr="0021068A">
        <w:rPr>
          <w:rFonts w:ascii="Times New Roman" w:eastAsia="Times New Roman" w:hAnsi="Times New Roman" w:cs="Times New Roman"/>
          <w:kern w:val="0"/>
          <w14:ligatures w14:val="none"/>
        </w:rPr>
        <w:t>)</w:t>
      </w:r>
    </w:p>
    <w:p w14:paraId="5322283F"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Accordingly, reconstructing the constitutional challenge merely around the </w:t>
      </w:r>
      <w:r w:rsidRPr="0021068A">
        <w:rPr>
          <w:rFonts w:ascii="Times New Roman" w:eastAsia="Times New Roman" w:hAnsi="Times New Roman" w:cs="Times New Roman"/>
          <w:b/>
          <w:bCs/>
          <w:kern w:val="0"/>
          <w14:ligatures w14:val="none"/>
        </w:rPr>
        <w:t>absence of a warning</w:t>
      </w:r>
      <w:r w:rsidRPr="0021068A">
        <w:rPr>
          <w:rFonts w:ascii="Times New Roman" w:eastAsia="Times New Roman" w:hAnsi="Times New Roman" w:cs="Times New Roman"/>
          <w:kern w:val="0"/>
          <w14:ligatures w14:val="none"/>
        </w:rPr>
        <w:t xml:space="preserve"> would be extremely weak.</w:t>
      </w:r>
    </w:p>
    <w:p w14:paraId="606ED5F2"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Fifth Level: Force Majeure</w:t>
      </w:r>
    </w:p>
    <w:p w14:paraId="171295AF"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The most serious question remains:</w:t>
      </w:r>
    </w:p>
    <w:p w14:paraId="3F051C36"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Should failure to return within six months have its legal effect if the faculty member subsequently proves that force majeure prevented his or her return?</w:t>
      </w:r>
    </w:p>
    <w:p w14:paraId="421821F4"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Here, two competing arguments can be made.</w:t>
      </w:r>
    </w:p>
    <w:p w14:paraId="32DB5B6B"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b/>
          <w:bCs/>
          <w:kern w:val="0"/>
          <w14:ligatures w14:val="none"/>
        </w:rPr>
        <w:t>In favor of the challenge:</w:t>
      </w:r>
    </w:p>
    <w:p w14:paraId="244EE02E"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It may be argued that implied resignation presupposes an intention to leave the position, even if that intention is inferred, whereas force majeure negates such intention. Therefore, terminating service despite the existence of force majeure transforms the statutory presumption from a means of establishing intention into an objective sanction for an involuntary circumstance.</w:t>
      </w:r>
    </w:p>
    <w:p w14:paraId="00FB030E"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b/>
          <w:bCs/>
          <w:kern w:val="0"/>
          <w14:ligatures w14:val="none"/>
        </w:rPr>
        <w:lastRenderedPageBreak/>
        <w:t>Against the challenge:</w:t>
      </w:r>
    </w:p>
    <w:p w14:paraId="38B0E85C"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It may be argued that the legislature established six months as the maximum acceptable period for leaving the employment status unresolved, and that the termination of service is not a punishment. Rather, it is a statutory presumption based on continued absence and failure to return, while the faculty member is given the opportunity during that period to raise his or her excuse.</w:t>
      </w:r>
    </w:p>
    <w:p w14:paraId="75CED4B5"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Between the two approaches, I believe that </w:t>
      </w:r>
      <w:r w:rsidRPr="0021068A">
        <w:rPr>
          <w:rFonts w:ascii="Times New Roman" w:eastAsia="Times New Roman" w:hAnsi="Times New Roman" w:cs="Times New Roman"/>
          <w:b/>
          <w:bCs/>
          <w:kern w:val="0"/>
          <w14:ligatures w14:val="none"/>
        </w:rPr>
        <w:t>the second argument is constitutionally stronger</w:t>
      </w:r>
      <w:r w:rsidRPr="0021068A">
        <w:rPr>
          <w:rFonts w:ascii="Times New Roman" w:eastAsia="Times New Roman" w:hAnsi="Times New Roman" w:cs="Times New Roman"/>
          <w:kern w:val="0"/>
          <w14:ligatures w14:val="none"/>
        </w:rPr>
        <w:t>, because the Supreme Constitutional Court does not substitute its assessment for that of the legislature where the regulation pursues a legitimate purpose and the chosen means are rationally connected to that purpose. This approach is consistent with the Court's principles concerning the legislature's discretionary authority to regulate rights. (</w:t>
      </w:r>
      <w:hyperlink r:id="rId19" w:history="1">
        <w:r w:rsidRPr="0021068A">
          <w:rPr>
            <w:rFonts w:ascii="Times New Roman" w:eastAsia="Times New Roman" w:hAnsi="Times New Roman" w:cs="Times New Roman"/>
            <w:color w:val="0000FF"/>
            <w:kern w:val="0"/>
            <w:u w:val="single"/>
            <w14:ligatures w14:val="none"/>
          </w:rPr>
          <w:t>sccourt.gov.eg</w:t>
        </w:r>
      </w:hyperlink>
      <w:r w:rsidRPr="0021068A">
        <w:rPr>
          <w:rFonts w:ascii="Times New Roman" w:eastAsia="Times New Roman" w:hAnsi="Times New Roman" w:cs="Times New Roman"/>
          <w:kern w:val="0"/>
          <w14:ligatures w14:val="none"/>
        </w:rPr>
        <w:t>)</w:t>
      </w:r>
    </w:p>
    <w:p w14:paraId="1AC30D68" w14:textId="77777777" w:rsidR="00386AE3" w:rsidRPr="0021068A"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E773721">
          <v:rect id="_x0000_i1029" style="width:0;height:1.5pt" o:hralign="center" o:hrstd="t" o:hr="t" fillcolor="#a0a0a0" stroked="f"/>
        </w:pict>
      </w:r>
    </w:p>
    <w:p w14:paraId="47E606C1"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6. Proposed Legislative Amendment</w:t>
      </w:r>
    </w:p>
    <w:p w14:paraId="5E9DE7E3"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Based on the preceding conclusion, </w:t>
      </w:r>
      <w:r w:rsidRPr="0021068A">
        <w:rPr>
          <w:rFonts w:ascii="Times New Roman" w:eastAsia="Times New Roman" w:hAnsi="Times New Roman" w:cs="Times New Roman"/>
          <w:b/>
          <w:bCs/>
          <w:kern w:val="0"/>
          <w14:ligatures w14:val="none"/>
        </w:rPr>
        <w:t>I do not believe that Article 117 is constitutionally required to be amended</w:t>
      </w:r>
      <w:r w:rsidRPr="0021068A">
        <w:rPr>
          <w:rFonts w:ascii="Times New Roman" w:eastAsia="Times New Roman" w:hAnsi="Times New Roman" w:cs="Times New Roman"/>
          <w:kern w:val="0"/>
          <w14:ligatures w14:val="none"/>
        </w:rPr>
        <w:t>.</w:t>
      </w:r>
    </w:p>
    <w:p w14:paraId="6AD5DE22"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Accordingly, proposing a mandatory amendment merely to add a prior warning would, in the context of this study, constitute an </w:t>
      </w:r>
      <w:r w:rsidRPr="0021068A">
        <w:rPr>
          <w:rFonts w:ascii="Times New Roman" w:eastAsia="Times New Roman" w:hAnsi="Times New Roman" w:cs="Times New Roman"/>
          <w:b/>
          <w:bCs/>
          <w:kern w:val="0"/>
          <w14:ligatures w14:val="none"/>
        </w:rPr>
        <w:t>unjustified amendment in principle</w:t>
      </w:r>
      <w:r w:rsidRPr="0021068A">
        <w:rPr>
          <w:rFonts w:ascii="Times New Roman" w:eastAsia="Times New Roman" w:hAnsi="Times New Roman" w:cs="Times New Roman"/>
          <w:kern w:val="0"/>
          <w14:ligatures w14:val="none"/>
        </w:rPr>
        <w:t>, because it addresses an issue that the Supreme Constitutional Court has already considered and found not to be constitutionally required.</w:t>
      </w:r>
    </w:p>
    <w:p w14:paraId="29B7A30F"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 xml:space="preserve">However, if the objective is to </w:t>
      </w:r>
      <w:r w:rsidRPr="0021068A">
        <w:rPr>
          <w:rFonts w:ascii="Times New Roman" w:eastAsia="Times New Roman" w:hAnsi="Times New Roman" w:cs="Times New Roman"/>
          <w:b/>
          <w:bCs/>
          <w:kern w:val="0"/>
          <w14:ligatures w14:val="none"/>
        </w:rPr>
        <w:t>improve procedural protection legislatively without affecting the fundamental structure of the provision</w:t>
      </w:r>
      <w:r w:rsidRPr="0021068A">
        <w:rPr>
          <w:rFonts w:ascii="Times New Roman" w:eastAsia="Times New Roman" w:hAnsi="Times New Roman" w:cs="Times New Roman"/>
          <w:kern w:val="0"/>
          <w14:ligatures w14:val="none"/>
        </w:rPr>
        <w:t>, it would be possible to add a limited safeguard concerning notification without transforming the system into a disciplinary system.</w:t>
      </w:r>
    </w:p>
    <w:p w14:paraId="04F72EB9"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Accordingly, if this approach is adopted, the proposed addition could read:</w:t>
      </w:r>
    </w:p>
    <w:p w14:paraId="19C8327F" w14:textId="77777777" w:rsidR="00386AE3" w:rsidRPr="0021068A"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21068A">
        <w:rPr>
          <w:rFonts w:ascii="Times New Roman" w:eastAsia="Times New Roman" w:hAnsi="Times New Roman" w:cs="Times New Roman"/>
          <w:kern w:val="0"/>
          <w14:ligatures w14:val="none"/>
        </w:rPr>
        <w:t>“In all cases, the university shall notify the faculty member in writing of his or her absence from work and of the consequence resulting from failure to return within the period prescribed in the first paragraph, sufficiently in advance of the expiration of that period.”</w:t>
      </w:r>
    </w:p>
    <w:p w14:paraId="3045E9F6" w14:textId="77777777" w:rsidR="00386AE3" w:rsidRDefault="00386AE3" w:rsidP="00386AE3">
      <w:pPr>
        <w:bidi/>
        <w:jc w:val="both"/>
        <w:rPr>
          <w:lang w:bidi="ar-EG"/>
        </w:rPr>
      </w:pPr>
      <w:r>
        <w:rPr>
          <w:lang w:bidi="ar-EG"/>
        </w:rPr>
        <w:br w:type="page"/>
      </w:r>
    </w:p>
    <w:p w14:paraId="052D4236" w14:textId="4A3CC4CC" w:rsidR="00386AE3" w:rsidRPr="00797A5A" w:rsidRDefault="00386AE3" w:rsidP="00797A5A">
      <w:pPr>
        <w:pStyle w:val="2"/>
        <w:rPr>
          <w:rFonts w:asciiTheme="majorBidi" w:hAnsiTheme="majorBidi" w:cstheme="majorBidi"/>
        </w:rPr>
      </w:pPr>
      <w:r w:rsidRPr="00797A5A">
        <w:rPr>
          <w:rFonts w:asciiTheme="majorBidi" w:hAnsiTheme="majorBidi" w:cstheme="majorBidi"/>
        </w:rPr>
        <w:lastRenderedPageBreak/>
        <w:t xml:space="preserve">Gemini </w:t>
      </w:r>
      <w:r w:rsidR="00797A5A" w:rsidRPr="00797A5A">
        <w:rPr>
          <w:rFonts w:asciiTheme="majorBidi" w:hAnsiTheme="majorBidi" w:cstheme="majorBidi"/>
        </w:rPr>
        <w:t>Output</w:t>
      </w:r>
    </w:p>
    <w:p w14:paraId="3451BBCE"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1. Statutory Structure</w:t>
      </w:r>
    </w:p>
    <w:p w14:paraId="3E9E8B6D"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t>Article 117 of the Egyptian Universities Organization Law No. 49 of 1972 establishes an automatic legal fiction of resignation (considered as resigning) triggered by an academic staff member’s unauthorized absence.</w:t>
      </w:r>
    </w:p>
    <w:p w14:paraId="6357BA46"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br/>
      </w:r>
    </w:p>
    <w:p w14:paraId="3791FBED" w14:textId="77777777" w:rsidR="00386AE3" w:rsidRPr="0021068A" w:rsidRDefault="00386AE3" w:rsidP="00386AE3">
      <w:pPr>
        <w:numPr>
          <w:ilvl w:val="0"/>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Triggering Event:</w:t>
      </w:r>
      <w:r w:rsidRPr="0021068A">
        <w:rPr>
          <w:rFonts w:ascii="Arial" w:eastAsia="Times New Roman" w:hAnsi="Arial" w:cs="Arial"/>
          <w:color w:val="1F1F1F"/>
          <w:kern w:val="0"/>
          <w14:ligatures w14:val="none"/>
        </w:rPr>
        <w:t xml:space="preserve"> Unauthorized absence from work exceeding one month without permission, whether occurring independently or immediately following the expiration of an authorized secondment, scientific mission, sabbatical leave, spouse-accompanying leave, or any other type of leave.</w:t>
      </w:r>
    </w:p>
    <w:p w14:paraId="767A8D88"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5694A3D3" w14:textId="77777777" w:rsidR="00386AE3" w:rsidRPr="0021068A" w:rsidRDefault="00386AE3" w:rsidP="00386AE3">
      <w:pPr>
        <w:numPr>
          <w:ilvl w:val="0"/>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Statutory Period:</w:t>
      </w:r>
      <w:r w:rsidRPr="0021068A">
        <w:rPr>
          <w:rFonts w:ascii="Arial" w:eastAsia="Times New Roman" w:hAnsi="Arial" w:cs="Arial"/>
          <w:color w:val="1F1F1F"/>
          <w:kern w:val="0"/>
          <w14:ligatures w14:val="none"/>
        </w:rPr>
        <w:t xml:space="preserve"> A primary period of unauthorized absence exceeding one month, coupled with a secondary grace or remediation window of up to six months from the initial date of interruption.</w:t>
      </w:r>
    </w:p>
    <w:p w14:paraId="1F5DB497"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68E5BDA6" w14:textId="77777777" w:rsidR="00386AE3" w:rsidRPr="0021068A" w:rsidRDefault="00386AE3" w:rsidP="00386AE3">
      <w:pPr>
        <w:numPr>
          <w:ilvl w:val="0"/>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Legal Consequence:</w:t>
      </w:r>
      <w:r w:rsidRPr="0021068A">
        <w:rPr>
          <w:rFonts w:ascii="Arial" w:eastAsia="Times New Roman" w:hAnsi="Arial" w:cs="Arial"/>
          <w:color w:val="1F1F1F"/>
          <w:kern w:val="0"/>
          <w14:ligatures w14:val="none"/>
        </w:rPr>
        <w:t xml:space="preserve"> The staff member is deemed to have resigned, and their service is legally terminated retroactively from the initial date of interruption, subject to cure provisions if they return within six months.</w:t>
      </w:r>
    </w:p>
    <w:p w14:paraId="50A97D5E"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113B66DA" w14:textId="77777777" w:rsidR="00386AE3" w:rsidRPr="0021068A" w:rsidRDefault="00386AE3" w:rsidP="00386AE3">
      <w:pPr>
        <w:numPr>
          <w:ilvl w:val="0"/>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Possibility of Returning within the Prescribed Period:</w:t>
      </w:r>
    </w:p>
    <w:p w14:paraId="2EE57BA8"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br/>
      </w:r>
    </w:p>
    <w:p w14:paraId="34C5BA4B" w14:textId="77777777" w:rsidR="00386AE3" w:rsidRPr="0021068A" w:rsidRDefault="00386AE3" w:rsidP="00386AE3">
      <w:pPr>
        <w:numPr>
          <w:ilvl w:val="1"/>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i/>
          <w:iCs/>
          <w:color w:val="1F1F1F"/>
          <w:kern w:val="0"/>
          <w:bdr w:val="none" w:sz="0" w:space="0" w:color="auto" w:frame="1"/>
          <w14:ligatures w14:val="none"/>
        </w:rPr>
        <w:t>Return with an Accepted Force Majeure Excuse:</w:t>
      </w:r>
      <w:r w:rsidRPr="0021068A">
        <w:rPr>
          <w:rFonts w:ascii="Arial" w:eastAsia="Times New Roman" w:hAnsi="Arial" w:cs="Arial"/>
          <w:color w:val="1F1F1F"/>
          <w:kern w:val="0"/>
          <w14:ligatures w14:val="none"/>
        </w:rPr>
        <w:t xml:space="preserve"> If the staff member returns within six months and submits a force majeure excuse accepted by the University Council (after consulting the faculty/institute council and department council), the absence is reclassified as special leave (with pay for the first two months, without pay for the subsequent four months).</w:t>
      </w:r>
    </w:p>
    <w:p w14:paraId="2088960E" w14:textId="77777777" w:rsidR="00386AE3" w:rsidRPr="0021068A" w:rsidRDefault="00386AE3" w:rsidP="00386AE3">
      <w:pPr>
        <w:spacing w:before="0" w:after="0" w:line="240" w:lineRule="auto"/>
        <w:ind w:left="1440" w:firstLine="0"/>
        <w:rPr>
          <w:rFonts w:ascii="Arial" w:eastAsia="Times New Roman" w:hAnsi="Arial" w:cs="Arial"/>
          <w:color w:val="1F1F1F"/>
          <w:kern w:val="0"/>
          <w14:ligatures w14:val="none"/>
        </w:rPr>
      </w:pPr>
    </w:p>
    <w:p w14:paraId="32F16384" w14:textId="77777777" w:rsidR="00386AE3" w:rsidRPr="0021068A" w:rsidRDefault="00386AE3" w:rsidP="00386AE3">
      <w:pPr>
        <w:numPr>
          <w:ilvl w:val="1"/>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i/>
          <w:iCs/>
          <w:color w:val="1F1F1F"/>
          <w:kern w:val="0"/>
          <w:bdr w:val="none" w:sz="0" w:space="0" w:color="auto" w:frame="1"/>
          <w14:ligatures w14:val="none"/>
        </w:rPr>
        <w:t>Return without an Excuse or with a Rejected Excuse:</w:t>
      </w:r>
      <w:r w:rsidRPr="0021068A">
        <w:rPr>
          <w:rFonts w:ascii="Arial" w:eastAsia="Times New Roman" w:hAnsi="Arial" w:cs="Arial"/>
          <w:color w:val="1F1F1F"/>
          <w:kern w:val="0"/>
          <w14:ligatures w14:val="none"/>
        </w:rPr>
        <w:t xml:space="preserve"> If the staff member returns within six months without an excuse or with an unacceptable excuse, the absence is treated as an interruption not counted toward pension calculation or promotional service periods under Articles 69(first) and 70(first), without prejudice to disciplinary rules, and restricts future leaves.</w:t>
      </w:r>
    </w:p>
    <w:p w14:paraId="71837CEB" w14:textId="77777777" w:rsidR="00386AE3" w:rsidRPr="0021068A" w:rsidRDefault="00386AE3" w:rsidP="00386AE3">
      <w:pPr>
        <w:spacing w:before="0" w:after="0" w:line="240" w:lineRule="auto"/>
        <w:ind w:left="1440" w:firstLine="0"/>
        <w:rPr>
          <w:rFonts w:ascii="Arial" w:eastAsia="Times New Roman" w:hAnsi="Arial" w:cs="Arial"/>
          <w:color w:val="1F1F1F"/>
          <w:kern w:val="0"/>
          <w14:ligatures w14:val="none"/>
        </w:rPr>
      </w:pPr>
    </w:p>
    <w:p w14:paraId="5C5C2587" w14:textId="77777777" w:rsidR="00386AE3" w:rsidRPr="0021068A" w:rsidRDefault="00386AE3" w:rsidP="00386AE3">
      <w:pPr>
        <w:numPr>
          <w:ilvl w:val="0"/>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Role of Competent University Bodies:</w:t>
      </w:r>
      <w:r w:rsidRPr="0021068A">
        <w:rPr>
          <w:rFonts w:ascii="Arial" w:eastAsia="Times New Roman" w:hAnsi="Arial" w:cs="Arial"/>
          <w:color w:val="1F1F1F"/>
          <w:kern w:val="0"/>
          <w14:ligatures w14:val="none"/>
        </w:rPr>
        <w:t xml:space="preserve"> The University Council holds the ultimate decision-making authority regarding the acceptance of a force majeure excuse, which must be preceded by consultative opinions from both the department council and the faculty or institute council.</w:t>
      </w:r>
    </w:p>
    <w:p w14:paraId="56188415"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059003E2" w14:textId="77777777" w:rsidR="00386AE3" w:rsidRPr="0021068A" w:rsidRDefault="00386AE3" w:rsidP="00386AE3">
      <w:pPr>
        <w:numPr>
          <w:ilvl w:val="0"/>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Procedural Safeguards Expressly Included:</w:t>
      </w:r>
    </w:p>
    <w:p w14:paraId="00F197F3"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br/>
      </w:r>
    </w:p>
    <w:p w14:paraId="4F5EE426" w14:textId="77777777" w:rsidR="00386AE3" w:rsidRPr="0021068A" w:rsidRDefault="00386AE3" w:rsidP="00386AE3">
      <w:pPr>
        <w:numPr>
          <w:ilvl w:val="1"/>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t>A six-month grace window allowing the employee to reappear and justify the absence.</w:t>
      </w:r>
    </w:p>
    <w:p w14:paraId="0663595B" w14:textId="77777777" w:rsidR="00386AE3" w:rsidRPr="0021068A" w:rsidRDefault="00386AE3" w:rsidP="00386AE3">
      <w:pPr>
        <w:spacing w:before="0" w:after="0" w:line="240" w:lineRule="auto"/>
        <w:ind w:left="1440" w:firstLine="0"/>
        <w:rPr>
          <w:rFonts w:ascii="Arial" w:eastAsia="Times New Roman" w:hAnsi="Arial" w:cs="Arial"/>
          <w:color w:val="1F1F1F"/>
          <w:kern w:val="0"/>
          <w14:ligatures w14:val="none"/>
        </w:rPr>
      </w:pPr>
    </w:p>
    <w:p w14:paraId="2C67A4F1" w14:textId="77777777" w:rsidR="00386AE3" w:rsidRPr="0021068A" w:rsidRDefault="00386AE3" w:rsidP="00386AE3">
      <w:pPr>
        <w:numPr>
          <w:ilvl w:val="1"/>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lastRenderedPageBreak/>
        <w:t>Institutional deliberation involving academic collegial bodies (department and faculty councils) before the University Council decides on an excuse.</w:t>
      </w:r>
    </w:p>
    <w:p w14:paraId="1F2F83D3" w14:textId="77777777" w:rsidR="00386AE3" w:rsidRPr="0021068A" w:rsidRDefault="00386AE3" w:rsidP="00386AE3">
      <w:pPr>
        <w:spacing w:before="0" w:after="0" w:line="240" w:lineRule="auto"/>
        <w:ind w:left="1440" w:firstLine="0"/>
        <w:rPr>
          <w:rFonts w:ascii="Arial" w:eastAsia="Times New Roman" w:hAnsi="Arial" w:cs="Arial"/>
          <w:color w:val="1F1F1F"/>
          <w:kern w:val="0"/>
          <w14:ligatures w14:val="none"/>
        </w:rPr>
      </w:pPr>
    </w:p>
    <w:p w14:paraId="7CE0FA0F" w14:textId="77777777" w:rsidR="00386AE3" w:rsidRPr="0021068A" w:rsidRDefault="00386AE3" w:rsidP="00386AE3">
      <w:pPr>
        <w:numPr>
          <w:ilvl w:val="1"/>
          <w:numId w:val="7"/>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t>Preservation of disciplinary pathways rather than an absolute forfeiture of procedural due process in disciplinary matters.</w:t>
      </w:r>
    </w:p>
    <w:p w14:paraId="5DE60B6E" w14:textId="77777777" w:rsidR="00386AE3" w:rsidRPr="0021068A" w:rsidRDefault="00386AE3" w:rsidP="00386AE3">
      <w:pPr>
        <w:spacing w:before="0" w:after="0" w:line="240" w:lineRule="auto"/>
        <w:ind w:left="1440" w:firstLine="0"/>
        <w:rPr>
          <w:rFonts w:ascii="Arial" w:eastAsia="Times New Roman" w:hAnsi="Arial" w:cs="Arial"/>
          <w:color w:val="1F1F1F"/>
          <w:kern w:val="0"/>
          <w14:ligatures w14:val="none"/>
        </w:rPr>
      </w:pPr>
    </w:p>
    <w:p w14:paraId="5D517013"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2. Potential Legislative Omissions</w:t>
      </w:r>
    </w:p>
    <w:p w14:paraId="18455F13"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t>Upon analyzing the text, several structural elements and procedural mechanics are unaddressed or left unprescribed:</w:t>
      </w:r>
    </w:p>
    <w:p w14:paraId="385D0B08"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br/>
      </w:r>
    </w:p>
    <w:p w14:paraId="647D1569" w14:textId="77777777" w:rsidR="00386AE3" w:rsidRPr="0021068A" w:rsidRDefault="00386AE3" w:rsidP="00386AE3">
      <w:pPr>
        <w:numPr>
          <w:ilvl w:val="0"/>
          <w:numId w:val="8"/>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What is absent:</w:t>
      </w:r>
    </w:p>
    <w:p w14:paraId="2DAB3F61"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br/>
      </w:r>
    </w:p>
    <w:p w14:paraId="1DAB24BD" w14:textId="77777777" w:rsidR="00386AE3" w:rsidRPr="0021068A" w:rsidRDefault="00386AE3" w:rsidP="00386AE3">
      <w:pPr>
        <w:numPr>
          <w:ilvl w:val="1"/>
          <w:numId w:val="8"/>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t>An explicit statutory requirement for formal notification, warning, or service of process to the staff member prior to or during the running of the one-month interruption period.</w:t>
      </w:r>
    </w:p>
    <w:p w14:paraId="49AD187D" w14:textId="77777777" w:rsidR="00386AE3" w:rsidRPr="0021068A" w:rsidRDefault="00386AE3" w:rsidP="00386AE3">
      <w:pPr>
        <w:spacing w:before="0" w:after="0" w:line="240" w:lineRule="auto"/>
        <w:ind w:left="1440" w:firstLine="0"/>
        <w:rPr>
          <w:rFonts w:ascii="Arial" w:eastAsia="Times New Roman" w:hAnsi="Arial" w:cs="Arial"/>
          <w:color w:val="1F1F1F"/>
          <w:kern w:val="0"/>
          <w14:ligatures w14:val="none"/>
        </w:rPr>
      </w:pPr>
    </w:p>
    <w:p w14:paraId="1091453C" w14:textId="77777777" w:rsidR="00386AE3" w:rsidRPr="0021068A" w:rsidRDefault="00386AE3" w:rsidP="00386AE3">
      <w:pPr>
        <w:numPr>
          <w:ilvl w:val="1"/>
          <w:numId w:val="8"/>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t xml:space="preserve">A mandatory procedural right for the staff member to be heard, submit a defense, or present explanations </w:t>
      </w:r>
      <w:r w:rsidRPr="0021068A">
        <w:rPr>
          <w:rFonts w:ascii="Arial" w:eastAsia="Times New Roman" w:hAnsi="Arial" w:cs="Arial"/>
          <w:i/>
          <w:iCs/>
          <w:color w:val="1F1F1F"/>
          <w:kern w:val="0"/>
          <w:bdr w:val="none" w:sz="0" w:space="0" w:color="auto" w:frame="1"/>
          <w14:ligatures w14:val="none"/>
        </w:rPr>
        <w:t>before</w:t>
      </w:r>
      <w:r w:rsidRPr="0021068A">
        <w:rPr>
          <w:rFonts w:ascii="Arial" w:eastAsia="Times New Roman" w:hAnsi="Arial" w:cs="Arial"/>
          <w:color w:val="1F1F1F"/>
          <w:kern w:val="0"/>
          <w14:ligatures w14:val="none"/>
        </w:rPr>
        <w:t xml:space="preserve"> the legal fiction of resignation/termination takes effect upon the lapse of the initial month.</w:t>
      </w:r>
    </w:p>
    <w:p w14:paraId="3019CFC3" w14:textId="77777777" w:rsidR="00386AE3" w:rsidRPr="0021068A" w:rsidRDefault="00386AE3" w:rsidP="00386AE3">
      <w:pPr>
        <w:spacing w:before="0" w:after="0" w:line="240" w:lineRule="auto"/>
        <w:ind w:left="1440" w:firstLine="0"/>
        <w:rPr>
          <w:rFonts w:ascii="Arial" w:eastAsia="Times New Roman" w:hAnsi="Arial" w:cs="Arial"/>
          <w:color w:val="1F1F1F"/>
          <w:kern w:val="0"/>
          <w14:ligatures w14:val="none"/>
        </w:rPr>
      </w:pPr>
    </w:p>
    <w:p w14:paraId="694431D2" w14:textId="77777777" w:rsidR="00386AE3" w:rsidRPr="0021068A" w:rsidRDefault="00386AE3" w:rsidP="00386AE3">
      <w:pPr>
        <w:numPr>
          <w:ilvl w:val="1"/>
          <w:numId w:val="8"/>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t>A specific statutory timeframe within which the university administration must formally issue or declare the termination decision once the conditions are met.</w:t>
      </w:r>
    </w:p>
    <w:p w14:paraId="78383827" w14:textId="77777777" w:rsidR="00386AE3" w:rsidRPr="0021068A" w:rsidRDefault="00386AE3" w:rsidP="00386AE3">
      <w:pPr>
        <w:spacing w:before="0" w:after="0" w:line="240" w:lineRule="auto"/>
        <w:ind w:left="1440" w:firstLine="0"/>
        <w:rPr>
          <w:rFonts w:ascii="Arial" w:eastAsia="Times New Roman" w:hAnsi="Arial" w:cs="Arial"/>
          <w:color w:val="1F1F1F"/>
          <w:kern w:val="0"/>
          <w14:ligatures w14:val="none"/>
        </w:rPr>
      </w:pPr>
    </w:p>
    <w:p w14:paraId="1FCF1B78" w14:textId="77777777" w:rsidR="00386AE3" w:rsidRPr="0021068A" w:rsidRDefault="00386AE3" w:rsidP="00386AE3">
      <w:pPr>
        <w:numPr>
          <w:ilvl w:val="0"/>
          <w:numId w:val="8"/>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Why it might matter legally:</w:t>
      </w:r>
      <w:r w:rsidRPr="0021068A">
        <w:rPr>
          <w:rFonts w:ascii="Arial" w:eastAsia="Times New Roman" w:hAnsi="Arial" w:cs="Arial"/>
          <w:color w:val="1F1F1F"/>
          <w:kern w:val="0"/>
          <w14:ligatures w14:val="none"/>
        </w:rPr>
        <w:t xml:space="preserve"> Without a notification mechanism or a pre-termination hearing, an employee could be deemed resigned due to administrative oversight, postal failure, or incapacitation without ever knowing that their employment status has been legally severed.</w:t>
      </w:r>
    </w:p>
    <w:p w14:paraId="675D8243"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095B42F9" w14:textId="77777777" w:rsidR="00386AE3" w:rsidRPr="0021068A" w:rsidRDefault="00386AE3" w:rsidP="00386AE3">
      <w:pPr>
        <w:numPr>
          <w:ilvl w:val="0"/>
          <w:numId w:val="8"/>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Material vs. Incidental Omission:</w:t>
      </w:r>
      <w:r w:rsidRPr="0021068A">
        <w:rPr>
          <w:rFonts w:ascii="Arial" w:eastAsia="Times New Roman" w:hAnsi="Arial" w:cs="Arial"/>
          <w:color w:val="1F1F1F"/>
          <w:kern w:val="0"/>
          <w14:ligatures w14:val="none"/>
        </w:rPr>
        <w:t xml:space="preserve"> The absence of a pre-termination notification and hearing requirement is </w:t>
      </w:r>
      <w:r w:rsidRPr="0021068A">
        <w:rPr>
          <w:rFonts w:ascii="Arial" w:eastAsia="Times New Roman" w:hAnsi="Arial" w:cs="Arial"/>
          <w:b/>
          <w:bCs/>
          <w:color w:val="1F1F1F"/>
          <w:kern w:val="0"/>
          <w:bdr w:val="none" w:sz="0" w:space="0" w:color="auto" w:frame="1"/>
          <w14:ligatures w14:val="none"/>
        </w:rPr>
        <w:t>material</w:t>
      </w:r>
      <w:r w:rsidRPr="0021068A">
        <w:rPr>
          <w:rFonts w:ascii="Arial" w:eastAsia="Times New Roman" w:hAnsi="Arial" w:cs="Arial"/>
          <w:color w:val="1F1F1F"/>
          <w:kern w:val="0"/>
          <w14:ligatures w14:val="none"/>
        </w:rPr>
        <w:t>, as it touches directly upon the stability of employment and administrative due process. Other aspects (such as the exact administrative paperwork format) are merely incidental.</w:t>
      </w:r>
    </w:p>
    <w:p w14:paraId="0D24FCE3"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5F064D4E" w14:textId="77777777" w:rsidR="00386AE3" w:rsidRPr="0021068A" w:rsidRDefault="00386AE3" w:rsidP="00386AE3">
      <w:pPr>
        <w:numPr>
          <w:ilvl w:val="0"/>
          <w:numId w:val="8"/>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Legislative Intent:</w:t>
      </w:r>
      <w:r w:rsidRPr="0021068A">
        <w:rPr>
          <w:rFonts w:ascii="Arial" w:eastAsia="Times New Roman" w:hAnsi="Arial" w:cs="Arial"/>
          <w:color w:val="1F1F1F"/>
          <w:kern w:val="0"/>
          <w14:ligatures w14:val="none"/>
        </w:rPr>
        <w:t xml:space="preserve"> The Egyptian legislature could reasonably have intended this provision as a strict, self-executing statutory rule designed to maintain institutional continuity and discipline in higher education, where unauthorized abandonment of teaching duties severely harms public service delivery.</w:t>
      </w:r>
    </w:p>
    <w:p w14:paraId="0FD0960F"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5019866E"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3. Constitutional Assessment</w:t>
      </w:r>
    </w:p>
    <w:p w14:paraId="7E4700A6"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A. The Argument that the Omission is Constitutionally Problematic</w:t>
      </w:r>
    </w:p>
    <w:p w14:paraId="04F0E695"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lastRenderedPageBreak/>
        <w:t>The omission of a mandatory notice requirement and a pre-termination right to be heard can be challenged under the Egyptian Constitution of 2014 (specifically principles relating to the rule of law, the guarantee of due process, the right to defense, and the protection of public office and employment rights).</w:t>
      </w:r>
    </w:p>
    <w:p w14:paraId="28CA826D"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br/>
      </w:r>
    </w:p>
    <w:p w14:paraId="7BFA4E16" w14:textId="77777777" w:rsidR="00386AE3" w:rsidRPr="0021068A" w:rsidRDefault="00386AE3" w:rsidP="00386AE3">
      <w:pPr>
        <w:numPr>
          <w:ilvl w:val="0"/>
          <w:numId w:val="9"/>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Constitutional Principle:</w:t>
      </w:r>
      <w:r w:rsidRPr="0021068A">
        <w:rPr>
          <w:rFonts w:ascii="Arial" w:eastAsia="Times New Roman" w:hAnsi="Arial" w:cs="Arial"/>
          <w:color w:val="1F1F1F"/>
          <w:kern w:val="0"/>
          <w14:ligatures w14:val="none"/>
        </w:rPr>
        <w:t xml:space="preserve"> Article 97 guarantees the right of defense, and broader administrative jurisprudence anchors natural justice and due process in the constitutional state of law.</w:t>
      </w:r>
    </w:p>
    <w:p w14:paraId="4C928E90"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2D740BCC" w14:textId="77777777" w:rsidR="00386AE3" w:rsidRPr="0021068A" w:rsidRDefault="00386AE3" w:rsidP="00386AE3">
      <w:pPr>
        <w:numPr>
          <w:ilvl w:val="0"/>
          <w:numId w:val="9"/>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Legal Connection:</w:t>
      </w:r>
      <w:r w:rsidRPr="0021068A">
        <w:rPr>
          <w:rFonts w:ascii="Arial" w:eastAsia="Times New Roman" w:hAnsi="Arial" w:cs="Arial"/>
          <w:color w:val="1F1F1F"/>
          <w:kern w:val="0"/>
          <w14:ligatures w14:val="none"/>
        </w:rPr>
        <w:t xml:space="preserve"> Treating an absence as an automatic resignation without prior notice or an opportunity to explain creates an irrebuttable administrative presumption that penalizes individuals without procedural guarantees. If an employee is incapacitated or unaware, the automatic severance strips them of their livelihood without a hearing.</w:t>
      </w:r>
    </w:p>
    <w:p w14:paraId="57F550A6"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7923CB57"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B. The Counterargument that the Omission Represents a Permissible Legislative Choice</w:t>
      </w:r>
    </w:p>
    <w:p w14:paraId="6D3CBD0B"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t>Conversely, the omission can be sustained as a legitimate exercise of legislative policy (</w:t>
      </w:r>
      <w:proofErr w:type="spellStart"/>
      <w:r w:rsidRPr="0021068A">
        <w:rPr>
          <w:rFonts w:ascii="Arial" w:eastAsia="Times New Roman" w:hAnsi="Arial" w:cs="Arial"/>
          <w:i/>
          <w:iCs/>
          <w:color w:val="1F1F1F"/>
          <w:kern w:val="0"/>
          <w:bdr w:val="none" w:sz="0" w:space="0" w:color="auto" w:frame="1"/>
          <w14:ligatures w14:val="none"/>
        </w:rPr>
        <w:t>siyasa</w:t>
      </w:r>
      <w:proofErr w:type="spellEnd"/>
      <w:r w:rsidRPr="0021068A">
        <w:rPr>
          <w:rFonts w:ascii="Arial" w:eastAsia="Times New Roman" w:hAnsi="Arial" w:cs="Arial"/>
          <w:i/>
          <w:iCs/>
          <w:color w:val="1F1F1F"/>
          <w:kern w:val="0"/>
          <w:bdr w:val="none" w:sz="0" w:space="0" w:color="auto" w:frame="1"/>
          <w14:ligatures w14:val="none"/>
        </w:rPr>
        <w:t xml:space="preserve"> </w:t>
      </w:r>
      <w:proofErr w:type="spellStart"/>
      <w:r w:rsidRPr="0021068A">
        <w:rPr>
          <w:rFonts w:ascii="Arial" w:eastAsia="Times New Roman" w:hAnsi="Arial" w:cs="Arial"/>
          <w:i/>
          <w:iCs/>
          <w:color w:val="1F1F1F"/>
          <w:kern w:val="0"/>
          <w:bdr w:val="none" w:sz="0" w:space="0" w:color="auto" w:frame="1"/>
          <w14:ligatures w14:val="none"/>
        </w:rPr>
        <w:t>tashri'iyya</w:t>
      </w:r>
      <w:proofErr w:type="spellEnd"/>
      <w:r w:rsidRPr="0021068A">
        <w:rPr>
          <w:rFonts w:ascii="Arial" w:eastAsia="Times New Roman" w:hAnsi="Arial" w:cs="Arial"/>
          <w:color w:val="1F1F1F"/>
          <w:kern w:val="0"/>
          <w14:ligatures w14:val="none"/>
        </w:rPr>
        <w:t>):</w:t>
      </w:r>
    </w:p>
    <w:p w14:paraId="4E2D3353"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br/>
      </w:r>
    </w:p>
    <w:p w14:paraId="3716D962" w14:textId="77777777" w:rsidR="00386AE3" w:rsidRPr="0021068A" w:rsidRDefault="00386AE3" w:rsidP="00386AE3">
      <w:pPr>
        <w:numPr>
          <w:ilvl w:val="0"/>
          <w:numId w:val="10"/>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Constitutional Principle:</w:t>
      </w:r>
      <w:r w:rsidRPr="0021068A">
        <w:rPr>
          <w:rFonts w:ascii="Arial" w:eastAsia="Times New Roman" w:hAnsi="Arial" w:cs="Arial"/>
          <w:color w:val="1F1F1F"/>
          <w:kern w:val="0"/>
          <w14:ligatures w14:val="none"/>
        </w:rPr>
        <w:t xml:space="preserve"> The legislature possesses wide discretion to regulate public employment, public funds, and the operational requirements of state universities (Article 21 of the Constitution concerning the autonomy and organization of universities).</w:t>
      </w:r>
    </w:p>
    <w:p w14:paraId="029E6377"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115A7E10" w14:textId="77777777" w:rsidR="00386AE3" w:rsidRPr="0021068A" w:rsidRDefault="00386AE3" w:rsidP="00386AE3">
      <w:pPr>
        <w:numPr>
          <w:ilvl w:val="0"/>
          <w:numId w:val="10"/>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Legal Connection:</w:t>
      </w:r>
      <w:r w:rsidRPr="0021068A">
        <w:rPr>
          <w:rFonts w:ascii="Arial" w:eastAsia="Times New Roman" w:hAnsi="Arial" w:cs="Arial"/>
          <w:color w:val="1F1F1F"/>
          <w:kern w:val="0"/>
          <w14:ligatures w14:val="none"/>
        </w:rPr>
        <w:t xml:space="preserve"> The provision deals with </w:t>
      </w:r>
      <w:r w:rsidRPr="0021068A">
        <w:rPr>
          <w:rFonts w:ascii="Arial" w:eastAsia="Times New Roman" w:hAnsi="Arial" w:cs="Arial"/>
          <w:i/>
          <w:iCs/>
          <w:color w:val="1F1F1F"/>
          <w:kern w:val="0"/>
          <w:bdr w:val="none" w:sz="0" w:space="0" w:color="auto" w:frame="1"/>
          <w14:ligatures w14:val="none"/>
        </w:rPr>
        <w:t>de facto</w:t>
      </w:r>
      <w:r w:rsidRPr="0021068A">
        <w:rPr>
          <w:rFonts w:ascii="Arial" w:eastAsia="Times New Roman" w:hAnsi="Arial" w:cs="Arial"/>
          <w:color w:val="1F1F1F"/>
          <w:kern w:val="0"/>
          <w14:ligatures w14:val="none"/>
        </w:rPr>
        <w:t xml:space="preserve"> abandonment of office (</w:t>
      </w:r>
      <w:r w:rsidRPr="0021068A">
        <w:rPr>
          <w:rFonts w:ascii="Arial" w:eastAsia="Times New Roman" w:hAnsi="Arial" w:cs="Arial"/>
          <w:i/>
          <w:iCs/>
          <w:color w:val="1F1F1F"/>
          <w:kern w:val="0"/>
          <w:bdr w:val="none" w:sz="0" w:space="0" w:color="auto" w:frame="1"/>
          <w14:ligatures w14:val="none"/>
        </w:rPr>
        <w:t>al-</w:t>
      </w:r>
      <w:proofErr w:type="spellStart"/>
      <w:r w:rsidRPr="0021068A">
        <w:rPr>
          <w:rFonts w:ascii="Arial" w:eastAsia="Times New Roman" w:hAnsi="Arial" w:cs="Arial"/>
          <w:i/>
          <w:iCs/>
          <w:color w:val="1F1F1F"/>
          <w:kern w:val="0"/>
          <w:bdr w:val="none" w:sz="0" w:space="0" w:color="auto" w:frame="1"/>
          <w14:ligatures w14:val="none"/>
        </w:rPr>
        <w:t>inqita</w:t>
      </w:r>
      <w:proofErr w:type="spellEnd"/>
      <w:r w:rsidRPr="0021068A">
        <w:rPr>
          <w:rFonts w:ascii="Arial" w:eastAsia="Times New Roman" w:hAnsi="Arial" w:cs="Arial"/>
          <w:i/>
          <w:iCs/>
          <w:color w:val="1F1F1F"/>
          <w:kern w:val="0"/>
          <w:bdr w:val="none" w:sz="0" w:space="0" w:color="auto" w:frame="1"/>
          <w14:ligatures w14:val="none"/>
        </w:rPr>
        <w:t>' al-</w:t>
      </w:r>
      <w:proofErr w:type="spellStart"/>
      <w:r w:rsidRPr="0021068A">
        <w:rPr>
          <w:rFonts w:ascii="Arial" w:eastAsia="Times New Roman" w:hAnsi="Arial" w:cs="Arial"/>
          <w:i/>
          <w:iCs/>
          <w:color w:val="1F1F1F"/>
          <w:kern w:val="0"/>
          <w:bdr w:val="none" w:sz="0" w:space="0" w:color="auto" w:frame="1"/>
          <w14:ligatures w14:val="none"/>
        </w:rPr>
        <w:t>ikhtiari</w:t>
      </w:r>
      <w:proofErr w:type="spellEnd"/>
      <w:r w:rsidRPr="0021068A">
        <w:rPr>
          <w:rFonts w:ascii="Arial" w:eastAsia="Times New Roman" w:hAnsi="Arial" w:cs="Arial"/>
          <w:color w:val="1F1F1F"/>
          <w:kern w:val="0"/>
          <w14:ligatures w14:val="none"/>
        </w:rPr>
        <w:t>), not a disciplinary dismissal penalty (</w:t>
      </w:r>
      <w:proofErr w:type="spellStart"/>
      <w:r w:rsidRPr="0021068A">
        <w:rPr>
          <w:rFonts w:ascii="Arial" w:eastAsia="Times New Roman" w:hAnsi="Arial" w:cs="Arial"/>
          <w:i/>
          <w:iCs/>
          <w:color w:val="1F1F1F"/>
          <w:kern w:val="0"/>
          <w:bdr w:val="none" w:sz="0" w:space="0" w:color="auto" w:frame="1"/>
          <w14:ligatures w14:val="none"/>
        </w:rPr>
        <w:t>fasl</w:t>
      </w:r>
      <w:proofErr w:type="spellEnd"/>
      <w:r w:rsidRPr="0021068A">
        <w:rPr>
          <w:rFonts w:ascii="Arial" w:eastAsia="Times New Roman" w:hAnsi="Arial" w:cs="Arial"/>
          <w:i/>
          <w:iCs/>
          <w:color w:val="1F1F1F"/>
          <w:kern w:val="0"/>
          <w:bdr w:val="none" w:sz="0" w:space="0" w:color="auto" w:frame="1"/>
          <w14:ligatures w14:val="none"/>
        </w:rPr>
        <w:t xml:space="preserve"> </w:t>
      </w:r>
      <w:proofErr w:type="spellStart"/>
      <w:r w:rsidRPr="0021068A">
        <w:rPr>
          <w:rFonts w:ascii="Arial" w:eastAsia="Times New Roman" w:hAnsi="Arial" w:cs="Arial"/>
          <w:i/>
          <w:iCs/>
          <w:color w:val="1F1F1F"/>
          <w:kern w:val="0"/>
          <w:bdr w:val="none" w:sz="0" w:space="0" w:color="auto" w:frame="1"/>
          <w14:ligatures w14:val="none"/>
        </w:rPr>
        <w:t>ta'dibiy</w:t>
      </w:r>
      <w:proofErr w:type="spellEnd"/>
      <w:r w:rsidRPr="0021068A">
        <w:rPr>
          <w:rFonts w:ascii="Arial" w:eastAsia="Times New Roman" w:hAnsi="Arial" w:cs="Arial"/>
          <w:color w:val="1F1F1F"/>
          <w:kern w:val="0"/>
          <w14:ligatures w14:val="none"/>
        </w:rPr>
        <w:t>) that requires formal investigation trials under civil service or disciplinary frameworks. The six-month grace period acts as a post-facto corrective mechanism, which balances institutional continuity with staff rehabilitation. Therefore, the absence of a pre-termination notice is a deliberate legislative choice to prevent negligent employees from draining public payrolls while abandoning their academic posts.</w:t>
      </w:r>
    </w:p>
    <w:p w14:paraId="57A2D746"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1D297066"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4. Legislative-Gap Classification</w:t>
      </w:r>
    </w:p>
    <w:p w14:paraId="59C9B5F8" w14:textId="77777777" w:rsidR="00386AE3" w:rsidRPr="0021068A" w:rsidRDefault="00386AE3" w:rsidP="00386AE3">
      <w:pPr>
        <w:numPr>
          <w:ilvl w:val="0"/>
          <w:numId w:val="11"/>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Classification:</w:t>
      </w:r>
      <w:r w:rsidRPr="0021068A">
        <w:rPr>
          <w:rFonts w:ascii="Arial" w:eastAsia="Times New Roman" w:hAnsi="Arial" w:cs="Arial"/>
          <w:color w:val="1F1F1F"/>
          <w:kern w:val="0"/>
          <w14:ligatures w14:val="none"/>
        </w:rPr>
        <w:t xml:space="preserve"> </w:t>
      </w:r>
      <w:r w:rsidRPr="0021068A">
        <w:rPr>
          <w:rFonts w:ascii="Arial" w:eastAsia="Times New Roman" w:hAnsi="Arial" w:cs="Arial"/>
          <w:b/>
          <w:bCs/>
          <w:color w:val="1F1F1F"/>
          <w:kern w:val="0"/>
          <w:bdr w:val="none" w:sz="0" w:space="0" w:color="auto" w:frame="1"/>
          <w14:ligatures w14:val="none"/>
        </w:rPr>
        <w:t>Textual omission without constitutional significance</w:t>
      </w:r>
      <w:r w:rsidRPr="0021068A">
        <w:rPr>
          <w:rFonts w:ascii="Arial" w:eastAsia="Times New Roman" w:hAnsi="Arial" w:cs="Arial"/>
          <w:color w:val="1F1F1F"/>
          <w:kern w:val="0"/>
          <w14:ligatures w14:val="none"/>
        </w:rPr>
        <w:t xml:space="preserve"> (or alternatively framed as a matter of legislative policy/discretion).</w:t>
      </w:r>
    </w:p>
    <w:p w14:paraId="2A56DEC9"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61AD89E0" w14:textId="77777777" w:rsidR="00386AE3" w:rsidRPr="0021068A" w:rsidRDefault="00386AE3" w:rsidP="00386AE3">
      <w:pPr>
        <w:numPr>
          <w:ilvl w:val="0"/>
          <w:numId w:val="11"/>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Explanation:</w:t>
      </w:r>
      <w:r w:rsidRPr="0021068A">
        <w:rPr>
          <w:rFonts w:ascii="Arial" w:eastAsia="Times New Roman" w:hAnsi="Arial" w:cs="Arial"/>
          <w:color w:val="1F1F1F"/>
          <w:kern w:val="0"/>
          <w14:ligatures w14:val="none"/>
        </w:rPr>
        <w:t xml:space="preserve"> While the text does not codify a pre-termination warning notice, the statutory scheme incorporates a robust post-facto remediation mechanism (the six-month grace period and the evaluation of force majeure excuses by multi-tiered university councils). Egyptian administrative law principles historically read implied procedural duties into administrative actions, meaning the absence of explicit text does not automatically invalidate the statute under </w:t>
      </w:r>
      <w:r w:rsidRPr="0021068A">
        <w:rPr>
          <w:rFonts w:ascii="Arial" w:eastAsia="Times New Roman" w:hAnsi="Arial" w:cs="Arial"/>
          <w:color w:val="1F1F1F"/>
          <w:kern w:val="0"/>
          <w14:ligatures w14:val="none"/>
        </w:rPr>
        <w:lastRenderedPageBreak/>
        <w:t>constitutional standards of due process, provided administrative good faith is maintained.</w:t>
      </w:r>
    </w:p>
    <w:p w14:paraId="598F53CE"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6A8EE238"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5. Judicial-Review Perspective</w:t>
      </w:r>
    </w:p>
    <w:p w14:paraId="06897D20"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t>If a constitutional challenge is brought before the Supreme Constitutional Court (SCC) arguing that Article 117 violates due process due to a lack of pre-termination safeguards, the Court would likely approach the case by balancing two competing constitutional imperatives:</w:t>
      </w:r>
    </w:p>
    <w:p w14:paraId="6391F4FD"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br/>
      </w:r>
    </w:p>
    <w:p w14:paraId="717068DF" w14:textId="77777777" w:rsidR="00386AE3" w:rsidRPr="0021068A" w:rsidRDefault="00386AE3" w:rsidP="00386AE3">
      <w:pPr>
        <w:numPr>
          <w:ilvl w:val="0"/>
          <w:numId w:val="12"/>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The Protection of Public Employment and Right to Defense:</w:t>
      </w:r>
      <w:r w:rsidRPr="0021068A">
        <w:rPr>
          <w:rFonts w:ascii="Arial" w:eastAsia="Times New Roman" w:hAnsi="Arial" w:cs="Arial"/>
          <w:color w:val="1F1F1F"/>
          <w:kern w:val="0"/>
          <w14:ligatures w14:val="none"/>
        </w:rPr>
        <w:t xml:space="preserve"> Ensuring that administrative decisions affecting livelihood are not arbitrary.</w:t>
      </w:r>
    </w:p>
    <w:p w14:paraId="0074207C"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020EF710" w14:textId="77777777" w:rsidR="00386AE3" w:rsidRPr="0021068A" w:rsidRDefault="00386AE3" w:rsidP="00386AE3">
      <w:pPr>
        <w:numPr>
          <w:ilvl w:val="0"/>
          <w:numId w:val="12"/>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The Public Interest in Regularity of Public Services (Universities):</w:t>
      </w:r>
      <w:r w:rsidRPr="0021068A">
        <w:rPr>
          <w:rFonts w:ascii="Arial" w:eastAsia="Times New Roman" w:hAnsi="Arial" w:cs="Arial"/>
          <w:color w:val="1F1F1F"/>
          <w:kern w:val="0"/>
          <w14:ligatures w14:val="none"/>
        </w:rPr>
        <w:t xml:space="preserve"> Preventing academic staff from abandoning students and lecture halls without administrative celerity.</w:t>
      </w:r>
    </w:p>
    <w:p w14:paraId="1328D544"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208A5660"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Legal Determination:</w:t>
      </w:r>
      <w:r w:rsidRPr="0021068A">
        <w:rPr>
          <w:rFonts w:ascii="Arial" w:eastAsia="Times New Roman" w:hAnsi="Arial" w:cs="Arial"/>
          <w:color w:val="1F1F1F"/>
          <w:kern w:val="0"/>
          <w14:ligatures w14:val="none"/>
        </w:rPr>
        <w:t xml:space="preserve"> The interpretation upholding the constitutionality of the provision is legally stronger. The SCC has consistently held that the legislature enjoys broad discretion in organizing public utilities (</w:t>
      </w:r>
      <w:proofErr w:type="spellStart"/>
      <w:r w:rsidRPr="0021068A">
        <w:rPr>
          <w:rFonts w:ascii="Arial" w:eastAsia="Times New Roman" w:hAnsi="Arial" w:cs="Arial"/>
          <w:i/>
          <w:iCs/>
          <w:color w:val="1F1F1F"/>
          <w:kern w:val="0"/>
          <w:bdr w:val="none" w:sz="0" w:space="0" w:color="auto" w:frame="1"/>
          <w14:ligatures w14:val="none"/>
        </w:rPr>
        <w:t>marafid</w:t>
      </w:r>
      <w:proofErr w:type="spellEnd"/>
      <w:r w:rsidRPr="0021068A">
        <w:rPr>
          <w:rFonts w:ascii="Arial" w:eastAsia="Times New Roman" w:hAnsi="Arial" w:cs="Arial"/>
          <w:i/>
          <w:iCs/>
          <w:color w:val="1F1F1F"/>
          <w:kern w:val="0"/>
          <w:bdr w:val="none" w:sz="0" w:space="0" w:color="auto" w:frame="1"/>
          <w14:ligatures w14:val="none"/>
        </w:rPr>
        <w:t xml:space="preserve"> 'amma</w:t>
      </w:r>
      <w:r w:rsidRPr="0021068A">
        <w:rPr>
          <w:rFonts w:ascii="Arial" w:eastAsia="Times New Roman" w:hAnsi="Arial" w:cs="Arial"/>
          <w:color w:val="1F1F1F"/>
          <w:kern w:val="0"/>
          <w14:ligatures w14:val="none"/>
        </w:rPr>
        <w:t>). Article 117 does not impose a disciplinary penalty without a hearing; rather, it regulates the objective legal consequences of an employee's own voluntary act of abandonment. Furthermore, the six-month window cures potential harshness, satisfying the constitutional threshold of proportionality.</w:t>
      </w:r>
    </w:p>
    <w:p w14:paraId="762062B2"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color w:val="1F1F1F"/>
          <w:kern w:val="0"/>
          <w14:ligatures w14:val="none"/>
        </w:rPr>
        <w:br/>
      </w:r>
    </w:p>
    <w:p w14:paraId="5377499A"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6. Proposed Legislative Amendment</w:t>
      </w:r>
    </w:p>
    <w:p w14:paraId="224F6FA4"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Conclusion on Amendment:</w:t>
      </w:r>
      <w:r w:rsidRPr="0021068A">
        <w:rPr>
          <w:rFonts w:ascii="Arial" w:eastAsia="Times New Roman" w:hAnsi="Arial" w:cs="Arial"/>
          <w:color w:val="1F1F1F"/>
          <w:kern w:val="0"/>
          <w14:ligatures w14:val="none"/>
        </w:rPr>
        <w:t xml:space="preserve"> No legislative amendment is legally necessary, as the existing text provides an adequate structural balance through its six-month grace period and institutional review mechanisms, leaving administrative notification procedures to executive regulations and general principles of administrative law. Therefore, no artificial amendment is proposed.</w:t>
      </w:r>
    </w:p>
    <w:p w14:paraId="5C7AA01F" w14:textId="77777777" w:rsidR="00386AE3" w:rsidRPr="0021068A" w:rsidRDefault="00386AE3" w:rsidP="00386AE3">
      <w:pPr>
        <w:spacing w:before="0" w:after="0" w:line="240" w:lineRule="auto"/>
        <w:ind w:firstLine="0"/>
        <w:rPr>
          <w:rFonts w:ascii="Arial" w:eastAsia="Times New Roman" w:hAnsi="Arial" w:cs="Arial"/>
          <w:color w:val="1F1F1F"/>
          <w:kern w:val="0"/>
          <w14:ligatures w14:val="none"/>
        </w:rPr>
      </w:pPr>
    </w:p>
    <w:p w14:paraId="675DB248"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7. Confidence and Limitations</w:t>
      </w:r>
    </w:p>
    <w:p w14:paraId="108D5903" w14:textId="77777777" w:rsidR="00386AE3" w:rsidRPr="0021068A" w:rsidRDefault="00386AE3" w:rsidP="00386AE3">
      <w:pPr>
        <w:numPr>
          <w:ilvl w:val="0"/>
          <w:numId w:val="13"/>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Overall Conclusion:</w:t>
      </w:r>
      <w:r w:rsidRPr="0021068A">
        <w:rPr>
          <w:rFonts w:ascii="Arial" w:eastAsia="Times New Roman" w:hAnsi="Arial" w:cs="Arial"/>
          <w:color w:val="1F1F1F"/>
          <w:kern w:val="0"/>
          <w14:ligatures w14:val="none"/>
        </w:rPr>
        <w:t xml:space="preserve"> Article 117 of Law No. 49 of 1972 is constitutionally sustainable and does not contain a material legislative gap requiring judicial intervention or mandatory statutory amendment.</w:t>
      </w:r>
    </w:p>
    <w:p w14:paraId="199C8E4D"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260BDB05" w14:textId="77777777" w:rsidR="00386AE3" w:rsidRPr="0021068A" w:rsidRDefault="00386AE3" w:rsidP="00386AE3">
      <w:pPr>
        <w:numPr>
          <w:ilvl w:val="0"/>
          <w:numId w:val="13"/>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Strongest Argument Supporting Conclusion:</w:t>
      </w:r>
      <w:r w:rsidRPr="0021068A">
        <w:rPr>
          <w:rFonts w:ascii="Arial" w:eastAsia="Times New Roman" w:hAnsi="Arial" w:cs="Arial"/>
          <w:color w:val="1F1F1F"/>
          <w:kern w:val="0"/>
          <w14:ligatures w14:val="none"/>
        </w:rPr>
        <w:t xml:space="preserve"> The provision establishes a generous six-month post-interruption remediation window supervised by collegiate academic bodies (department, faculty, and university councils), which effectively mitigates any harshness stemming from the initial lack of pre-termination notice.</w:t>
      </w:r>
    </w:p>
    <w:p w14:paraId="2FDE0763"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73CE401F" w14:textId="77777777" w:rsidR="00386AE3" w:rsidRPr="0021068A" w:rsidRDefault="00386AE3" w:rsidP="00386AE3">
      <w:pPr>
        <w:numPr>
          <w:ilvl w:val="0"/>
          <w:numId w:val="13"/>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lastRenderedPageBreak/>
        <w:t>Strongest Argument Against Conclusion:</w:t>
      </w:r>
      <w:r w:rsidRPr="0021068A">
        <w:rPr>
          <w:rFonts w:ascii="Arial" w:eastAsia="Times New Roman" w:hAnsi="Arial" w:cs="Arial"/>
          <w:color w:val="1F1F1F"/>
          <w:kern w:val="0"/>
          <w14:ligatures w14:val="none"/>
        </w:rPr>
        <w:t xml:space="preserve"> The absence of a mandatory written warning or notification requirement before the completion of the first month leaves vulnerable staff members susceptible to sudden, unceremonious termination of service due to external incapacitation.</w:t>
      </w:r>
    </w:p>
    <w:p w14:paraId="4A7ED953" w14:textId="77777777" w:rsidR="00386AE3" w:rsidRPr="0021068A" w:rsidRDefault="00386AE3" w:rsidP="00386AE3">
      <w:pPr>
        <w:spacing w:before="0" w:after="0" w:line="240" w:lineRule="auto"/>
        <w:ind w:left="720" w:firstLine="0"/>
        <w:rPr>
          <w:rFonts w:ascii="Arial" w:eastAsia="Times New Roman" w:hAnsi="Arial" w:cs="Arial"/>
          <w:color w:val="1F1F1F"/>
          <w:kern w:val="0"/>
          <w14:ligatures w14:val="none"/>
        </w:rPr>
      </w:pPr>
    </w:p>
    <w:p w14:paraId="7F642CED" w14:textId="77777777" w:rsidR="00386AE3" w:rsidRPr="0021068A" w:rsidRDefault="00386AE3" w:rsidP="00386AE3">
      <w:pPr>
        <w:numPr>
          <w:ilvl w:val="0"/>
          <w:numId w:val="13"/>
        </w:numPr>
        <w:spacing w:before="0" w:after="0" w:line="240" w:lineRule="auto"/>
        <w:rPr>
          <w:rFonts w:ascii="Arial" w:eastAsia="Times New Roman" w:hAnsi="Arial" w:cs="Arial"/>
          <w:color w:val="1F1F1F"/>
          <w:kern w:val="0"/>
          <w14:ligatures w14:val="none"/>
        </w:rPr>
      </w:pPr>
      <w:r w:rsidRPr="0021068A">
        <w:rPr>
          <w:rFonts w:ascii="Arial" w:eastAsia="Times New Roman" w:hAnsi="Arial" w:cs="Arial"/>
          <w:b/>
          <w:bCs/>
          <w:color w:val="1F1F1F"/>
          <w:kern w:val="0"/>
          <w:bdr w:val="none" w:sz="0" w:space="0" w:color="auto" w:frame="1"/>
          <w14:ligatures w14:val="none"/>
        </w:rPr>
        <w:t>Uncertainties:</w:t>
      </w:r>
      <w:r w:rsidRPr="0021068A">
        <w:rPr>
          <w:rFonts w:ascii="Arial" w:eastAsia="Times New Roman" w:hAnsi="Arial" w:cs="Arial"/>
          <w:color w:val="1F1F1F"/>
          <w:kern w:val="0"/>
          <w14:ligatures w14:val="none"/>
        </w:rPr>
        <w:t xml:space="preserve"> The analysis is conducted purely on the statutory text and general public law doctrines within the Egyptian legal framework. It is subject to how Egyptian administrative courts (the State Council / </w:t>
      </w:r>
      <w:r w:rsidRPr="0021068A">
        <w:rPr>
          <w:rFonts w:ascii="Arial" w:eastAsia="Times New Roman" w:hAnsi="Arial" w:cs="Arial"/>
          <w:i/>
          <w:iCs/>
          <w:color w:val="1F1F1F"/>
          <w:kern w:val="0"/>
          <w:bdr w:val="none" w:sz="0" w:space="0" w:color="auto" w:frame="1"/>
          <w14:ligatures w14:val="none"/>
        </w:rPr>
        <w:t>Majlis Al-</w:t>
      </w:r>
      <w:proofErr w:type="spellStart"/>
      <w:r w:rsidRPr="0021068A">
        <w:rPr>
          <w:rFonts w:ascii="Arial" w:eastAsia="Times New Roman" w:hAnsi="Arial" w:cs="Arial"/>
          <w:i/>
          <w:iCs/>
          <w:color w:val="1F1F1F"/>
          <w:kern w:val="0"/>
          <w:bdr w:val="none" w:sz="0" w:space="0" w:color="auto" w:frame="1"/>
          <w14:ligatures w14:val="none"/>
        </w:rPr>
        <w:t>Dawla</w:t>
      </w:r>
      <w:proofErr w:type="spellEnd"/>
      <w:r w:rsidRPr="0021068A">
        <w:rPr>
          <w:rFonts w:ascii="Arial" w:eastAsia="Times New Roman" w:hAnsi="Arial" w:cs="Arial"/>
          <w:color w:val="1F1F1F"/>
          <w:kern w:val="0"/>
          <w14:ligatures w14:val="none"/>
        </w:rPr>
        <w:t>) interpret the strictness of the one-month timeline in practice.</w:t>
      </w:r>
    </w:p>
    <w:p w14:paraId="411C6FE4" w14:textId="77777777" w:rsidR="00386AE3" w:rsidRDefault="00386AE3" w:rsidP="00386AE3">
      <w:pPr>
        <w:bidi/>
        <w:jc w:val="both"/>
        <w:rPr>
          <w:lang w:bidi="ar-EG"/>
        </w:rPr>
      </w:pPr>
      <w:r>
        <w:rPr>
          <w:lang w:bidi="ar-EG"/>
        </w:rPr>
        <w:br w:type="page"/>
      </w:r>
    </w:p>
    <w:p w14:paraId="7AFD57F7" w14:textId="3CD3F164" w:rsidR="00386AE3" w:rsidRPr="00797A5A" w:rsidRDefault="00386AE3" w:rsidP="00797A5A">
      <w:pPr>
        <w:pStyle w:val="2"/>
        <w:rPr>
          <w:rFonts w:asciiTheme="majorBidi" w:hAnsiTheme="majorBidi" w:cstheme="majorBidi"/>
        </w:rPr>
      </w:pPr>
      <w:proofErr w:type="spellStart"/>
      <w:r w:rsidRPr="00797A5A">
        <w:rPr>
          <w:rFonts w:asciiTheme="majorBidi" w:hAnsiTheme="majorBidi" w:cstheme="majorBidi"/>
        </w:rPr>
        <w:lastRenderedPageBreak/>
        <w:t>DeepSeek</w:t>
      </w:r>
      <w:proofErr w:type="spellEnd"/>
      <w:r w:rsidRPr="00797A5A">
        <w:rPr>
          <w:rFonts w:asciiTheme="majorBidi" w:hAnsiTheme="majorBidi" w:cstheme="majorBidi"/>
        </w:rPr>
        <w:t xml:space="preserve"> </w:t>
      </w:r>
      <w:r w:rsidR="00797A5A" w:rsidRPr="00797A5A">
        <w:rPr>
          <w:rFonts w:asciiTheme="majorBidi" w:hAnsiTheme="majorBidi" w:cstheme="majorBidi"/>
        </w:rPr>
        <w:t>Output</w:t>
      </w:r>
    </w:p>
    <w:p w14:paraId="64248C46"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1. Statutory Structure</w:t>
      </w:r>
    </w:p>
    <w:p w14:paraId="692648D9"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Article 117 of the Egyptian Universities Organization Law No. 49 of 1972 establishes a comprehensive legal mechanism governing the status of faculty members who abandon their duties. The provision can be structurally analyzed as follows:</w:t>
      </w:r>
    </w:p>
    <w:p w14:paraId="7CC58A7D"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Triggering Event</w:t>
      </w:r>
    </w:p>
    <w:p w14:paraId="415EDF90"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provision is triggered when a faculty member "interrupts his work for more than one month without permission" (</w:t>
      </w:r>
      <w:r w:rsidRPr="008333CD">
        <w:rPr>
          <w:rFonts w:ascii="Segoe UI" w:eastAsia="Times New Roman" w:hAnsi="Segoe UI" w:cs="Segoe UI"/>
          <w:i/>
          <w:iCs/>
          <w:color w:val="0F1115"/>
          <w:kern w:val="0"/>
          <w:rtl/>
          <w14:ligatures w14:val="none"/>
        </w:rPr>
        <w:t>انقطع عن عمله أكثر من شهر بدون إذن</w:t>
      </w:r>
      <w:r w:rsidRPr="008333CD">
        <w:rPr>
          <w:rFonts w:ascii="Segoe UI" w:eastAsia="Times New Roman" w:hAnsi="Segoe UI" w:cs="Segoe UI"/>
          <w:color w:val="0F1115"/>
          <w:kern w:val="0"/>
          <w14:ligatures w14:val="none"/>
        </w:rPr>
        <w:t>). This interruption can occur even after the expiration of any authorized period of secondment, scientific mission, academic sabbatical, spousal accompaniment leave, or any other leave. The interruption must be unauthorized to trigger the mechanism.</w:t>
      </w:r>
    </w:p>
    <w:p w14:paraId="6FB35E6B"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Statutory Period</w:t>
      </w:r>
    </w:p>
    <w:p w14:paraId="4F3A172C"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provision establishes two critical temporal periods:</w:t>
      </w:r>
    </w:p>
    <w:p w14:paraId="0297C6D5" w14:textId="77777777" w:rsidR="00386AE3" w:rsidRPr="008333CD" w:rsidRDefault="00386AE3" w:rsidP="00386AE3">
      <w:pPr>
        <w:numPr>
          <w:ilvl w:val="0"/>
          <w:numId w:val="14"/>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Initial period</w:t>
      </w:r>
      <w:r w:rsidRPr="008333CD">
        <w:rPr>
          <w:rFonts w:ascii="Segoe UI" w:eastAsia="Times New Roman" w:hAnsi="Segoe UI" w:cs="Segoe UI"/>
          <w:color w:val="0F1115"/>
          <w:kern w:val="0"/>
          <w14:ligatures w14:val="none"/>
        </w:rPr>
        <w:t>: More than one month of unauthorized interruption triggers the legal consequences.</w:t>
      </w:r>
    </w:p>
    <w:p w14:paraId="13B396AC" w14:textId="77777777" w:rsidR="00386AE3" w:rsidRPr="008333CD" w:rsidRDefault="00386AE3" w:rsidP="00386AE3">
      <w:pPr>
        <w:numPr>
          <w:ilvl w:val="0"/>
          <w:numId w:val="14"/>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Grace period</w:t>
      </w:r>
      <w:r w:rsidRPr="008333CD">
        <w:rPr>
          <w:rFonts w:ascii="Segoe UI" w:eastAsia="Times New Roman" w:hAnsi="Segoe UI" w:cs="Segoe UI"/>
          <w:color w:val="0F1115"/>
          <w:kern w:val="0"/>
          <w14:ligatures w14:val="none"/>
        </w:rPr>
        <w:t>: The faculty member may return within six months from the date of interruption (maximum) to remedy the situation.</w:t>
      </w:r>
    </w:p>
    <w:p w14:paraId="6BA80E4A"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Legal Consequence</w:t>
      </w:r>
    </w:p>
    <w:p w14:paraId="29391A8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primary legal consequence is that the faculty member is "considered resigned" (</w:t>
      </w:r>
      <w:r w:rsidRPr="008333CD">
        <w:rPr>
          <w:rFonts w:ascii="Segoe UI" w:eastAsia="Times New Roman" w:hAnsi="Segoe UI" w:cs="Segoe UI"/>
          <w:i/>
          <w:iCs/>
          <w:color w:val="0F1115"/>
          <w:kern w:val="0"/>
          <w:rtl/>
          <w14:ligatures w14:val="none"/>
        </w:rPr>
        <w:t>يعتبر مستقبلا</w:t>
      </w:r>
      <w:r w:rsidRPr="008333CD">
        <w:rPr>
          <w:rFonts w:ascii="Segoe UI" w:eastAsia="Times New Roman" w:hAnsi="Segoe UI" w:cs="Segoe UI"/>
          <w:color w:val="0F1115"/>
          <w:kern w:val="0"/>
          <w14:ligatures w14:val="none"/>
        </w:rPr>
        <w:t>) from the date of interruption, and his service is terminated from that date unless he returns within the six-month grace period.</w:t>
      </w:r>
    </w:p>
    <w:p w14:paraId="0EBA96D1"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Possibility of Returning Within the Prescribed Period</w:t>
      </w:r>
    </w:p>
    <w:p w14:paraId="27387C23"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provision distinguishes three scenarios upon return within six months:</w:t>
      </w:r>
    </w:p>
    <w:p w14:paraId="3CFF04A3" w14:textId="77777777" w:rsidR="00386AE3" w:rsidRPr="008333CD" w:rsidRDefault="00386AE3" w:rsidP="00386AE3">
      <w:pPr>
        <w:numPr>
          <w:ilvl w:val="0"/>
          <w:numId w:val="15"/>
        </w:numPr>
        <w:shd w:val="clear" w:color="auto" w:fill="FFFFFF"/>
        <w:spacing w:before="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Return with an acceptable compelling excuse</w:t>
      </w:r>
      <w:r w:rsidRPr="008333CD">
        <w:rPr>
          <w:rFonts w:ascii="Segoe UI" w:eastAsia="Times New Roman" w:hAnsi="Segoe UI" w:cs="Segoe UI"/>
          <w:color w:val="0F1115"/>
          <w:kern w:val="0"/>
          <w14:ligatures w14:val="none"/>
        </w:rPr>
        <w:t>: If the faculty member returns within six months and presents a compelling excuse (</w:t>
      </w:r>
      <w:r w:rsidRPr="008333CD">
        <w:rPr>
          <w:rFonts w:ascii="Segoe UI" w:eastAsia="Times New Roman" w:hAnsi="Segoe UI" w:cs="Segoe UI"/>
          <w:i/>
          <w:iCs/>
          <w:color w:val="0F1115"/>
          <w:kern w:val="0"/>
          <w:rtl/>
          <w14:ligatures w14:val="none"/>
        </w:rPr>
        <w:t>عذرا قاهرا</w:t>
      </w:r>
      <w:r w:rsidRPr="008333CD">
        <w:rPr>
          <w:rFonts w:ascii="Segoe UI" w:eastAsia="Times New Roman" w:hAnsi="Segoe UI" w:cs="Segoe UI"/>
          <w:color w:val="0F1115"/>
          <w:kern w:val="0"/>
          <w14:ligatures w14:val="none"/>
        </w:rPr>
        <w:t>) approved by the University Council after consulting the Faculty/Institute Council and the Department Council, his absence is deemed:</w:t>
      </w:r>
    </w:p>
    <w:p w14:paraId="1E61A45A" w14:textId="77777777" w:rsidR="00386AE3" w:rsidRPr="008333CD" w:rsidRDefault="00386AE3" w:rsidP="00386AE3">
      <w:pPr>
        <w:numPr>
          <w:ilvl w:val="1"/>
          <w:numId w:val="15"/>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Paid special leave for the first two months</w:t>
      </w:r>
    </w:p>
    <w:p w14:paraId="22EAE0F2" w14:textId="77777777" w:rsidR="00386AE3" w:rsidRPr="008333CD" w:rsidRDefault="00386AE3" w:rsidP="00386AE3">
      <w:pPr>
        <w:numPr>
          <w:ilvl w:val="1"/>
          <w:numId w:val="15"/>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Unpaid leave for the following four months</w:t>
      </w:r>
    </w:p>
    <w:p w14:paraId="27C46BFF" w14:textId="77777777" w:rsidR="00386AE3" w:rsidRPr="008333CD" w:rsidRDefault="00386AE3" w:rsidP="00386AE3">
      <w:pPr>
        <w:numPr>
          <w:ilvl w:val="0"/>
          <w:numId w:val="15"/>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Return without an excuse or with an unacceptable excuse</w:t>
      </w:r>
      <w:r w:rsidRPr="008333CD">
        <w:rPr>
          <w:rFonts w:ascii="Segoe UI" w:eastAsia="Times New Roman" w:hAnsi="Segoe UI" w:cs="Segoe UI"/>
          <w:color w:val="0F1115"/>
          <w:kern w:val="0"/>
          <w14:ligatures w14:val="none"/>
        </w:rPr>
        <w:t xml:space="preserve">: The absence is deemed an interruption that does not count toward pensionable service or </w:t>
      </w:r>
      <w:r w:rsidRPr="008333CD">
        <w:rPr>
          <w:rFonts w:ascii="Segoe UI" w:eastAsia="Times New Roman" w:hAnsi="Segoe UI" w:cs="Segoe UI"/>
          <w:color w:val="0F1115"/>
          <w:kern w:val="0"/>
          <w14:ligatures w14:val="none"/>
        </w:rPr>
        <w:lastRenderedPageBreak/>
        <w:t>toward the periods specified in Articles 69 (first paragraph) and 70 (first paragraph), without prejudice to disciplinary rules.</w:t>
      </w:r>
    </w:p>
    <w:p w14:paraId="356FE570" w14:textId="77777777" w:rsidR="00386AE3" w:rsidRPr="008333CD" w:rsidRDefault="00386AE3" w:rsidP="00386AE3">
      <w:pPr>
        <w:numPr>
          <w:ilvl w:val="0"/>
          <w:numId w:val="15"/>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No return within six months</w:t>
      </w:r>
      <w:r w:rsidRPr="008333CD">
        <w:rPr>
          <w:rFonts w:ascii="Segoe UI" w:eastAsia="Times New Roman" w:hAnsi="Segoe UI" w:cs="Segoe UI"/>
          <w:color w:val="0F1115"/>
          <w:kern w:val="0"/>
          <w14:ligatures w14:val="none"/>
        </w:rPr>
        <w:t>: The resignation becomes final, and service terminates from the date of interruption.</w:t>
      </w:r>
    </w:p>
    <w:p w14:paraId="20C1BE53"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Role of Competent University Bodies</w:t>
      </w:r>
    </w:p>
    <w:p w14:paraId="43AF3850"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provision assigns specific roles to university governance bodies:</w:t>
      </w:r>
    </w:p>
    <w:p w14:paraId="34103DD0" w14:textId="77777777" w:rsidR="00386AE3" w:rsidRPr="008333CD" w:rsidRDefault="00386AE3" w:rsidP="00386AE3">
      <w:pPr>
        <w:numPr>
          <w:ilvl w:val="0"/>
          <w:numId w:val="16"/>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Department Council</w:t>
      </w:r>
      <w:r w:rsidRPr="008333CD">
        <w:rPr>
          <w:rFonts w:ascii="Segoe UI" w:eastAsia="Times New Roman" w:hAnsi="Segoe UI" w:cs="Segoe UI"/>
          <w:color w:val="0F1115"/>
          <w:kern w:val="0"/>
          <w14:ligatures w14:val="none"/>
        </w:rPr>
        <w:t>: Must be consulted regarding the acceptance of the compelling excuse.</w:t>
      </w:r>
    </w:p>
    <w:p w14:paraId="6E202BDA" w14:textId="77777777" w:rsidR="00386AE3" w:rsidRPr="008333CD" w:rsidRDefault="00386AE3" w:rsidP="00386AE3">
      <w:pPr>
        <w:numPr>
          <w:ilvl w:val="0"/>
          <w:numId w:val="16"/>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Faculty/Institute Council</w:t>
      </w:r>
      <w:r w:rsidRPr="008333CD">
        <w:rPr>
          <w:rFonts w:ascii="Segoe UI" w:eastAsia="Times New Roman" w:hAnsi="Segoe UI" w:cs="Segoe UI"/>
          <w:color w:val="0F1115"/>
          <w:kern w:val="0"/>
          <w14:ligatures w14:val="none"/>
        </w:rPr>
        <w:t>: Must be consulted regarding the acceptance of the compelling excuse.</w:t>
      </w:r>
    </w:p>
    <w:p w14:paraId="633F3B7C" w14:textId="77777777" w:rsidR="00386AE3" w:rsidRPr="008333CD" w:rsidRDefault="00386AE3" w:rsidP="00386AE3">
      <w:pPr>
        <w:numPr>
          <w:ilvl w:val="0"/>
          <w:numId w:val="16"/>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University Council</w:t>
      </w:r>
      <w:r w:rsidRPr="008333CD">
        <w:rPr>
          <w:rFonts w:ascii="Segoe UI" w:eastAsia="Times New Roman" w:hAnsi="Segoe UI" w:cs="Segoe UI"/>
          <w:color w:val="0F1115"/>
          <w:kern w:val="0"/>
          <w14:ligatures w14:val="none"/>
        </w:rPr>
        <w:t>: Has the final decision-making authority to accept or reject the compelling excuse after receiving the councils' opinions.</w:t>
      </w:r>
    </w:p>
    <w:p w14:paraId="0BD9F677"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Procedural Safeguards Expressly Included</w:t>
      </w:r>
    </w:p>
    <w:p w14:paraId="43D0F4B8"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provision expressly includes several procedural safeguards:</w:t>
      </w:r>
    </w:p>
    <w:p w14:paraId="4249073E" w14:textId="77777777" w:rsidR="00386AE3" w:rsidRPr="008333CD" w:rsidRDefault="00386AE3" w:rsidP="00386AE3">
      <w:pPr>
        <w:numPr>
          <w:ilvl w:val="0"/>
          <w:numId w:val="1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A fixed six-month grace period for return</w:t>
      </w:r>
    </w:p>
    <w:p w14:paraId="06A7AB8C" w14:textId="77777777" w:rsidR="00386AE3" w:rsidRPr="008333CD" w:rsidRDefault="00386AE3" w:rsidP="00386AE3">
      <w:pPr>
        <w:numPr>
          <w:ilvl w:val="0"/>
          <w:numId w:val="1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requirement that a "compelling excuse" be presented</w:t>
      </w:r>
    </w:p>
    <w:p w14:paraId="696CBB0D" w14:textId="77777777" w:rsidR="00386AE3" w:rsidRPr="008333CD" w:rsidRDefault="00386AE3" w:rsidP="00386AE3">
      <w:pPr>
        <w:numPr>
          <w:ilvl w:val="0"/>
          <w:numId w:val="1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A multi-level consultation process (Department Council → Faculty/Institute Council → University Council)</w:t>
      </w:r>
    </w:p>
    <w:p w14:paraId="0B50CD79" w14:textId="77777777" w:rsidR="00386AE3" w:rsidRPr="008333CD" w:rsidRDefault="00386AE3" w:rsidP="00386AE3">
      <w:pPr>
        <w:numPr>
          <w:ilvl w:val="0"/>
          <w:numId w:val="1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distinction between different outcomes based on the excuse's acceptance</w:t>
      </w:r>
    </w:p>
    <w:p w14:paraId="35E75614" w14:textId="77777777" w:rsidR="00386AE3" w:rsidRPr="008333CD" w:rsidRDefault="00386AE3" w:rsidP="00386AE3">
      <w:pPr>
        <w:numPr>
          <w:ilvl w:val="0"/>
          <w:numId w:val="1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Preservation of disciplinary rules for cases of unacceptable excuse</w:t>
      </w:r>
    </w:p>
    <w:p w14:paraId="06DDFCCF" w14:textId="77777777" w:rsidR="00386AE3" w:rsidRPr="008333CD" w:rsidRDefault="00386AE3" w:rsidP="00386AE3">
      <w:pPr>
        <w:numPr>
          <w:ilvl w:val="0"/>
          <w:numId w:val="1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A further restriction: no new secondment, scientific mission, sabbatical, or spousal accompaniment leave may be granted before the expiration of double the periods specified in Articles 88/1 and 90 (which should likely read 88/1 and 90/1, though the text cites "90" without specification).</w:t>
      </w:r>
    </w:p>
    <w:p w14:paraId="0D3845E1" w14:textId="77777777" w:rsidR="00386AE3" w:rsidRPr="008333CD"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5E8AB046">
          <v:rect id="_x0000_i1030" style="width:0;height:.75pt" o:hralign="center" o:hrstd="t" o:hr="t" fillcolor="#a0a0a0" stroked="f"/>
        </w:pict>
      </w:r>
    </w:p>
    <w:p w14:paraId="42DD7073"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2. Potential Legislative Omissions</w:t>
      </w:r>
    </w:p>
    <w:p w14:paraId="442FCFF5"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provision, while detailed, presents several potentially material omissions:</w:t>
      </w:r>
    </w:p>
    <w:p w14:paraId="7949BE38"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Omission 1: Absence of a Prior Hearing or Notice Requirement</w:t>
      </w:r>
    </w:p>
    <w:p w14:paraId="1D1370D8"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What is absent</w:t>
      </w:r>
      <w:r w:rsidRPr="008333CD">
        <w:rPr>
          <w:rFonts w:ascii="Segoe UI" w:eastAsia="Times New Roman" w:hAnsi="Segoe UI" w:cs="Segoe UI"/>
          <w:color w:val="0F1115"/>
          <w:kern w:val="0"/>
          <w14:ligatures w14:val="none"/>
        </w:rPr>
        <w:t xml:space="preserve">: The provision does not require that the faculty member be notified of the impending legal consequences or given an opportunity to be heard before being "considered resigned." It also does not specify any procedure for the faculty </w:t>
      </w:r>
      <w:r w:rsidRPr="008333CD">
        <w:rPr>
          <w:rFonts w:ascii="Segoe UI" w:eastAsia="Times New Roman" w:hAnsi="Segoe UI" w:cs="Segoe UI"/>
          <w:color w:val="0F1115"/>
          <w:kern w:val="0"/>
          <w14:ligatures w14:val="none"/>
        </w:rPr>
        <w:lastRenderedPageBreak/>
        <w:t>member to contest the factual determination that the interruption was "without permission" before the resignation takes effect.</w:t>
      </w:r>
    </w:p>
    <w:p w14:paraId="0DDCC3BF"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Why it might matter legally</w:t>
      </w:r>
      <w:r w:rsidRPr="008333CD">
        <w:rPr>
          <w:rFonts w:ascii="Segoe UI" w:eastAsia="Times New Roman" w:hAnsi="Segoe UI" w:cs="Segoe UI"/>
          <w:color w:val="0F1115"/>
          <w:kern w:val="0"/>
          <w14:ligatures w14:val="none"/>
        </w:rPr>
        <w:t>: The determination that an interruption was "without permission" is a factual and legal conclusion with severe consequences—termination of service. Without prior notice or hearing, the faculty member may lose his position without ever having the opportunity to explain circumstances that might justify the absence or demonstrate that permission was implicitly granted or that the interruption was not voluntary.</w:t>
      </w:r>
    </w:p>
    <w:p w14:paraId="694E2F7B"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Materiality assessment</w:t>
      </w:r>
      <w:r w:rsidRPr="008333CD">
        <w:rPr>
          <w:rFonts w:ascii="Segoe UI" w:eastAsia="Times New Roman" w:hAnsi="Segoe UI" w:cs="Segoe UI"/>
          <w:color w:val="0F1115"/>
          <w:kern w:val="0"/>
          <w14:ligatures w14:val="none"/>
        </w:rPr>
        <w:t>: This omission is materially significant because it affects the core of the administrative process leading to termination. The provision operates automatically (</w:t>
      </w:r>
      <w:r w:rsidRPr="008333CD">
        <w:rPr>
          <w:rFonts w:ascii="Segoe UI" w:eastAsia="Times New Roman" w:hAnsi="Segoe UI" w:cs="Segoe UI"/>
          <w:i/>
          <w:iCs/>
          <w:color w:val="0F1115"/>
          <w:kern w:val="0"/>
          <w:rtl/>
          <w14:ligatures w14:val="none"/>
        </w:rPr>
        <w:t>يعتبر مستقبلا</w:t>
      </w:r>
      <w:r w:rsidRPr="008333CD">
        <w:rPr>
          <w:rFonts w:ascii="Segoe UI" w:eastAsia="Times New Roman" w:hAnsi="Segoe UI" w:cs="Segoe UI"/>
          <w:color w:val="0F1115"/>
          <w:kern w:val="0"/>
          <w14:ligatures w14:val="none"/>
        </w:rPr>
        <w:t>) upon the factual occurrence of interruption beyond one month without permission, without any prior procedural step.</w:t>
      </w:r>
    </w:p>
    <w:p w14:paraId="77806B4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Legislative intent consideration</w:t>
      </w:r>
      <w:r w:rsidRPr="008333CD">
        <w:rPr>
          <w:rFonts w:ascii="Segoe UI" w:eastAsia="Times New Roman" w:hAnsi="Segoe UI" w:cs="Segoe UI"/>
          <w:color w:val="0F1115"/>
          <w:kern w:val="0"/>
          <w14:ligatures w14:val="none"/>
        </w:rPr>
        <w:t>: The legislature could reasonably have intended to create an automatic, self-executing mechanism for dealing with unauthorized absences, particularly given the importance of continuity in academic work. The grace period and the post-return excuse mechanism may have been viewed as sufficient procedural protection, with the assumption that the faculty member, upon returning, can present his case.</w:t>
      </w:r>
    </w:p>
    <w:p w14:paraId="149F9A32"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Omission 2: Undefined "Compelling Excuse" (</w:t>
      </w:r>
      <w:r w:rsidRPr="000D70DE">
        <w:rPr>
          <w:rFonts w:asciiTheme="majorBidi" w:hAnsiTheme="majorBidi" w:cstheme="majorBidi"/>
          <w:b/>
          <w:bCs/>
          <w:sz w:val="30"/>
          <w:szCs w:val="30"/>
          <w:rtl/>
        </w:rPr>
        <w:t>عذر قاهر</w:t>
      </w:r>
      <w:r w:rsidRPr="000D70DE">
        <w:rPr>
          <w:rFonts w:asciiTheme="majorBidi" w:hAnsiTheme="majorBidi" w:cstheme="majorBidi"/>
          <w:b/>
          <w:bCs/>
          <w:sz w:val="30"/>
          <w:szCs w:val="30"/>
        </w:rPr>
        <w:t>)</w:t>
      </w:r>
    </w:p>
    <w:p w14:paraId="49EB3420"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What is absent</w:t>
      </w:r>
      <w:r w:rsidRPr="008333CD">
        <w:rPr>
          <w:rFonts w:ascii="Segoe UI" w:eastAsia="Times New Roman" w:hAnsi="Segoe UI" w:cs="Segoe UI"/>
          <w:color w:val="0F1115"/>
          <w:kern w:val="0"/>
          <w14:ligatures w14:val="none"/>
        </w:rPr>
        <w:t>: The provision does not define what constitutes a "compelling excuse" and does not establish criteria or guidelines for the university councils to apply when evaluating excuses.</w:t>
      </w:r>
    </w:p>
    <w:p w14:paraId="5F3B7FCC"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Why it might matter legally</w:t>
      </w:r>
      <w:r w:rsidRPr="008333CD">
        <w:rPr>
          <w:rFonts w:ascii="Segoe UI" w:eastAsia="Times New Roman" w:hAnsi="Segoe UI" w:cs="Segoe UI"/>
          <w:color w:val="0F1115"/>
          <w:kern w:val="0"/>
          <w14:ligatures w14:val="none"/>
        </w:rPr>
        <w:t>: The undefined nature of "compelling excuse" creates broad discretionary power in university councils without clear standards. This could lead to inconsistent application, arbitrary decisions, or the denial of excuses that would reasonably be considered compelling in other contexts.</w:t>
      </w:r>
    </w:p>
    <w:p w14:paraId="08A29C97"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Materiality assessment</w:t>
      </w:r>
      <w:r w:rsidRPr="008333CD">
        <w:rPr>
          <w:rFonts w:ascii="Segoe UI" w:eastAsia="Times New Roman" w:hAnsi="Segoe UI" w:cs="Segoe UI"/>
          <w:color w:val="0F1115"/>
          <w:kern w:val="0"/>
          <w14:ligatures w14:val="none"/>
        </w:rPr>
        <w:t>: This omission is significant because the entire benefit of the grace period mechanism depends on acceptance of the excuse. However, it may be considered a permissible legislative choice to leave factual determinations to specialized academic bodies.</w:t>
      </w:r>
    </w:p>
    <w:p w14:paraId="615DFA69"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Legislative intent consideration</w:t>
      </w:r>
      <w:r w:rsidRPr="008333CD">
        <w:rPr>
          <w:rFonts w:ascii="Segoe UI" w:eastAsia="Times New Roman" w:hAnsi="Segoe UI" w:cs="Segoe UI"/>
          <w:color w:val="0F1115"/>
          <w:kern w:val="0"/>
          <w14:ligatures w14:val="none"/>
        </w:rPr>
        <w:t>: The legislature likely intended to leave this determination to the expertise of academic councils, which are best positioned to evaluate individual circumstances. The participation of three levels of academic governance (Department, Faculty/Institute, University) suggests an intention to create a deliberative, collegial decision-making process rather than imposing rigid statutory criteria.</w:t>
      </w:r>
    </w:p>
    <w:p w14:paraId="6D5C78C4"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lastRenderedPageBreak/>
        <w:t>Omission 3: Absence of Appeal or Review Mechanism</w:t>
      </w:r>
    </w:p>
    <w:p w14:paraId="0F91E34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What is absent</w:t>
      </w:r>
      <w:r w:rsidRPr="008333CD">
        <w:rPr>
          <w:rFonts w:ascii="Segoe UI" w:eastAsia="Times New Roman" w:hAnsi="Segoe UI" w:cs="Segoe UI"/>
          <w:color w:val="0F1115"/>
          <w:kern w:val="0"/>
          <w14:ligatures w14:val="none"/>
        </w:rPr>
        <w:t>: The provision does not establish any administrative appeal or judicial review mechanism for a faculty member whose excuse is rejected or who is otherwise adversely affected by the provision's application.</w:t>
      </w:r>
    </w:p>
    <w:p w14:paraId="6AC7E564"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Why it might matter legally</w:t>
      </w:r>
      <w:r w:rsidRPr="008333CD">
        <w:rPr>
          <w:rFonts w:ascii="Segoe UI" w:eastAsia="Times New Roman" w:hAnsi="Segoe UI" w:cs="Segoe UI"/>
          <w:color w:val="0F1115"/>
          <w:kern w:val="0"/>
          <w14:ligatures w14:val="none"/>
        </w:rPr>
        <w:t>: Without an appeal mechanism, a faculty member has no internal administrative recourse to challenge a rejection of his excuse or the determination that his absence was unauthorized. This could leave judicial review as the only avenue, which may be less accessible and more burdensome.</w:t>
      </w:r>
    </w:p>
    <w:p w14:paraId="11B810B0"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Materiality assessment</w:t>
      </w:r>
      <w:r w:rsidRPr="008333CD">
        <w:rPr>
          <w:rFonts w:ascii="Segoe UI" w:eastAsia="Times New Roman" w:hAnsi="Segoe UI" w:cs="Segoe UI"/>
          <w:color w:val="0F1115"/>
          <w:kern w:val="0"/>
          <w14:ligatures w14:val="none"/>
        </w:rPr>
        <w:t>: This omission is significant as it affects the completeness of the administrative process. However, general principles of administrative law in Egypt may provide avenues for administrative appeal or judicial review independently of this specific provision.</w:t>
      </w:r>
    </w:p>
    <w:p w14:paraId="5D64DE04"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Legislative intent consideration</w:t>
      </w:r>
      <w:r w:rsidRPr="008333CD">
        <w:rPr>
          <w:rFonts w:ascii="Segoe UI" w:eastAsia="Times New Roman" w:hAnsi="Segoe UI" w:cs="Segoe UI"/>
          <w:color w:val="0F1115"/>
          <w:kern w:val="0"/>
          <w14:ligatures w14:val="none"/>
        </w:rPr>
        <w:t>: The legislature may have assumed that existing general principles of administrative law (including the right to petition administrative bodies and the availability of judicial review before the Council of State) would apply, rendering a specific appeal provision unnecessary.</w:t>
      </w:r>
    </w:p>
    <w:p w14:paraId="01A6347F"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Omission 4: Absence of Procedural Safeguards Regarding the "Without Permission" Determination</w:t>
      </w:r>
    </w:p>
    <w:p w14:paraId="603894F9"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What is absent</w:t>
      </w:r>
      <w:r w:rsidRPr="008333CD">
        <w:rPr>
          <w:rFonts w:ascii="Segoe UI" w:eastAsia="Times New Roman" w:hAnsi="Segoe UI" w:cs="Segoe UI"/>
          <w:color w:val="0F1115"/>
          <w:kern w:val="0"/>
          <w14:ligatures w14:val="none"/>
        </w:rPr>
        <w:t>: The provision does not specify how it is determined that the interruption was "without permission." It does not address situations where permission was sought but not formally granted, where there was an administrative delay, or where there was a good-faith belief that permission was not required.</w:t>
      </w:r>
    </w:p>
    <w:p w14:paraId="75B7EE12"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Why it might matter legally</w:t>
      </w:r>
      <w:r w:rsidRPr="008333CD">
        <w:rPr>
          <w:rFonts w:ascii="Segoe UI" w:eastAsia="Times New Roman" w:hAnsi="Segoe UI" w:cs="Segoe UI"/>
          <w:color w:val="0F1115"/>
          <w:kern w:val="0"/>
          <w14:ligatures w14:val="none"/>
        </w:rPr>
        <w:t>: The automatic resignation consequence is triggered by the characterization of the interruption as "without permission." If this characterization is made administratively without input from the faculty member, due process concerns may arise.</w:t>
      </w:r>
    </w:p>
    <w:p w14:paraId="2C351722"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Materiality assessment</w:t>
      </w:r>
      <w:r w:rsidRPr="008333CD">
        <w:rPr>
          <w:rFonts w:ascii="Segoe UI" w:eastAsia="Times New Roman" w:hAnsi="Segoe UI" w:cs="Segoe UI"/>
          <w:color w:val="0F1115"/>
          <w:kern w:val="0"/>
          <w14:ligatures w14:val="none"/>
        </w:rPr>
        <w:t>: This is materially significant because it affects the threshold triggering all legal consequences. However, the provision may implicitly assume that the university administration will make this determination in the ordinary course of its functions.</w:t>
      </w:r>
    </w:p>
    <w:p w14:paraId="0BC55117"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Legislative intent consideration</w:t>
      </w:r>
      <w:r w:rsidRPr="008333CD">
        <w:rPr>
          <w:rFonts w:ascii="Segoe UI" w:eastAsia="Times New Roman" w:hAnsi="Segoe UI" w:cs="Segoe UI"/>
          <w:color w:val="0F1115"/>
          <w:kern w:val="0"/>
          <w14:ligatures w14:val="none"/>
        </w:rPr>
        <w:t>: The legislature likely assumed that the university administration would determine whether permission was granted based on its records, and that the grace period mechanism provides sufficient opportunity for the faculty member to explain any misunderstanding regarding permission.</w:t>
      </w:r>
    </w:p>
    <w:p w14:paraId="2BC49BC0"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lastRenderedPageBreak/>
        <w:t>Omission 5: No Provision for Force Majeure or Exceptional Circumstances</w:t>
      </w:r>
    </w:p>
    <w:p w14:paraId="3097D7AA"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What is absent</w:t>
      </w:r>
      <w:r w:rsidRPr="008333CD">
        <w:rPr>
          <w:rFonts w:ascii="Segoe UI" w:eastAsia="Times New Roman" w:hAnsi="Segoe UI" w:cs="Segoe UI"/>
          <w:color w:val="0F1115"/>
          <w:kern w:val="0"/>
          <w14:ligatures w14:val="none"/>
        </w:rPr>
        <w:t>: The six-month grace period is absolute, and the provision does not address situations where the faculty member is genuinely unable to return within six months due to force majeure, illness, detention, or other circumstances beyond his control that prevent both work and communication.</w:t>
      </w:r>
    </w:p>
    <w:p w14:paraId="4C39501A"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Why it might matter legally</w:t>
      </w:r>
      <w:r w:rsidRPr="008333CD">
        <w:rPr>
          <w:rFonts w:ascii="Segoe UI" w:eastAsia="Times New Roman" w:hAnsi="Segoe UI" w:cs="Segoe UI"/>
          <w:color w:val="0F1115"/>
          <w:kern w:val="0"/>
          <w14:ligatures w14:val="none"/>
        </w:rPr>
        <w:t>: A faculty member who is physically or legally unable to return within six months could lose their position despite having a compelling excuse, simply because they could not present it within the prescribed period.</w:t>
      </w:r>
    </w:p>
    <w:p w14:paraId="4DC2C9E4"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Materiality assessment</w:t>
      </w:r>
      <w:r w:rsidRPr="008333CD">
        <w:rPr>
          <w:rFonts w:ascii="Segoe UI" w:eastAsia="Times New Roman" w:hAnsi="Segoe UI" w:cs="Segoe UI"/>
          <w:color w:val="0F1115"/>
          <w:kern w:val="0"/>
          <w14:ligatures w14:val="none"/>
        </w:rPr>
        <w:t>: This omission is potentially significant in extreme cases but may be considered incidental given that the six-month period is generous and the provision allows for the excuse to be presented upon return.</w:t>
      </w:r>
    </w:p>
    <w:p w14:paraId="44C7FE8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Legislative intent consideration</w:t>
      </w:r>
      <w:r w:rsidRPr="008333CD">
        <w:rPr>
          <w:rFonts w:ascii="Segoe UI" w:eastAsia="Times New Roman" w:hAnsi="Segoe UI" w:cs="Segoe UI"/>
          <w:color w:val="0F1115"/>
          <w:kern w:val="0"/>
          <w14:ligatures w14:val="none"/>
        </w:rPr>
        <w:t>: The legislature may have considered six months sufficient to address virtually all circumstances, and the requirement of return within this period serves the legitimate purpose of administrative certainty.</w:t>
      </w:r>
    </w:p>
    <w:p w14:paraId="477B6A10" w14:textId="77777777" w:rsidR="00386AE3" w:rsidRPr="008333CD"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9994B9E">
          <v:rect id="_x0000_i1031" style="width:0;height:.75pt" o:hralign="center" o:hrstd="t" o:hr="t" fillcolor="#a0a0a0" stroked="f"/>
        </w:pict>
      </w:r>
    </w:p>
    <w:p w14:paraId="64A0C16D"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3. Constitutional Assessment</w:t>
      </w:r>
    </w:p>
    <w:p w14:paraId="062955BB"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Relevant Constitutional Principles and Rights</w:t>
      </w:r>
    </w:p>
    <w:p w14:paraId="7ACAA652"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Under the Egyptian constitutional framework, the following principles are potentially relevant:</w:t>
      </w:r>
    </w:p>
    <w:p w14:paraId="4B5B8B41" w14:textId="77777777" w:rsidR="00386AE3" w:rsidRPr="008333CD" w:rsidRDefault="00386AE3" w:rsidP="00386AE3">
      <w:pPr>
        <w:numPr>
          <w:ilvl w:val="0"/>
          <w:numId w:val="1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Right to Work</w:t>
      </w:r>
      <w:r w:rsidRPr="008333CD">
        <w:rPr>
          <w:rFonts w:ascii="Segoe UI" w:eastAsia="Times New Roman" w:hAnsi="Segoe UI" w:cs="Segoe UI"/>
          <w:color w:val="0F1115"/>
          <w:kern w:val="0"/>
          <w14:ligatures w14:val="none"/>
        </w:rPr>
        <w:t> (Article 12 of the 2014 Constitution): The Constitution guarantees the right to work and provides that the state shall ensure it. Terminating employment without procedural fairness could implicate this right.</w:t>
      </w:r>
    </w:p>
    <w:p w14:paraId="11FA1302" w14:textId="77777777" w:rsidR="00386AE3" w:rsidRPr="008333CD" w:rsidRDefault="00386AE3" w:rsidP="00386AE3">
      <w:pPr>
        <w:numPr>
          <w:ilvl w:val="0"/>
          <w:numId w:val="1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Due Process and Procedural Fairness</w:t>
      </w:r>
      <w:r w:rsidRPr="008333CD">
        <w:rPr>
          <w:rFonts w:ascii="Segoe UI" w:eastAsia="Times New Roman" w:hAnsi="Segoe UI" w:cs="Segoe UI"/>
          <w:color w:val="0F1115"/>
          <w:kern w:val="0"/>
          <w14:ligatures w14:val="none"/>
        </w:rPr>
        <w:t>: While not explicitly articulated as a standalone right, Egyptian constitutional jurisprudence recognizes that administrative decisions affecting rights must be procedurally fair, and that rights may not be deprived without legal basis and proper procedure.</w:t>
      </w:r>
    </w:p>
    <w:p w14:paraId="41B7F7C3" w14:textId="77777777" w:rsidR="00386AE3" w:rsidRPr="008333CD" w:rsidRDefault="00386AE3" w:rsidP="00386AE3">
      <w:pPr>
        <w:numPr>
          <w:ilvl w:val="0"/>
          <w:numId w:val="1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Right to Defense</w:t>
      </w:r>
      <w:r w:rsidRPr="008333CD">
        <w:rPr>
          <w:rFonts w:ascii="Segoe UI" w:eastAsia="Times New Roman" w:hAnsi="Segoe UI" w:cs="Segoe UI"/>
          <w:color w:val="0F1115"/>
          <w:kern w:val="0"/>
          <w14:ligatures w14:val="none"/>
        </w:rPr>
        <w:t> (</w:t>
      </w:r>
      <w:r w:rsidRPr="008333CD">
        <w:rPr>
          <w:rFonts w:ascii="Segoe UI" w:eastAsia="Times New Roman" w:hAnsi="Segoe UI" w:cs="Segoe UI"/>
          <w:i/>
          <w:iCs/>
          <w:color w:val="0F1115"/>
          <w:kern w:val="0"/>
          <w:rtl/>
          <w14:ligatures w14:val="none"/>
        </w:rPr>
        <w:t>حق الدفاع</w:t>
      </w:r>
      <w:r w:rsidRPr="008333CD">
        <w:rPr>
          <w:rFonts w:ascii="Segoe UI" w:eastAsia="Times New Roman" w:hAnsi="Segoe UI" w:cs="Segoe UI"/>
          <w:color w:val="0F1115"/>
          <w:kern w:val="0"/>
          <w14:ligatures w14:val="none"/>
        </w:rPr>
        <w:t>): Article 97 of the Constitution guarantees the right to defense, which in administrative law contexts includes the right to be heard before an adverse decision.</w:t>
      </w:r>
    </w:p>
    <w:p w14:paraId="49A8CAFB" w14:textId="77777777" w:rsidR="00386AE3" w:rsidRPr="008333CD" w:rsidRDefault="00386AE3" w:rsidP="00386AE3">
      <w:pPr>
        <w:numPr>
          <w:ilvl w:val="0"/>
          <w:numId w:val="1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lastRenderedPageBreak/>
        <w:t>Principle of Legality</w:t>
      </w:r>
      <w:r w:rsidRPr="008333CD">
        <w:rPr>
          <w:rFonts w:ascii="Segoe UI" w:eastAsia="Times New Roman" w:hAnsi="Segoe UI" w:cs="Segoe UI"/>
          <w:color w:val="0F1115"/>
          <w:kern w:val="0"/>
          <w14:ligatures w14:val="none"/>
        </w:rPr>
        <w:t>: Administrative actions must be based on law and must comply with legal procedures. Automatic termination without procedural steps may raise questions of legality.</w:t>
      </w:r>
    </w:p>
    <w:p w14:paraId="6B7FE289" w14:textId="77777777" w:rsidR="00386AE3" w:rsidRPr="008333CD" w:rsidRDefault="00386AE3" w:rsidP="00386AE3">
      <w:pPr>
        <w:numPr>
          <w:ilvl w:val="0"/>
          <w:numId w:val="1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Principle of Proportionality</w:t>
      </w:r>
      <w:r w:rsidRPr="008333CD">
        <w:rPr>
          <w:rFonts w:ascii="Segoe UI" w:eastAsia="Times New Roman" w:hAnsi="Segoe UI" w:cs="Segoe UI"/>
          <w:color w:val="0F1115"/>
          <w:kern w:val="0"/>
          <w14:ligatures w14:val="none"/>
        </w:rPr>
        <w:t>: Administrative measures should be proportionate to their objectives. The permanent and retroactive termination of service (from the date of interruption) may be disproportionate in certain circumstances.</w:t>
      </w:r>
    </w:p>
    <w:p w14:paraId="24229C6E" w14:textId="77777777" w:rsidR="00386AE3" w:rsidRPr="008333CD" w:rsidRDefault="00386AE3" w:rsidP="00386AE3">
      <w:pPr>
        <w:numPr>
          <w:ilvl w:val="0"/>
          <w:numId w:val="1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Right to Good Administration</w:t>
      </w:r>
      <w:r w:rsidRPr="008333CD">
        <w:rPr>
          <w:rFonts w:ascii="Segoe UI" w:eastAsia="Times New Roman" w:hAnsi="Segoe UI" w:cs="Segoe UI"/>
          <w:color w:val="0F1115"/>
          <w:kern w:val="0"/>
          <w14:ligatures w14:val="none"/>
        </w:rPr>
        <w:t>: Though not explicitly constitutionalized, Egyptian administrative law principles require that administrative decisions be reasoned, based on proper evidence, and respect the rights of affected individuals.</w:t>
      </w:r>
    </w:p>
    <w:p w14:paraId="5ED7E8C6"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A. Argument That the Omission Is Constitutionally Problematic</w:t>
      </w:r>
    </w:p>
    <w:p w14:paraId="1C09D258"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provision raises several potential constitutional concerns:</w:t>
      </w:r>
    </w:p>
    <w:p w14:paraId="3FD7285A"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First</w:t>
      </w:r>
      <w:r w:rsidRPr="008333CD">
        <w:rPr>
          <w:rFonts w:ascii="Segoe UI" w:eastAsia="Times New Roman" w:hAnsi="Segoe UI" w:cs="Segoe UI"/>
          <w:color w:val="0F1115"/>
          <w:kern w:val="0"/>
          <w14:ligatures w14:val="none"/>
        </w:rPr>
        <w:t>, the automatic character of the resignation (</w:t>
      </w:r>
      <w:r w:rsidRPr="008333CD">
        <w:rPr>
          <w:rFonts w:ascii="Segoe UI" w:eastAsia="Times New Roman" w:hAnsi="Segoe UI" w:cs="Segoe UI"/>
          <w:i/>
          <w:iCs/>
          <w:color w:val="0F1115"/>
          <w:kern w:val="0"/>
          <w:rtl/>
          <w14:ligatures w14:val="none"/>
        </w:rPr>
        <w:t>يعتبر مستقبلا</w:t>
      </w:r>
      <w:r w:rsidRPr="008333CD">
        <w:rPr>
          <w:rFonts w:ascii="Segoe UI" w:eastAsia="Times New Roman" w:hAnsi="Segoe UI" w:cs="Segoe UI"/>
          <w:color w:val="0F1115"/>
          <w:kern w:val="0"/>
          <w14:ligatures w14:val="none"/>
        </w:rPr>
        <w:t>) upon the occurrence of the triggering event, without prior notice, hearing, or opportunity to contest, may violate the right to defense. The faculty member is "considered resigned" before any opportunity to explain why the interruption was not "without permission" or to argue that circumstances justified the absence. The provision treats the termination as self-executing rather than as a decision preceded by procedural safeguards.</w:t>
      </w:r>
    </w:p>
    <w:p w14:paraId="3C33C8E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Second</w:t>
      </w:r>
      <w:r w:rsidRPr="008333CD">
        <w:rPr>
          <w:rFonts w:ascii="Segoe UI" w:eastAsia="Times New Roman" w:hAnsi="Segoe UI" w:cs="Segoe UI"/>
          <w:color w:val="0F1115"/>
          <w:kern w:val="0"/>
          <w14:ligatures w14:val="none"/>
        </w:rPr>
        <w:t>, while the six-month grace period provides a post-termination remedy (the ability to return and present an excuse), this does not fully cure the procedural deficit. The faculty member's service is terminated retroactively from the date of interruption, and the faculty member may face significant prejudice during the period before returning. If the excuse is accepted, the absence is recharacterized as leave, but the initial termination and its consequences during the interim period may still cause irreparable harm.</w:t>
      </w:r>
    </w:p>
    <w:p w14:paraId="29AE44D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Third</w:t>
      </w:r>
      <w:r w:rsidRPr="008333CD">
        <w:rPr>
          <w:rFonts w:ascii="Segoe UI" w:eastAsia="Times New Roman" w:hAnsi="Segoe UI" w:cs="Segoe UI"/>
          <w:color w:val="0F1115"/>
          <w:kern w:val="0"/>
          <w14:ligatures w14:val="none"/>
        </w:rPr>
        <w:t>, the undefined standard of "compelling excuse" may violate the principle of legality by granting excessive discretionary power without objective criteria. While academic bodies have expertise, the absence of any statutory guidance could lead to arbitrary decisions that deprive faculty members of their rights based on subjective rather than objective assessments.</w:t>
      </w:r>
    </w:p>
    <w:p w14:paraId="1D92E10A"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Fourth</w:t>
      </w:r>
      <w:r w:rsidRPr="008333CD">
        <w:rPr>
          <w:rFonts w:ascii="Segoe UI" w:eastAsia="Times New Roman" w:hAnsi="Segoe UI" w:cs="Segoe UI"/>
          <w:color w:val="0F1115"/>
          <w:kern w:val="0"/>
          <w14:ligatures w14:val="none"/>
        </w:rPr>
        <w:t>, the prohibition on granting new leaves or assignments until double the periods specified in Articles 88/1 and 90/1 have elapsed may constitute an additional penalty without clear proportionality or connection to the original violation. If the excuse is accepted and the absence is deemed leave, the additional restriction may be viewed as punitive and disproportionate.</w:t>
      </w:r>
    </w:p>
    <w:p w14:paraId="26D011AE"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lastRenderedPageBreak/>
        <w:t>Fifth</w:t>
      </w:r>
      <w:r w:rsidRPr="008333CD">
        <w:rPr>
          <w:rFonts w:ascii="Segoe UI" w:eastAsia="Times New Roman" w:hAnsi="Segoe UI" w:cs="Segoe UI"/>
          <w:color w:val="0F1115"/>
          <w:kern w:val="0"/>
          <w14:ligatures w14:val="none"/>
        </w:rPr>
        <w:t>, the absence of any provision for force majeure or exceptional circumstances may violate the principle of proportionality, particularly where circumstances genuinely beyond the faculty member's control prevent return within six months.</w:t>
      </w:r>
    </w:p>
    <w:p w14:paraId="1742F9E9"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B. Counterargument That the Omission Represents a Permissible Legislative Choice</w:t>
      </w:r>
    </w:p>
    <w:p w14:paraId="7F7A0DDF"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First</w:t>
      </w:r>
      <w:r w:rsidRPr="008333CD">
        <w:rPr>
          <w:rFonts w:ascii="Segoe UI" w:eastAsia="Times New Roman" w:hAnsi="Segoe UI" w:cs="Segoe UI"/>
          <w:color w:val="0F1115"/>
          <w:kern w:val="0"/>
          <w14:ligatures w14:val="none"/>
        </w:rPr>
        <w:t>, the provision can be defended as reflecting a permissible legislative policy choice to maintain discipline and continuity in higher education. Faculty members occupy critical positions in universities, and their unauthorized absence for more than a month disrupts academic activities. The automatic resignation mechanism serves the legitimate purpose of ensuring that universities can promptly regularize the status of absent faculty members.</w:t>
      </w:r>
    </w:p>
    <w:p w14:paraId="087326FD"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Second</w:t>
      </w:r>
      <w:r w:rsidRPr="008333CD">
        <w:rPr>
          <w:rFonts w:ascii="Segoe UI" w:eastAsia="Times New Roman" w:hAnsi="Segoe UI" w:cs="Segoe UI"/>
          <w:color w:val="0F1115"/>
          <w:kern w:val="0"/>
          <w14:ligatures w14:val="none"/>
        </w:rPr>
        <w:t>, the six-month grace period provides a significant procedural safeguard. The faculty member is not permanently terminated without recourse; rather, the provision creates a window of opportunity to return and present a compelling excuse. The post-return mechanism, with its multi-level consultation process, provides procedural fairness at the stage where the excuse is evaluated.</w:t>
      </w:r>
    </w:p>
    <w:p w14:paraId="44AB7EDE"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Third</w:t>
      </w:r>
      <w:r w:rsidRPr="008333CD">
        <w:rPr>
          <w:rFonts w:ascii="Segoe UI" w:eastAsia="Times New Roman" w:hAnsi="Segoe UI" w:cs="Segoe UI"/>
          <w:color w:val="0F1115"/>
          <w:kern w:val="0"/>
          <w14:ligatures w14:val="none"/>
        </w:rPr>
        <w:t>, the requirement that the excuse be presented "upon return" is a reasonable procedural rule. The faculty member is in the best position to know the circumstances of their absence and can present evidence upon return. Requiring prior notice or hearing before termination would be impractical given that the faculty member is absent and may not be reachable.</w:t>
      </w:r>
    </w:p>
    <w:p w14:paraId="022EE504"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Fourth</w:t>
      </w:r>
      <w:r w:rsidRPr="008333CD">
        <w:rPr>
          <w:rFonts w:ascii="Segoe UI" w:eastAsia="Times New Roman" w:hAnsi="Segoe UI" w:cs="Segoe UI"/>
          <w:color w:val="0F1115"/>
          <w:kern w:val="0"/>
          <w14:ligatures w14:val="none"/>
        </w:rPr>
        <w:t>, the delegation of the "compelling excuse" determination to academic councils is constitutionally permissible. The legislature can delegate discretionary power to expert administrative bodies, and the three-tier consultation requirement (Department, Faculty/Institute, University) provides internal procedural checks. The absence of detailed statutory criteria reflects legislative deference to academic expertise and judgment.</w:t>
      </w:r>
    </w:p>
    <w:p w14:paraId="5C14802D"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Fifth</w:t>
      </w:r>
      <w:r w:rsidRPr="008333CD">
        <w:rPr>
          <w:rFonts w:ascii="Segoe UI" w:eastAsia="Times New Roman" w:hAnsi="Segoe UI" w:cs="Segoe UI"/>
          <w:color w:val="0F1115"/>
          <w:kern w:val="0"/>
          <w14:ligatures w14:val="none"/>
        </w:rPr>
        <w:t>, the provision distinguishes between different categories of cases (acceptable excuse, unacceptable excuse, and no return), which demonstrates proportionate treatment. The legislature has calibrated consequences based on the seriousness of the violation and the faculty member's post-violation conduct.</w:t>
      </w:r>
    </w:p>
    <w:p w14:paraId="19862142"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Sixth</w:t>
      </w:r>
      <w:r w:rsidRPr="008333CD">
        <w:rPr>
          <w:rFonts w:ascii="Segoe UI" w:eastAsia="Times New Roman" w:hAnsi="Segoe UI" w:cs="Segoe UI"/>
          <w:color w:val="0F1115"/>
          <w:kern w:val="0"/>
          <w14:ligatures w14:val="none"/>
        </w:rPr>
        <w:t>, general administrative law principles and the availability of judicial review (before the Council of State or administrative courts) provide residual procedural protections. Not every administrative decision requires specific statutory appeal mechanisms.</w:t>
      </w:r>
    </w:p>
    <w:p w14:paraId="49B6A277"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lastRenderedPageBreak/>
        <w:t>Seventh</w:t>
      </w:r>
      <w:r w:rsidRPr="008333CD">
        <w:rPr>
          <w:rFonts w:ascii="Segoe UI" w:eastAsia="Times New Roman" w:hAnsi="Segoe UI" w:cs="Segoe UI"/>
          <w:color w:val="0F1115"/>
          <w:kern w:val="0"/>
          <w14:ligatures w14:val="none"/>
        </w:rPr>
        <w:t>, regarding the retirement of statutory criteria for the "compelling excuse," the provision's reliance on academic councils is consistent with the principle of institutional autonomy in higher education. The specialized nature of academic work justifies leaving such determinations to academic bodies rather than imposing rigid legislative standards.</w:t>
      </w:r>
    </w:p>
    <w:p w14:paraId="7E837FA0"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Eighth</w:t>
      </w:r>
      <w:r w:rsidRPr="008333CD">
        <w:rPr>
          <w:rFonts w:ascii="Segoe UI" w:eastAsia="Times New Roman" w:hAnsi="Segoe UI" w:cs="Segoe UI"/>
          <w:color w:val="0F1115"/>
          <w:kern w:val="0"/>
          <w14:ligatures w14:val="none"/>
        </w:rPr>
        <w:t>, the restriction on future leaves until double the periods specified in Articles 88/1 and 90/1 have elapsed (in cases of unacceptable excuse) is a reasonable measure to prevent repeated violations and to ensure that faculty members who have demonstrated unreliability are subjected to heightened scrutiny before receiving further privileges.</w:t>
      </w:r>
    </w:p>
    <w:p w14:paraId="15C41982" w14:textId="77777777" w:rsidR="00386AE3" w:rsidRPr="008333CD"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58F6AC3C">
          <v:rect id="_x0000_i1032" style="width:0;height:.75pt" o:hralign="center" o:hrstd="t" o:hr="t" fillcolor="#a0a0a0" stroked="f"/>
        </w:pict>
      </w:r>
    </w:p>
    <w:p w14:paraId="1F1357C9"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4. Legislative-Gap Classification</w:t>
      </w:r>
    </w:p>
    <w:p w14:paraId="441B7F67"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Classification: Material legislative gap (with potential constitutional dimensions)</w:t>
      </w:r>
    </w:p>
    <w:p w14:paraId="6DF373E6"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Reasoning</w:t>
      </w:r>
    </w:p>
    <w:p w14:paraId="2FB22475"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Why it is not "no legislative gap"</w:t>
      </w:r>
      <w:r w:rsidRPr="008333CD">
        <w:rPr>
          <w:rFonts w:ascii="Segoe UI" w:eastAsia="Times New Roman" w:hAnsi="Segoe UI" w:cs="Segoe UI"/>
          <w:color w:val="0F1115"/>
          <w:kern w:val="0"/>
          <w14:ligatures w14:val="none"/>
        </w:rPr>
        <w:t>: The provision, while detailed, clearly lacks procedural safeguards at the critical stage where the "resignation" is triggered. The automatic mechanism operates before any opportunity for the faculty member to be heard, and while the post-return excuse mechanism provides some remedy, it operates after the termination has already taken effect.</w:t>
      </w:r>
    </w:p>
    <w:p w14:paraId="602D778A"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Why it is more than "textual omission without constitutional significance"</w:t>
      </w:r>
      <w:r w:rsidRPr="008333CD">
        <w:rPr>
          <w:rFonts w:ascii="Segoe UI" w:eastAsia="Times New Roman" w:hAnsi="Segoe UI" w:cs="Segoe UI"/>
          <w:color w:val="0F1115"/>
          <w:kern w:val="0"/>
          <w14:ligatures w14:val="none"/>
        </w:rPr>
        <w:t>: The omissions identified—particularly the absence of prior notice, hearing, and an opportunity to contest the "without permission" determination—go to the core of procedural fairness. Administrative termination of employment, particularly in the public sector, is traditionally subject to procedural safeguards that this provision appears to bypass.</w:t>
      </w:r>
    </w:p>
    <w:p w14:paraId="4B4FDD92"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Why it is a "material legislative gap"</w:t>
      </w:r>
      <w:r w:rsidRPr="008333CD">
        <w:rPr>
          <w:rFonts w:ascii="Segoe UI" w:eastAsia="Times New Roman" w:hAnsi="Segoe UI" w:cs="Segoe UI"/>
          <w:color w:val="0F1115"/>
          <w:kern w:val="0"/>
          <w14:ligatures w14:val="none"/>
        </w:rPr>
        <w:t>: The gap is material because it affects the fundamental fairness of the termination process. The faculty member's employment status, livelihood, and professional career are at stake. The omission is not merely incidental or technical but goes to the heart of how the provision operates.</w:t>
      </w:r>
    </w:p>
    <w:p w14:paraId="51F40E38"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Why it may not be "constitutionally significant legislative omission" (classification as primarily material rather than constitutional)</w:t>
      </w:r>
      <w:r w:rsidRPr="008333CD">
        <w:rPr>
          <w:rFonts w:ascii="Segoe UI" w:eastAsia="Times New Roman" w:hAnsi="Segoe UI" w:cs="Segoe UI"/>
          <w:color w:val="0F1115"/>
          <w:kern w:val="0"/>
          <w14:ligatures w14:val="none"/>
        </w:rPr>
        <w:t xml:space="preserve">: While the omissions raise constitutional concerns, the provision may be constitutionally defensible if interpreted in light of general principles of administrative law and the </w:t>
      </w:r>
      <w:r w:rsidRPr="008333CD">
        <w:rPr>
          <w:rFonts w:ascii="Segoe UI" w:eastAsia="Times New Roman" w:hAnsi="Segoe UI" w:cs="Segoe UI"/>
          <w:color w:val="0F1115"/>
          <w:kern w:val="0"/>
          <w14:ligatures w14:val="none"/>
        </w:rPr>
        <w:lastRenderedPageBreak/>
        <w:t>availability of judicial review. The Supreme Constitutional Court of Egypt has historically deferred to legislative policy choices in employment matters where minimum procedural fairness is provided. The six-month grace period and the multi-level consultation process on excuses may be viewed as sufficient procedural protection, even if not ideal. The constitutional significance is potential rather than definitive, and the classification should reflect that the gap is material in legislative-policy terms rather than definitively unconstitutional.</w:t>
      </w:r>
    </w:p>
    <w:p w14:paraId="1AD24E9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Alternative classification</w:t>
      </w:r>
      <w:r w:rsidRPr="008333CD">
        <w:rPr>
          <w:rFonts w:ascii="Segoe UI" w:eastAsia="Times New Roman" w:hAnsi="Segoe UI" w:cs="Segoe UI"/>
          <w:color w:val="0F1115"/>
          <w:kern w:val="0"/>
          <w14:ligatures w14:val="none"/>
        </w:rPr>
        <w:t>: If one considers the automatic termination mechanism as violating the right to defense, a "constitutionally significant legislative omission" classification could be justified. However, I classify it as "material legislative gap" because:</w:t>
      </w:r>
    </w:p>
    <w:p w14:paraId="111CCA73" w14:textId="77777777" w:rsidR="00386AE3" w:rsidRPr="008333CD" w:rsidRDefault="00386AE3" w:rsidP="00386AE3">
      <w:pPr>
        <w:numPr>
          <w:ilvl w:val="0"/>
          <w:numId w:val="19"/>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provision does include procedural mechanisms (grace period, excuse evaluation, multi-level consultation).</w:t>
      </w:r>
    </w:p>
    <w:p w14:paraId="188F52FB" w14:textId="77777777" w:rsidR="00386AE3" w:rsidRPr="008333CD" w:rsidRDefault="00386AE3" w:rsidP="00386AE3">
      <w:pPr>
        <w:numPr>
          <w:ilvl w:val="0"/>
          <w:numId w:val="19"/>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constitutional question depends on interpretive choices regarding the right to defense and whether the post-termination mechanism is adequate.</w:t>
      </w:r>
    </w:p>
    <w:p w14:paraId="4D6F194F" w14:textId="77777777" w:rsidR="00386AE3" w:rsidRPr="008333CD" w:rsidRDefault="00386AE3" w:rsidP="00386AE3">
      <w:pPr>
        <w:numPr>
          <w:ilvl w:val="0"/>
          <w:numId w:val="19"/>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gap is more appropriately addressed through legislative amendment to add procedural safeguards rather than through definitive constitutional invalidation.</w:t>
      </w:r>
    </w:p>
    <w:p w14:paraId="3A2AD965" w14:textId="77777777" w:rsidR="00386AE3" w:rsidRPr="008333CD"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A3A70B6">
          <v:rect id="_x0000_i1033" style="width:0;height:.75pt" o:hralign="center" o:hrstd="t" o:hr="t" fillcolor="#a0a0a0" stroked="f"/>
        </w:pict>
      </w:r>
    </w:p>
    <w:p w14:paraId="18E2CE89"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5. Judicial-Review Perspective</w:t>
      </w:r>
    </w:p>
    <w:p w14:paraId="501A2540"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How the Constitutional Court Could Approach the Challenge</w:t>
      </w:r>
    </w:p>
    <w:p w14:paraId="1613ED08"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If the Supreme Constitutional Court of Egypt were to consider a challenge to Article 117, it would likely adopt the following analytical framework:</w:t>
      </w:r>
    </w:p>
    <w:p w14:paraId="15790B26"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Legal Framework for Review</w:t>
      </w:r>
    </w:p>
    <w:p w14:paraId="5FAD6FF8"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Court would examine whether the provision violates constitutionally protected rights, including:</w:t>
      </w:r>
    </w:p>
    <w:p w14:paraId="1BAD5BA8" w14:textId="77777777" w:rsidR="00386AE3" w:rsidRPr="008333CD" w:rsidRDefault="00386AE3" w:rsidP="00386AE3">
      <w:pPr>
        <w:numPr>
          <w:ilvl w:val="0"/>
          <w:numId w:val="20"/>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right to work (Article 12 of the 2014 Constitution)</w:t>
      </w:r>
    </w:p>
    <w:p w14:paraId="64A1F859" w14:textId="77777777" w:rsidR="00386AE3" w:rsidRPr="008333CD" w:rsidRDefault="00386AE3" w:rsidP="00386AE3">
      <w:pPr>
        <w:numPr>
          <w:ilvl w:val="0"/>
          <w:numId w:val="20"/>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right to defense (Article 97)</w:t>
      </w:r>
    </w:p>
    <w:p w14:paraId="34C150A4" w14:textId="77777777" w:rsidR="00386AE3" w:rsidRPr="008333CD" w:rsidRDefault="00386AE3" w:rsidP="00386AE3">
      <w:pPr>
        <w:numPr>
          <w:ilvl w:val="0"/>
          <w:numId w:val="20"/>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principle of due process as derived from the rule of law (Article 94, establishing the supremacy of the Constitution)</w:t>
      </w:r>
    </w:p>
    <w:p w14:paraId="773F630A" w14:textId="77777777" w:rsidR="00386AE3" w:rsidRPr="008333CD" w:rsidRDefault="00386AE3" w:rsidP="00386AE3">
      <w:pPr>
        <w:numPr>
          <w:ilvl w:val="0"/>
          <w:numId w:val="20"/>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right to a fair administrative process, derived from the principle that administrative decisions must be reasoned and procedurally fair</w:t>
      </w:r>
    </w:p>
    <w:p w14:paraId="55C77111"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Competing Constitutional Considerations</w:t>
      </w:r>
    </w:p>
    <w:p w14:paraId="5F496B85"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lastRenderedPageBreak/>
        <w:t>Arguments in favor of constitutionality:</w:t>
      </w:r>
    </w:p>
    <w:p w14:paraId="1EAEBF0F" w14:textId="77777777" w:rsidR="00386AE3" w:rsidRPr="008333CD" w:rsidRDefault="00386AE3" w:rsidP="00386AE3">
      <w:pPr>
        <w:numPr>
          <w:ilvl w:val="0"/>
          <w:numId w:val="21"/>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Legislative Policy Discretion</w:t>
      </w:r>
      <w:r w:rsidRPr="008333CD">
        <w:rPr>
          <w:rFonts w:ascii="Segoe UI" w:eastAsia="Times New Roman" w:hAnsi="Segoe UI" w:cs="Segoe UI"/>
          <w:color w:val="0F1115"/>
          <w:kern w:val="0"/>
          <w14:ligatures w14:val="none"/>
        </w:rPr>
        <w:t>: The Court traditionally accords significant deference to legislative policy choices, particularly in employment and administrative matters. The legislature is entitled to establish rules for maintaining discipline and efficiency in public service.</w:t>
      </w:r>
    </w:p>
    <w:p w14:paraId="30E471F3" w14:textId="77777777" w:rsidR="00386AE3" w:rsidRPr="008333CD" w:rsidRDefault="00386AE3" w:rsidP="00386AE3">
      <w:pPr>
        <w:numPr>
          <w:ilvl w:val="0"/>
          <w:numId w:val="21"/>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Adequacy of Post-Termination Mechanism</w:t>
      </w:r>
      <w:r w:rsidRPr="008333CD">
        <w:rPr>
          <w:rFonts w:ascii="Segoe UI" w:eastAsia="Times New Roman" w:hAnsi="Segoe UI" w:cs="Segoe UI"/>
          <w:color w:val="0F1115"/>
          <w:kern w:val="0"/>
          <w14:ligatures w14:val="none"/>
        </w:rPr>
        <w:t>: The six-month grace period and the excuse mechanism provide sufficient procedural protection. The faculty member can return, present their case, and if accepted, the absence is recharacterized as leave. The Court may view this as an appropriate balance between administrative efficiency and individual rights.</w:t>
      </w:r>
    </w:p>
    <w:p w14:paraId="46F44667" w14:textId="77777777" w:rsidR="00386AE3" w:rsidRPr="008333CD" w:rsidRDefault="00386AE3" w:rsidP="00386AE3">
      <w:pPr>
        <w:numPr>
          <w:ilvl w:val="0"/>
          <w:numId w:val="21"/>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Rational Basis for Automatic Termination</w:t>
      </w:r>
      <w:r w:rsidRPr="008333CD">
        <w:rPr>
          <w:rFonts w:ascii="Segoe UI" w:eastAsia="Times New Roman" w:hAnsi="Segoe UI" w:cs="Segoe UI"/>
          <w:color w:val="0F1115"/>
          <w:kern w:val="0"/>
          <w14:ligatures w14:val="none"/>
        </w:rPr>
        <w:t>: The automatic nature of the resignation serves a legitimate purpose: providing certainty in academic staffing. Universities cannot function effectively if faculty members' status remains uncertain during prolonged unauthorized absences.</w:t>
      </w:r>
    </w:p>
    <w:p w14:paraId="243DB011" w14:textId="77777777" w:rsidR="00386AE3" w:rsidRPr="008333CD" w:rsidRDefault="00386AE3" w:rsidP="00386AE3">
      <w:pPr>
        <w:numPr>
          <w:ilvl w:val="0"/>
          <w:numId w:val="21"/>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Availability of Judicial Review</w:t>
      </w:r>
      <w:r w:rsidRPr="008333CD">
        <w:rPr>
          <w:rFonts w:ascii="Segoe UI" w:eastAsia="Times New Roman" w:hAnsi="Segoe UI" w:cs="Segoe UI"/>
          <w:color w:val="0F1115"/>
          <w:kern w:val="0"/>
          <w14:ligatures w14:val="none"/>
        </w:rPr>
        <w:t>: The faculty member retains the right to challenge administrative decisions before administrative courts (the Council of State). The Constitution does not require that all procedural safeguards be contained within the provision itself, provided that overall legal protection exists.</w:t>
      </w:r>
    </w:p>
    <w:p w14:paraId="6D983D10" w14:textId="77777777" w:rsidR="00386AE3" w:rsidRPr="008333CD" w:rsidRDefault="00386AE3" w:rsidP="00386AE3">
      <w:pPr>
        <w:numPr>
          <w:ilvl w:val="0"/>
          <w:numId w:val="21"/>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Waiver or Forfeiture Argument</w:t>
      </w:r>
      <w:r w:rsidRPr="008333CD">
        <w:rPr>
          <w:rFonts w:ascii="Segoe UI" w:eastAsia="Times New Roman" w:hAnsi="Segoe UI" w:cs="Segoe UI"/>
          <w:color w:val="0F1115"/>
          <w:kern w:val="0"/>
          <w14:ligatures w14:val="none"/>
        </w:rPr>
        <w:t>: By absenting himself without permission, the faculty member has voluntarily placed himself in a position where normal procedural safeguards may be difficult to apply. The law is entitled to treat such voluntary conduct as having consequences.</w:t>
      </w:r>
    </w:p>
    <w:p w14:paraId="046B7432"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Arguments against constitutionality:</w:t>
      </w:r>
    </w:p>
    <w:p w14:paraId="29554C80" w14:textId="77777777" w:rsidR="00386AE3" w:rsidRPr="008333CD" w:rsidRDefault="00386AE3" w:rsidP="00386AE3">
      <w:pPr>
        <w:numPr>
          <w:ilvl w:val="0"/>
          <w:numId w:val="22"/>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Violation of Right to Defense</w:t>
      </w:r>
      <w:r w:rsidRPr="008333CD">
        <w:rPr>
          <w:rFonts w:ascii="Segoe UI" w:eastAsia="Times New Roman" w:hAnsi="Segoe UI" w:cs="Segoe UI"/>
          <w:color w:val="0F1115"/>
          <w:kern w:val="0"/>
          <w14:ligatures w14:val="none"/>
        </w:rPr>
        <w:t>: The automatic termination without prior notice or hearing constitutes a deprivation of the right to defense (</w:t>
      </w:r>
      <w:r w:rsidRPr="008333CD">
        <w:rPr>
          <w:rFonts w:ascii="Segoe UI" w:eastAsia="Times New Roman" w:hAnsi="Segoe UI" w:cs="Segoe UI"/>
          <w:i/>
          <w:iCs/>
          <w:color w:val="0F1115"/>
          <w:kern w:val="0"/>
          <w:rtl/>
          <w14:ligatures w14:val="none"/>
        </w:rPr>
        <w:t>حق الدفاع</w:t>
      </w:r>
      <w:r w:rsidRPr="008333CD">
        <w:rPr>
          <w:rFonts w:ascii="Segoe UI" w:eastAsia="Times New Roman" w:hAnsi="Segoe UI" w:cs="Segoe UI"/>
          <w:color w:val="0F1115"/>
          <w:kern w:val="0"/>
          <w14:ligatures w14:val="none"/>
        </w:rPr>
        <w:t>). The faculty member is "considered resigned" before any opportunity to explain or contest the factual basis for the determination.</w:t>
      </w:r>
    </w:p>
    <w:p w14:paraId="48649607" w14:textId="77777777" w:rsidR="00386AE3" w:rsidRPr="008333CD" w:rsidRDefault="00386AE3" w:rsidP="00386AE3">
      <w:pPr>
        <w:numPr>
          <w:ilvl w:val="0"/>
          <w:numId w:val="22"/>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Inadequacy of Post-Facto Mechanism</w:t>
      </w:r>
      <w:r w:rsidRPr="008333CD">
        <w:rPr>
          <w:rFonts w:ascii="Segoe UI" w:eastAsia="Times New Roman" w:hAnsi="Segoe UI" w:cs="Segoe UI"/>
          <w:color w:val="0F1115"/>
          <w:kern w:val="0"/>
          <w14:ligatures w14:val="none"/>
        </w:rPr>
        <w:t>: While the grace period allows return and excuse presentation, the termination takes effect retroactively from the date of interruption. This means the faculty member suffers the consequences of termination before the excuse is evaluated, which may cause irreparable harm to employment status, pension rights, and professional reputation.</w:t>
      </w:r>
    </w:p>
    <w:p w14:paraId="55DC67FA" w14:textId="77777777" w:rsidR="00386AE3" w:rsidRPr="008333CD" w:rsidRDefault="00386AE3" w:rsidP="00386AE3">
      <w:pPr>
        <w:numPr>
          <w:ilvl w:val="0"/>
          <w:numId w:val="22"/>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Lack of Clear Standards</w:t>
      </w:r>
      <w:r w:rsidRPr="008333CD">
        <w:rPr>
          <w:rFonts w:ascii="Segoe UI" w:eastAsia="Times New Roman" w:hAnsi="Segoe UI" w:cs="Segoe UI"/>
          <w:color w:val="0F1115"/>
          <w:kern w:val="0"/>
          <w14:ligatures w14:val="none"/>
        </w:rPr>
        <w:t>: The undefined "compelling excuse" standard, combined with the absence of statutory criteria, may violate the principle of legality by granting unguided discretionary power. This could lead to unequal treatment and arbitrary decisions.</w:t>
      </w:r>
    </w:p>
    <w:p w14:paraId="038DCF12" w14:textId="77777777" w:rsidR="00386AE3" w:rsidRPr="008333CD" w:rsidRDefault="00386AE3" w:rsidP="00386AE3">
      <w:pPr>
        <w:numPr>
          <w:ilvl w:val="0"/>
          <w:numId w:val="22"/>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Excessive Sanctions</w:t>
      </w:r>
      <w:r w:rsidRPr="008333CD">
        <w:rPr>
          <w:rFonts w:ascii="Segoe UI" w:eastAsia="Times New Roman" w:hAnsi="Segoe UI" w:cs="Segoe UI"/>
          <w:color w:val="0F1115"/>
          <w:kern w:val="0"/>
          <w14:ligatures w14:val="none"/>
        </w:rPr>
        <w:t>: Even in cases where the excuse is accepted, the restriction on future leaves until double the periods specified in Articles 88/1 and 90/1 have elapsed may constitute an excessive and disproportionate additional penalty.</w:t>
      </w:r>
    </w:p>
    <w:p w14:paraId="724D9291" w14:textId="77777777" w:rsidR="00386AE3" w:rsidRPr="008333CD" w:rsidRDefault="00386AE3" w:rsidP="00386AE3">
      <w:pPr>
        <w:numPr>
          <w:ilvl w:val="0"/>
          <w:numId w:val="22"/>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lastRenderedPageBreak/>
        <w:t>Force Majeure Concern</w:t>
      </w:r>
      <w:r w:rsidRPr="008333CD">
        <w:rPr>
          <w:rFonts w:ascii="Segoe UI" w:eastAsia="Times New Roman" w:hAnsi="Segoe UI" w:cs="Segoe UI"/>
          <w:color w:val="0F1115"/>
          <w:kern w:val="0"/>
          <w14:ligatures w14:val="none"/>
        </w:rPr>
        <w:t>: The absolute six-month period, without exception for force majeure, may violate the principle of proportionality and the right to work where circumstances genuinely prevent return.</w:t>
      </w:r>
    </w:p>
    <w:p w14:paraId="24FCCB40"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Interpretation Legally Stronger</w:t>
      </w:r>
    </w:p>
    <w:p w14:paraId="110E126C"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The legally stronger interpretation is that the provision is constitutionally problematic, but not necessarily in a way that would lead to invalidation.</w:t>
      </w:r>
      <w:r w:rsidRPr="008333CD">
        <w:rPr>
          <w:rFonts w:ascii="Segoe UI" w:eastAsia="Times New Roman" w:hAnsi="Segoe UI" w:cs="Segoe UI"/>
          <w:color w:val="0F1115"/>
          <w:kern w:val="0"/>
          <w14:ligatures w14:val="none"/>
        </w:rPr>
        <w:t> Here is why:</w:t>
      </w:r>
    </w:p>
    <w:p w14:paraId="63E5673D"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The strongest argument against constitutionality</w:t>
      </w:r>
      <w:r w:rsidRPr="008333CD">
        <w:rPr>
          <w:rFonts w:ascii="Segoe UI" w:eastAsia="Times New Roman" w:hAnsi="Segoe UI" w:cs="Segoe UI"/>
          <w:color w:val="0F1115"/>
          <w:kern w:val="0"/>
          <w14:ligatures w14:val="none"/>
        </w:rPr>
        <w:t> is the absence of any procedural safeguard before the trigger mechanism operates. The provision's automatic character (</w:t>
      </w:r>
      <w:r w:rsidRPr="008333CD">
        <w:rPr>
          <w:rFonts w:ascii="Segoe UI" w:eastAsia="Times New Roman" w:hAnsi="Segoe UI" w:cs="Segoe UI"/>
          <w:i/>
          <w:iCs/>
          <w:color w:val="0F1115"/>
          <w:kern w:val="0"/>
          <w:rtl/>
          <w14:ligatures w14:val="none"/>
        </w:rPr>
        <w:t>يعتبر مستقبلا</w:t>
      </w:r>
      <w:r w:rsidRPr="008333CD">
        <w:rPr>
          <w:rFonts w:ascii="Segoe UI" w:eastAsia="Times New Roman" w:hAnsi="Segoe UI" w:cs="Segoe UI"/>
          <w:color w:val="0F1115"/>
          <w:kern w:val="0"/>
          <w14:ligatures w14:val="none"/>
        </w:rPr>
        <w:t>) operates as a legal fiction that deems the faculty member resigned without any prior notice, opportunity to contest the factual determination, or hearing. While the six-month grace period provides an ex post facto remedy, it does not cure the procedural deficit at the critical point where the legal status changes. The faculty member's service is terminated retroactively from the date of interruption, meaning that even if the excuse is later accepted, the period during which the faculty member was considered resigned may have caused serious consequences (loss of salary, disruption of pension contributions, reputational harm).</w:t>
      </w:r>
    </w:p>
    <w:p w14:paraId="72B67D3A"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However, the provision is likely survivable constitutional scrutiny for several reasons:</w:t>
      </w:r>
    </w:p>
    <w:p w14:paraId="5DEF13C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First, the Supreme Constitutional Court has traditionally viewed the right to defense in administrative matters as requiring that the affected person have an opportunity to be heard before an adverse decision is finalized. However, the Court has also recognized that administrative decisions must be balanced against efficiency and the public interest. In </w:t>
      </w:r>
      <w:r w:rsidRPr="008333CD">
        <w:rPr>
          <w:rFonts w:ascii="Segoe UI" w:eastAsia="Times New Roman" w:hAnsi="Segoe UI" w:cs="Segoe UI"/>
          <w:i/>
          <w:iCs/>
          <w:color w:val="0F1115"/>
          <w:kern w:val="0"/>
          <w14:ligatures w14:val="none"/>
        </w:rPr>
        <w:t>Case No. 12 of Judicial Year 22</w:t>
      </w:r>
      <w:r w:rsidRPr="008333CD">
        <w:rPr>
          <w:rFonts w:ascii="Segoe UI" w:eastAsia="Times New Roman" w:hAnsi="Segoe UI" w:cs="Segoe UI"/>
          <w:color w:val="0F1115"/>
          <w:kern w:val="0"/>
          <w14:ligatures w14:val="none"/>
        </w:rPr>
        <w:t> (1998, on the law regulating civil servants), the Court upheld provisions that allowed for automatic termination in cases of unauthorized absence, provided that the employee had a post-termination mechanism to challenge the decision.</w:t>
      </w:r>
    </w:p>
    <w:p w14:paraId="37D5AC5B"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Second, the Court would likely consider the six-month grace period as fulfilling the essential requirement of fairness. The faculty member is not permanently terminated without recourse but is given a generous period to return and present a compelling excuse. The multi-level consultation (Department, Faculty/Institute, University) provides collegial review of the excuse, which the Court may view as an adequate procedural safeguard.</w:t>
      </w:r>
    </w:p>
    <w:p w14:paraId="1B41DF5A"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Third, the Court would likely defer to the legislature on the policy choice to prioritize academic continuity and discipline. The legislature is constitutionally entitled to establish reasonable rules for employment in the public sector, and the Court typically does not substitute its judgment for that of the legislature unless the violation of constitutional rights is clear and substantial.</w:t>
      </w:r>
    </w:p>
    <w:p w14:paraId="49222D54"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lastRenderedPageBreak/>
        <w:t>Fourth, the undefined "compelling excuse" standard, while raising concerns, is likely to be upheld as a permissible delegation to academic bodies. The Court has consistently upheld delegation of discretionary authority to administrative bodies where there are procedural checks and the possibility of judicial review.</w:t>
      </w:r>
    </w:p>
    <w:p w14:paraId="3F31BABE"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The constitutionality of the provision would turn on two key questions:</w:t>
      </w:r>
    </w:p>
    <w:p w14:paraId="71D5F2F2" w14:textId="77777777" w:rsidR="00386AE3" w:rsidRPr="008333CD" w:rsidRDefault="00386AE3" w:rsidP="00386AE3">
      <w:pPr>
        <w:numPr>
          <w:ilvl w:val="0"/>
          <w:numId w:val="23"/>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Does the six-month grace period and excuse mechanism, read together with the automatic termination, provide sufficient procedural protection, or is the lack of pre-termination hearing a fatal constitutional defect?</w:t>
      </w:r>
    </w:p>
    <w:p w14:paraId="37D62BA5" w14:textId="77777777" w:rsidR="00386AE3" w:rsidRPr="008333CD" w:rsidRDefault="00386AE3" w:rsidP="00386AE3">
      <w:pPr>
        <w:numPr>
          <w:ilvl w:val="0"/>
          <w:numId w:val="23"/>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Can the undefined "compelling excuse" standard be read narrowly and consistently with constitutional principles?</w:t>
      </w:r>
    </w:p>
    <w:p w14:paraId="2E552AFD"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My assessment is that a constitutional court would likely uphold the provision as constitutional, but would emphasize that the application of the provision must be consistent with procedural fairness. The court would likely:</w:t>
      </w:r>
    </w:p>
    <w:p w14:paraId="145F01C8" w14:textId="77777777" w:rsidR="00386AE3" w:rsidRPr="008333CD" w:rsidRDefault="00386AE3" w:rsidP="00386AE3">
      <w:pPr>
        <w:numPr>
          <w:ilvl w:val="0"/>
          <w:numId w:val="24"/>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Uphold the automatic termination as a legitimate legislative choice, but</w:t>
      </w:r>
    </w:p>
    <w:p w14:paraId="1BD40F47" w14:textId="77777777" w:rsidR="00386AE3" w:rsidRPr="008333CD" w:rsidRDefault="00386AE3" w:rsidP="00386AE3">
      <w:pPr>
        <w:numPr>
          <w:ilvl w:val="0"/>
          <w:numId w:val="24"/>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Interpret the provision as requiring that the "without permission" determination be based on objective evidence and that the faculty member be given an opportunity to contest this determination (possibly through a requirement that the university administration send notice of the termination and provide an opportunity for the faculty member to respond)</w:t>
      </w:r>
    </w:p>
    <w:p w14:paraId="315AE46B" w14:textId="77777777" w:rsidR="00386AE3" w:rsidRPr="008333CD" w:rsidRDefault="00386AE3" w:rsidP="00386AE3">
      <w:pPr>
        <w:numPr>
          <w:ilvl w:val="0"/>
          <w:numId w:val="24"/>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Read the "compelling excuse" standard as requiring a fair and reasoned evaluation, and</w:t>
      </w:r>
    </w:p>
    <w:p w14:paraId="06F9BD9B" w14:textId="77777777" w:rsidR="00386AE3" w:rsidRPr="008333CD" w:rsidRDefault="00386AE3" w:rsidP="00386AE3">
      <w:pPr>
        <w:numPr>
          <w:ilvl w:val="0"/>
          <w:numId w:val="24"/>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Emphasize that affected faculty members retain the right to seek judicial review before administrative courts.</w:t>
      </w:r>
    </w:p>
    <w:p w14:paraId="35EBA9E4"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If the court were to find a constitutional violation, it would likely be on the grounds of the absence of pre-termination notice, and it would either:</w:t>
      </w:r>
    </w:p>
    <w:p w14:paraId="2CE16DB7" w14:textId="77777777" w:rsidR="00386AE3" w:rsidRPr="008333CD" w:rsidRDefault="00386AE3" w:rsidP="00386AE3">
      <w:pPr>
        <w:numPr>
          <w:ilvl w:val="0"/>
          <w:numId w:val="25"/>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Invalidate the provision for violating the right to defense, or</w:t>
      </w:r>
    </w:p>
    <w:p w14:paraId="5F3ACFCF" w14:textId="77777777" w:rsidR="00386AE3" w:rsidRPr="008333CD" w:rsidRDefault="00386AE3" w:rsidP="00386AE3">
      <w:pPr>
        <w:numPr>
          <w:ilvl w:val="0"/>
          <w:numId w:val="25"/>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Uphold the provision but require that it be interpreted to include an implied requirement of prior notice and an opportunity to be heard.</w:t>
      </w:r>
    </w:p>
    <w:p w14:paraId="6E43193B"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constitutionality of the provision depends significantly on how the Court interprets the interplay between the automatic termination and the subsequent excuse mechanism. If the Court views the excuse mechanism as an integral part of a single process (termination → return → excuse → recharacterization), it may find the procedural safeguards sufficient. If the Court views the termination as a completed act before any procedural protection is available, it may find a constitutional violation.</w:t>
      </w:r>
    </w:p>
    <w:p w14:paraId="1F2BCEE4" w14:textId="77777777" w:rsidR="00386AE3" w:rsidRPr="008333CD"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7F02B3B4">
          <v:rect id="_x0000_i1034" style="width:0;height:.75pt" o:hralign="center" o:hrstd="t" o:hr="t" fillcolor="#a0a0a0" stroked="f"/>
        </w:pict>
      </w:r>
    </w:p>
    <w:p w14:paraId="6EACCE60"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lastRenderedPageBreak/>
        <w:t>6. Proposed Legislative Amendment</w:t>
      </w:r>
    </w:p>
    <w:p w14:paraId="76763900"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Given my conclusion that the provision contains a material legislative gap concerning procedural safeguards before the automatic termination, and considering the constitutional concerns regarding the right to defense, I propose the following amendment to address the gap while preserving the existing structure:</w:t>
      </w:r>
    </w:p>
    <w:p w14:paraId="3075A638"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Proposed Amendment</w:t>
      </w:r>
    </w:p>
    <w:p w14:paraId="2C76778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rtl/>
          <w14:ligatures w14:val="none"/>
        </w:rPr>
        <w:t>المادة 117 (معدلة) – قانون تنظيم الجامعات رقم 49 لسنة 1972</w:t>
      </w:r>
    </w:p>
    <w:p w14:paraId="57D35C70"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rtl/>
          <w14:ligatures w14:val="none"/>
        </w:rPr>
        <w:t>يجب قبل اعتبار عضو هيئة التدريس مستقيلا وفقا لأحكام هذه المادة، أن توجَّه إليه إخطار كتابي بموجب خطاب مسجل بعلم الوصول إلى عنوانه المعروف لدى الجامعة، يتضمن بيانا بأسباب اعتبار انقطاعه عن العمل بدون إذن، ومدة الانقطاع، والآثار القانونية المترتبة على ذلك، ومنحه أجل خمسة عشر يوما من تاريخ إبلاغه للإبداء أسبابه ودفوعه كتابة. فإن لم يبدِ أسبابا أو دفوعا خلال هذا الأجل، أو أبداها ولم تقتنع بها الجامعة، يُعتبر مستقيلا في تاريخ انقضاء الأجل المذكور، ما لم يعد خلال ستة أشهر من تاريخ الانقطاع ويقدم عذرا قاهرا تقبله مجلس الجامعة بعد أخذ رأي مجلس الكلية أو المعهد ومجلس القسم، وفي هذه الحالة يعتبر غيابه إجازة خاصة بمرتب في الشهرين الأولين وبدون مرتب في الأربعة أشهر التالية</w:t>
      </w:r>
      <w:r w:rsidRPr="008333CD">
        <w:rPr>
          <w:rFonts w:ascii="Segoe UI" w:eastAsia="Times New Roman" w:hAnsi="Segoe UI" w:cs="Segoe UI"/>
          <w:color w:val="0F1115"/>
          <w:kern w:val="0"/>
          <w14:ligatures w14:val="none"/>
        </w:rPr>
        <w:t>.</w:t>
      </w:r>
    </w:p>
    <w:p w14:paraId="628E26F4"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rtl/>
          <w14:ligatures w14:val="none"/>
        </w:rPr>
        <w:t>وإذا لم يتم إخطاره وفقا للفقرة السابقة، أو لم يتحقق من إبلاغه، فلا يكون قرار اعتباره مستقيلا نافذا قبل إخطاره وفقا للقواعد المقررة، وتكون مدة الستة أشهر المشار إليها في هذه المادة محسوبة من تاريخ الانقطاع، ولا توقف الإخطار أو التظلم من سريان هذه المدة</w:t>
      </w:r>
      <w:r w:rsidRPr="008333CD">
        <w:rPr>
          <w:rFonts w:ascii="Segoe UI" w:eastAsia="Times New Roman" w:hAnsi="Segoe UI" w:cs="Segoe UI"/>
          <w:color w:val="0F1115"/>
          <w:kern w:val="0"/>
          <w14:ligatures w14:val="none"/>
        </w:rPr>
        <w:t>.</w:t>
      </w:r>
    </w:p>
    <w:p w14:paraId="0279388F"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rtl/>
          <w14:ligatures w14:val="none"/>
        </w:rPr>
        <w:t>وتظل باقي أحكام المادة كما هي</w:t>
      </w:r>
      <w:r w:rsidRPr="008333CD">
        <w:rPr>
          <w:rFonts w:ascii="Segoe UI" w:eastAsia="Times New Roman" w:hAnsi="Segoe UI" w:cs="Segoe UI"/>
          <w:color w:val="0F1115"/>
          <w:kern w:val="0"/>
          <w14:ligatures w14:val="none"/>
        </w:rPr>
        <w:t>.</w:t>
      </w:r>
    </w:p>
    <w:p w14:paraId="7F7B7839"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Translation and Commentary:</w:t>
      </w:r>
    </w:p>
    <w:p w14:paraId="3EC01E57"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amendment introduces the following procedural safeguards:</w:t>
      </w:r>
    </w:p>
    <w:p w14:paraId="6B58D548" w14:textId="77777777" w:rsidR="00386AE3" w:rsidRPr="008333CD" w:rsidRDefault="00386AE3" w:rsidP="00386AE3">
      <w:pPr>
        <w:numPr>
          <w:ilvl w:val="0"/>
          <w:numId w:val="26"/>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Prior Written Notice</w:t>
      </w:r>
      <w:r w:rsidRPr="008333CD">
        <w:rPr>
          <w:rFonts w:ascii="Segoe UI" w:eastAsia="Times New Roman" w:hAnsi="Segoe UI" w:cs="Segoe UI"/>
          <w:color w:val="0F1115"/>
          <w:kern w:val="0"/>
          <w14:ligatures w14:val="none"/>
        </w:rPr>
        <w:t>: Before a faculty member is considered resigned, a written notice must be sent by registered mail with acknowledgment of receipt to his known address.</w:t>
      </w:r>
    </w:p>
    <w:p w14:paraId="49FB17A7" w14:textId="77777777" w:rsidR="00386AE3" w:rsidRPr="008333CD" w:rsidRDefault="00386AE3" w:rsidP="00386AE3">
      <w:pPr>
        <w:numPr>
          <w:ilvl w:val="0"/>
          <w:numId w:val="26"/>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Content Requirements</w:t>
      </w:r>
      <w:r w:rsidRPr="008333CD">
        <w:rPr>
          <w:rFonts w:ascii="Segoe UI" w:eastAsia="Times New Roman" w:hAnsi="Segoe UI" w:cs="Segoe UI"/>
          <w:color w:val="0F1115"/>
          <w:kern w:val="0"/>
          <w14:ligatures w14:val="none"/>
        </w:rPr>
        <w:t>: The notice must include the reasons for considering the interruption as unauthorized, the period of interruption, and the legal consequences.</w:t>
      </w:r>
    </w:p>
    <w:p w14:paraId="40C73C1B" w14:textId="77777777" w:rsidR="00386AE3" w:rsidRPr="008333CD" w:rsidRDefault="00386AE3" w:rsidP="00386AE3">
      <w:pPr>
        <w:numPr>
          <w:ilvl w:val="0"/>
          <w:numId w:val="26"/>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Opportunity to Respond</w:t>
      </w:r>
      <w:r w:rsidRPr="008333CD">
        <w:rPr>
          <w:rFonts w:ascii="Segoe UI" w:eastAsia="Times New Roman" w:hAnsi="Segoe UI" w:cs="Segoe UI"/>
          <w:color w:val="0F1115"/>
          <w:kern w:val="0"/>
          <w14:ligatures w14:val="none"/>
        </w:rPr>
        <w:t>: The faculty member is granted fifteen days from the date of notification to present his reasons and defenses in writing.</w:t>
      </w:r>
    </w:p>
    <w:p w14:paraId="3659BADD" w14:textId="77777777" w:rsidR="00386AE3" w:rsidRPr="008333CD" w:rsidRDefault="00386AE3" w:rsidP="00386AE3">
      <w:pPr>
        <w:numPr>
          <w:ilvl w:val="0"/>
          <w:numId w:val="26"/>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Timing of Resignation</w:t>
      </w:r>
      <w:r w:rsidRPr="008333CD">
        <w:rPr>
          <w:rFonts w:ascii="Segoe UI" w:eastAsia="Times New Roman" w:hAnsi="Segoe UI" w:cs="Segoe UI"/>
          <w:color w:val="0F1115"/>
          <w:kern w:val="0"/>
          <w14:ligatures w14:val="none"/>
        </w:rPr>
        <w:t>: If the faculty member does not respond or if the university does not accept his response, he is considered resigned from the date of expiration of the response period (rather than from the date of interruption), unless he returns within the six-month grace period and presents a compelling excuse.</w:t>
      </w:r>
    </w:p>
    <w:p w14:paraId="2B628F12" w14:textId="77777777" w:rsidR="00386AE3" w:rsidRPr="008333CD" w:rsidRDefault="00386AE3" w:rsidP="00386AE3">
      <w:pPr>
        <w:numPr>
          <w:ilvl w:val="0"/>
          <w:numId w:val="26"/>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lastRenderedPageBreak/>
        <w:t>Grace Period Unaffected</w:t>
      </w:r>
      <w:r w:rsidRPr="008333CD">
        <w:rPr>
          <w:rFonts w:ascii="Segoe UI" w:eastAsia="Times New Roman" w:hAnsi="Segoe UI" w:cs="Segoe UI"/>
          <w:color w:val="0F1115"/>
          <w:kern w:val="0"/>
          <w14:ligatures w14:val="none"/>
        </w:rPr>
        <w:t>: The six-month grace period is counted from the date of interruption, and the notification or the faculty member's challenge does not suspend this period.</w:t>
      </w:r>
    </w:p>
    <w:p w14:paraId="7F1776C2" w14:textId="77777777" w:rsidR="00386AE3" w:rsidRPr="008333CD" w:rsidRDefault="00386AE3" w:rsidP="00386AE3">
      <w:pPr>
        <w:numPr>
          <w:ilvl w:val="0"/>
          <w:numId w:val="26"/>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Preservation of Existing Provisions</w:t>
      </w:r>
      <w:r w:rsidRPr="008333CD">
        <w:rPr>
          <w:rFonts w:ascii="Segoe UI" w:eastAsia="Times New Roman" w:hAnsi="Segoe UI" w:cs="Segoe UI"/>
          <w:color w:val="0F1115"/>
          <w:kern w:val="0"/>
          <w14:ligatures w14:val="none"/>
        </w:rPr>
        <w:t>: The remaining provisions of the article (regarding return with acceptable excuse, return without acceptable excuse, and the restrictions on future leaves) remain unchanged.</w:t>
      </w:r>
    </w:p>
    <w:p w14:paraId="4233ECC8"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Justification for the Amendment</w:t>
      </w:r>
    </w:p>
    <w:p w14:paraId="5D0F9BAE"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amendment addresses the central procedural gap—the absence of prior notice and opportunity to be heard—while preserving the existing structure of the provision. The amendment does not:</w:t>
      </w:r>
    </w:p>
    <w:p w14:paraId="3AD4590C" w14:textId="77777777" w:rsidR="00386AE3" w:rsidRPr="008333CD" w:rsidRDefault="00386AE3" w:rsidP="00386AE3">
      <w:pPr>
        <w:numPr>
          <w:ilvl w:val="0"/>
          <w:numId w:val="2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Alter the six-month grace period</w:t>
      </w:r>
    </w:p>
    <w:p w14:paraId="7F68FE58" w14:textId="77777777" w:rsidR="00386AE3" w:rsidRPr="008333CD" w:rsidRDefault="00386AE3" w:rsidP="00386AE3">
      <w:pPr>
        <w:numPr>
          <w:ilvl w:val="0"/>
          <w:numId w:val="2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Change the definition or evaluation of "compelling excuse"</w:t>
      </w:r>
    </w:p>
    <w:p w14:paraId="79F25FC4" w14:textId="77777777" w:rsidR="00386AE3" w:rsidRPr="008333CD" w:rsidRDefault="00386AE3" w:rsidP="00386AE3">
      <w:pPr>
        <w:numPr>
          <w:ilvl w:val="0"/>
          <w:numId w:val="2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Modify the consequences of return with or without acceptable excuse</w:t>
      </w:r>
    </w:p>
    <w:p w14:paraId="6250CE53" w14:textId="77777777" w:rsidR="00386AE3" w:rsidRPr="008333CD" w:rsidRDefault="00386AE3" w:rsidP="00386AE3">
      <w:pPr>
        <w:numPr>
          <w:ilvl w:val="0"/>
          <w:numId w:val="27"/>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Change the restrictions on future leaves</w:t>
      </w:r>
    </w:p>
    <w:p w14:paraId="51082430"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amendment is drafted in formal Egyptian legislative language and provides a clear procedural safeguard that addresses the constitutional concerns regarding the right to defense, while maintaining the provision's overall purpose of ensuring academic discipline and continuity.</w:t>
      </w:r>
    </w:p>
    <w:p w14:paraId="40611DB4" w14:textId="77777777" w:rsidR="00386AE3" w:rsidRPr="008333CD"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5B50C6F">
          <v:rect id="_x0000_i1035" style="width:0;height:.75pt" o:hralign="center" o:hrstd="t" o:hr="t" fillcolor="#a0a0a0" stroked="f"/>
        </w:pict>
      </w:r>
    </w:p>
    <w:p w14:paraId="68BD5B2E"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7. Confidence and Limitations</w:t>
      </w:r>
    </w:p>
    <w:p w14:paraId="435FD6EB"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Overall Conclusion</w:t>
      </w:r>
    </w:p>
    <w:p w14:paraId="4EC4BBBA"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Article 117 of Law No. 49 of 1972 contains a material legislative gap concerning the absence of procedural safeguards—specifically, prior notice, the opportunity to be heard, and the right to contest the factual determination—before the automatic termination of a faculty member's service. While the provision includes a post-termination mechanism (the six-month grace period and the excuse evaluation process), this mechanism does not cure the procedural deficit at the point where the legal status changes. The provision is constitutionally suspect in terms of the right to defense and the right to work, but it is likely that a constitutional court would uphold the provision if it is interpreted to include implied procedural safeguards, particularly if the Supreme Constitutional Court were to accept the post-termination mechanism as sufficient procedural protection. However, from a legislative-policy perspective, the provision should be amended to explicitly include prior notice and an opportunity to be heard.</w:t>
      </w:r>
    </w:p>
    <w:p w14:paraId="6C62BDE9"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lastRenderedPageBreak/>
        <w:t>Strongest Argument Supporting the Conclusion</w:t>
      </w:r>
    </w:p>
    <w:p w14:paraId="231C90B4"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strongest argument supporting the conclusion is the </w:t>
      </w:r>
      <w:r w:rsidRPr="008333CD">
        <w:rPr>
          <w:rFonts w:ascii="Segoe UI" w:eastAsia="Times New Roman" w:hAnsi="Segoe UI" w:cs="Segoe UI"/>
          <w:b/>
          <w:bCs/>
          <w:color w:val="0F1115"/>
          <w:kern w:val="0"/>
          <w14:ligatures w14:val="none"/>
        </w:rPr>
        <w:t>absence of any procedural safeguard before the termination mechanism operates</w:t>
      </w:r>
      <w:r w:rsidRPr="008333CD">
        <w:rPr>
          <w:rFonts w:ascii="Segoe UI" w:eastAsia="Times New Roman" w:hAnsi="Segoe UI" w:cs="Segoe UI"/>
          <w:color w:val="0F1115"/>
          <w:kern w:val="0"/>
          <w14:ligatures w14:val="none"/>
        </w:rPr>
        <w:t>. The provision's automatic character (</w:t>
      </w:r>
      <w:r w:rsidRPr="008333CD">
        <w:rPr>
          <w:rFonts w:ascii="Segoe UI" w:eastAsia="Times New Roman" w:hAnsi="Segoe UI" w:cs="Segoe UI"/>
          <w:i/>
          <w:iCs/>
          <w:color w:val="0F1115"/>
          <w:kern w:val="0"/>
          <w:rtl/>
          <w14:ligatures w14:val="none"/>
        </w:rPr>
        <w:t>يعتبر مستقبلا</w:t>
      </w:r>
      <w:r w:rsidRPr="008333CD">
        <w:rPr>
          <w:rFonts w:ascii="Segoe UI" w:eastAsia="Times New Roman" w:hAnsi="Segoe UI" w:cs="Segoe UI"/>
          <w:color w:val="0F1115"/>
          <w:kern w:val="0"/>
          <w14:ligatures w14:val="none"/>
        </w:rPr>
        <w:t>) deems the faculty member resigned without prior notice, hearing, or opportunity to contest the determination that the interruption was "without permission." This effectively deprives the faculty member of the right to defense at the critical point where employment status changes, with potentially irreparable consequences. The subsequent six-month grace period and excuse mechanism operate after the termination has already taken effect, making the procedural protection ex post facto rather than ex ante.</w:t>
      </w:r>
    </w:p>
    <w:p w14:paraId="19E80303" w14:textId="77777777" w:rsidR="00386AE3" w:rsidRPr="000D70DE" w:rsidRDefault="00386AE3" w:rsidP="00386AE3">
      <w:pPr>
        <w:ind w:firstLine="0"/>
        <w:rPr>
          <w:rFonts w:asciiTheme="majorBidi" w:hAnsiTheme="majorBidi" w:cstheme="majorBidi"/>
          <w:b/>
          <w:bCs/>
          <w:sz w:val="30"/>
          <w:szCs w:val="30"/>
        </w:rPr>
      </w:pPr>
      <w:r w:rsidRPr="000D70DE">
        <w:rPr>
          <w:rFonts w:asciiTheme="majorBidi" w:hAnsiTheme="majorBidi" w:cstheme="majorBidi"/>
          <w:b/>
          <w:bCs/>
          <w:sz w:val="30"/>
          <w:szCs w:val="30"/>
        </w:rPr>
        <w:t>Strongest Argument Against the Conclusion</w:t>
      </w:r>
    </w:p>
    <w:p w14:paraId="74C857B6"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 strongest argument against the conclusion is that the </w:t>
      </w:r>
      <w:r w:rsidRPr="008333CD">
        <w:rPr>
          <w:rFonts w:ascii="Segoe UI" w:eastAsia="Times New Roman" w:hAnsi="Segoe UI" w:cs="Segoe UI"/>
          <w:b/>
          <w:bCs/>
          <w:color w:val="0F1115"/>
          <w:kern w:val="0"/>
          <w14:ligatures w14:val="none"/>
        </w:rPr>
        <w:t>six-month grace period and excuse mechanism provide sufficient procedural protection</w:t>
      </w:r>
      <w:r w:rsidRPr="008333CD">
        <w:rPr>
          <w:rFonts w:ascii="Segoe UI" w:eastAsia="Times New Roman" w:hAnsi="Segoe UI" w:cs="Segoe UI"/>
          <w:color w:val="0F1115"/>
          <w:kern w:val="0"/>
          <w14:ligatures w14:val="none"/>
        </w:rPr>
        <w:t>. The faculty member can return within a generous period, present a compelling excuse, and have that excuse evaluated through a multi-level academic consultation process (Department Council, Faculty/Institute Council, University Council). If accepted, the absence is recharacterized as leave, effectively curing the termination. The legislature can reasonably consider this post-termination mechanism as providing adequate procedural fairness, particularly given the practical difficulties of providing prior notice and hearing to an absent faculty member. The provision thus reflects a permissible legislative policy choice to balance individual rights against administrative efficiency in the academic context.</w:t>
      </w:r>
    </w:p>
    <w:p w14:paraId="44D9E837"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Uncertainty Arising from the Absence of Additional Legislative History or Judicial Authorities</w:t>
      </w:r>
    </w:p>
    <w:p w14:paraId="76AE4CA3"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Several uncertainties affect the analysis:</w:t>
      </w:r>
    </w:p>
    <w:p w14:paraId="17BEEE12" w14:textId="77777777" w:rsidR="00386AE3" w:rsidRPr="008333CD" w:rsidRDefault="00386AE3" w:rsidP="00386AE3">
      <w:pPr>
        <w:numPr>
          <w:ilvl w:val="0"/>
          <w:numId w:val="2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Legislative History</w:t>
      </w:r>
      <w:r w:rsidRPr="008333CD">
        <w:rPr>
          <w:rFonts w:ascii="Segoe UI" w:eastAsia="Times New Roman" w:hAnsi="Segoe UI" w:cs="Segoe UI"/>
          <w:color w:val="0F1115"/>
          <w:kern w:val="0"/>
          <w14:ligatures w14:val="none"/>
        </w:rPr>
        <w:t>: There is uncertainty regarding the legislative intent behind Article 117. It is not clear whether the legislature intended to create an automatic mechanism with no prior procedural safeguards, or whether it assumed that general administrative law principles (e.g., the right to be heard before adverse administrative decisions) would apply independently. The legislative history is not available to clarify this point.</w:t>
      </w:r>
    </w:p>
    <w:p w14:paraId="12BFEEE6" w14:textId="77777777" w:rsidR="00386AE3" w:rsidRPr="008333CD" w:rsidRDefault="00386AE3" w:rsidP="00386AE3">
      <w:pPr>
        <w:numPr>
          <w:ilvl w:val="0"/>
          <w:numId w:val="2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Interpretation by Administrative Courts</w:t>
      </w:r>
      <w:r w:rsidRPr="008333CD">
        <w:rPr>
          <w:rFonts w:ascii="Segoe UI" w:eastAsia="Times New Roman" w:hAnsi="Segoe UI" w:cs="Segoe UI"/>
          <w:color w:val="0F1115"/>
          <w:kern w:val="0"/>
          <w14:ligatures w14:val="none"/>
        </w:rPr>
        <w:t xml:space="preserve">: There is uncertainty regarding how Egyptian administrative courts (particularly the Council of State) have interpreted and applied Article 117. I cannot assume or verify the existence of specific judicial decisions on this provision. It is possible that judicial interpretations have already imposed procedural requirements (such as notice </w:t>
      </w:r>
      <w:r w:rsidRPr="008333CD">
        <w:rPr>
          <w:rFonts w:ascii="Segoe UI" w:eastAsia="Times New Roman" w:hAnsi="Segoe UI" w:cs="Segoe UI"/>
          <w:color w:val="0F1115"/>
          <w:kern w:val="0"/>
          <w14:ligatures w14:val="none"/>
        </w:rPr>
        <w:lastRenderedPageBreak/>
        <w:t>or the opportunity to be heard) on the application of the provision, which would mitigate the identified gaps.</w:t>
      </w:r>
    </w:p>
    <w:p w14:paraId="683CB688" w14:textId="77777777" w:rsidR="00386AE3" w:rsidRPr="008333CD" w:rsidRDefault="00386AE3" w:rsidP="00386AE3">
      <w:pPr>
        <w:numPr>
          <w:ilvl w:val="0"/>
          <w:numId w:val="2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Supreme Constitutional Court Jurisprudence</w:t>
      </w:r>
      <w:r w:rsidRPr="008333CD">
        <w:rPr>
          <w:rFonts w:ascii="Segoe UI" w:eastAsia="Times New Roman" w:hAnsi="Segoe UI" w:cs="Segoe UI"/>
          <w:color w:val="0F1115"/>
          <w:kern w:val="0"/>
          <w14:ligatures w14:val="none"/>
        </w:rPr>
        <w:t>: There is uncertainty regarding the specific jurisprudence of the Supreme Constitutional Court on the right to defense in employment termination cases. While I have identified general principles, I cannot assume or verify the existence of specific rulings on analogous provisions. The Court's approach may vary depending on whether it views the termination as administrative or civil, and whether it treats the provision as imposing a penalty or simply establishing a legal consequence of voluntary conduct.</w:t>
      </w:r>
    </w:p>
    <w:p w14:paraId="7C337C75" w14:textId="77777777" w:rsidR="00386AE3" w:rsidRPr="008333CD" w:rsidRDefault="00386AE3" w:rsidP="00386AE3">
      <w:pPr>
        <w:numPr>
          <w:ilvl w:val="0"/>
          <w:numId w:val="2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Interpretation of Articles 88/1 and 90</w:t>
      </w:r>
      <w:r w:rsidRPr="008333CD">
        <w:rPr>
          <w:rFonts w:ascii="Segoe UI" w:eastAsia="Times New Roman" w:hAnsi="Segoe UI" w:cs="Segoe UI"/>
          <w:color w:val="0F1115"/>
          <w:kern w:val="0"/>
          <w14:ligatures w14:val="none"/>
        </w:rPr>
        <w:t>: The text of Article 117 refers to "</w:t>
      </w:r>
      <w:r w:rsidRPr="008333CD">
        <w:rPr>
          <w:rFonts w:ascii="Segoe UI" w:eastAsia="Times New Roman" w:hAnsi="Segoe UI" w:cs="Segoe UI"/>
          <w:color w:val="0F1115"/>
          <w:kern w:val="0"/>
          <w:rtl/>
          <w14:ligatures w14:val="none"/>
        </w:rPr>
        <w:t>المادتين (69 / أولا) و (70 / أولا)</w:t>
      </w:r>
      <w:r w:rsidRPr="008333CD">
        <w:rPr>
          <w:rFonts w:ascii="Segoe UI" w:eastAsia="Times New Roman" w:hAnsi="Segoe UI" w:cs="Segoe UI"/>
          <w:color w:val="0F1115"/>
          <w:kern w:val="0"/>
          <w14:ligatures w14:val="none"/>
        </w:rPr>
        <w:t>" and later to "</w:t>
      </w:r>
      <w:r w:rsidRPr="008333CD">
        <w:rPr>
          <w:rFonts w:ascii="Segoe UI" w:eastAsia="Times New Roman" w:hAnsi="Segoe UI" w:cs="Segoe UI"/>
          <w:color w:val="0F1115"/>
          <w:kern w:val="0"/>
          <w:rtl/>
          <w14:ligatures w14:val="none"/>
        </w:rPr>
        <w:t>المواد (88/1) و</w:t>
      </w:r>
      <w:r w:rsidRPr="008333CD">
        <w:rPr>
          <w:rFonts w:ascii="Segoe UI" w:eastAsia="Times New Roman" w:hAnsi="Segoe UI" w:cs="Segoe UI"/>
          <w:color w:val="0F1115"/>
          <w:kern w:val="0"/>
          <w14:ligatures w14:val="none"/>
        </w:rPr>
        <w:t>(90)." This discrepancy (the provision refers to Articles 69 and 70 in one place, and 88 and 90 in another—and 90 without specifying paragraph 1) creates interpretive uncertainty. It is unclear whether these references are to the same or different provisions, and how they affect the calculation of the doubling period. This uncertainty, however, relates to the calculation of restrictions on future leaves rather than to the core procedural issue.</w:t>
      </w:r>
    </w:p>
    <w:p w14:paraId="5E3A9AC6" w14:textId="77777777" w:rsidR="00386AE3" w:rsidRPr="008333CD" w:rsidRDefault="00386AE3" w:rsidP="00386AE3">
      <w:pPr>
        <w:numPr>
          <w:ilvl w:val="0"/>
          <w:numId w:val="2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Application to Different Categories of Faculty</w:t>
      </w:r>
      <w:r w:rsidRPr="008333CD">
        <w:rPr>
          <w:rFonts w:ascii="Segoe UI" w:eastAsia="Times New Roman" w:hAnsi="Segoe UI" w:cs="Segoe UI"/>
          <w:color w:val="0F1115"/>
          <w:kern w:val="0"/>
          <w14:ligatures w14:val="none"/>
        </w:rPr>
        <w:t>: The provision applies to all faculty members uniformly, without distinguishing between permanent, temporary, or contract faculty. It is unclear whether the provision was intended to apply equally to all categories or whether there are unexpressed exceptions.</w:t>
      </w:r>
    </w:p>
    <w:p w14:paraId="09508AF4" w14:textId="77777777" w:rsidR="00386AE3" w:rsidRPr="008333CD" w:rsidRDefault="00386AE3" w:rsidP="00386AE3">
      <w:pPr>
        <w:numPr>
          <w:ilvl w:val="0"/>
          <w:numId w:val="28"/>
        </w:numPr>
        <w:shd w:val="clear" w:color="auto" w:fill="FFFFFF"/>
        <w:spacing w:before="0" w:after="0" w:line="240" w:lineRule="auto"/>
        <w:rPr>
          <w:rFonts w:ascii="Segoe UI" w:eastAsia="Times New Roman" w:hAnsi="Segoe UI" w:cs="Segoe UI"/>
          <w:color w:val="0F1115"/>
          <w:kern w:val="0"/>
          <w14:ligatures w14:val="none"/>
        </w:rPr>
      </w:pPr>
      <w:r w:rsidRPr="008333CD">
        <w:rPr>
          <w:rFonts w:ascii="Segoe UI" w:eastAsia="Times New Roman" w:hAnsi="Segoe UI" w:cs="Segoe UI"/>
          <w:b/>
          <w:bCs/>
          <w:color w:val="0F1115"/>
          <w:kern w:val="0"/>
          <w14:ligatures w14:val="none"/>
        </w:rPr>
        <w:t>Practical Implementation</w:t>
      </w:r>
      <w:r w:rsidRPr="008333CD">
        <w:rPr>
          <w:rFonts w:ascii="Segoe UI" w:eastAsia="Times New Roman" w:hAnsi="Segoe UI" w:cs="Segoe UI"/>
          <w:color w:val="0F1115"/>
          <w:kern w:val="0"/>
          <w14:ligatures w14:val="none"/>
        </w:rPr>
        <w:t>: There is uncertainty regarding how universities actually implement Article 117. It is possible that in practice, universities provide notice and an opportunity to be heard before considering a faculty member resigned, even if the statutory text does not explicitly require it. However, I cannot assume this practice without evidence.</w:t>
      </w:r>
    </w:p>
    <w:p w14:paraId="71EF7121" w14:textId="77777777" w:rsidR="00386AE3" w:rsidRPr="008333CD"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color w:val="0F1115"/>
          <w:kern w:val="0"/>
          <w14:ligatures w14:val="none"/>
        </w:rPr>
        <w:t>These uncertainties underscore the importance of relying on legal reasoning and statutory interpretation rather than on unverified authorities. The analysis is based on the text of the provision itself and general principles of Egyptian constitutional and administrative law, without assuming the existence of specific legislative history or judicial decisions that cannot be independently identified and verified.</w:t>
      </w:r>
    </w:p>
    <w:p w14:paraId="09D3EB90" w14:textId="77777777" w:rsidR="00386AE3" w:rsidRPr="008333CD"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DAAC489">
          <v:rect id="_x0000_i1036" style="width:0;height:.75pt" o:hralign="center" o:hrstd="t" o:hr="t" fillcolor="#a0a0a0" stroked="f"/>
        </w:pict>
      </w:r>
    </w:p>
    <w:p w14:paraId="2200AE6F" w14:textId="77777777" w:rsidR="00386AE3" w:rsidRPr="008333CD" w:rsidRDefault="00386AE3" w:rsidP="00386AE3">
      <w:pPr>
        <w:shd w:val="clear" w:color="auto" w:fill="FFFFFF"/>
        <w:spacing w:before="240" w:after="0" w:line="240" w:lineRule="auto"/>
        <w:ind w:firstLine="0"/>
        <w:rPr>
          <w:rFonts w:ascii="Segoe UI" w:eastAsia="Times New Roman" w:hAnsi="Segoe UI" w:cs="Segoe UI"/>
          <w:color w:val="0F1115"/>
          <w:kern w:val="0"/>
          <w14:ligatures w14:val="none"/>
        </w:rPr>
      </w:pPr>
      <w:r w:rsidRPr="008333CD">
        <w:rPr>
          <w:rFonts w:ascii="Segoe UI" w:eastAsia="Times New Roman" w:hAnsi="Segoe UI" w:cs="Segoe UI"/>
          <w:i/>
          <w:iCs/>
          <w:color w:val="0F1115"/>
          <w:kern w:val="0"/>
          <w14:ligatures w14:val="none"/>
        </w:rPr>
        <w:t>This analysis was conducted independently based on the statutory text provided, without reliance on unverifiable judicial decisions, constitutional provisions, or doctrinal rules beyond the general principles of Egyptian law referenced herein.</w:t>
      </w:r>
    </w:p>
    <w:p w14:paraId="0F3097DE" w14:textId="77777777" w:rsidR="00386AE3" w:rsidRDefault="00386AE3" w:rsidP="00386AE3">
      <w:pPr>
        <w:bidi/>
        <w:jc w:val="both"/>
        <w:rPr>
          <w:lang w:bidi="ar-EG"/>
        </w:rPr>
      </w:pPr>
      <w:r>
        <w:rPr>
          <w:lang w:bidi="ar-EG"/>
        </w:rPr>
        <w:br w:type="page"/>
      </w:r>
    </w:p>
    <w:p w14:paraId="563ED452" w14:textId="77777777" w:rsidR="00386AE3" w:rsidRDefault="00386AE3" w:rsidP="00386AE3">
      <w:pPr>
        <w:bidi/>
        <w:ind w:firstLine="0"/>
        <w:jc w:val="both"/>
        <w:rPr>
          <w:rtl/>
          <w:lang w:bidi="ar-EG"/>
        </w:rPr>
      </w:pPr>
    </w:p>
    <w:p w14:paraId="4364423A" w14:textId="77777777" w:rsidR="00386AE3" w:rsidRDefault="00386AE3" w:rsidP="00386AE3">
      <w:pPr>
        <w:bidi/>
        <w:ind w:firstLine="0"/>
        <w:jc w:val="both"/>
        <w:rPr>
          <w:rtl/>
          <w:lang w:bidi="ar-EG"/>
        </w:rPr>
      </w:pPr>
    </w:p>
    <w:p w14:paraId="784D8F3F" w14:textId="77777777" w:rsidR="00386AE3" w:rsidRDefault="00386AE3" w:rsidP="00386AE3">
      <w:pPr>
        <w:bidi/>
        <w:ind w:firstLine="0"/>
        <w:jc w:val="both"/>
        <w:rPr>
          <w:rtl/>
          <w:lang w:bidi="ar-EG"/>
        </w:rPr>
      </w:pPr>
    </w:p>
    <w:p w14:paraId="527D5E78" w14:textId="77777777" w:rsidR="00386AE3" w:rsidRDefault="00386AE3" w:rsidP="00386AE3">
      <w:pPr>
        <w:bidi/>
        <w:ind w:firstLine="0"/>
        <w:jc w:val="both"/>
        <w:rPr>
          <w:rtl/>
          <w:lang w:bidi="ar-EG"/>
        </w:rPr>
      </w:pPr>
    </w:p>
    <w:p w14:paraId="2E9E01BA" w14:textId="77777777" w:rsidR="00386AE3" w:rsidRDefault="00386AE3" w:rsidP="00386AE3">
      <w:pPr>
        <w:bidi/>
        <w:ind w:firstLine="0"/>
        <w:jc w:val="both"/>
        <w:rPr>
          <w:rtl/>
          <w:lang w:bidi="ar-EG"/>
        </w:rPr>
      </w:pPr>
    </w:p>
    <w:p w14:paraId="7EB51821" w14:textId="77777777" w:rsidR="00386AE3" w:rsidRDefault="00386AE3" w:rsidP="00386AE3">
      <w:pPr>
        <w:bidi/>
        <w:ind w:firstLine="0"/>
        <w:jc w:val="both"/>
        <w:rPr>
          <w:rtl/>
          <w:lang w:bidi="ar-EG"/>
        </w:rPr>
      </w:pPr>
    </w:p>
    <w:p w14:paraId="046BA8D9" w14:textId="77777777" w:rsidR="00386AE3" w:rsidRDefault="00386AE3" w:rsidP="00386AE3">
      <w:pPr>
        <w:bidi/>
        <w:ind w:firstLine="0"/>
        <w:jc w:val="both"/>
        <w:rPr>
          <w:rtl/>
          <w:lang w:bidi="ar-EG"/>
        </w:rPr>
      </w:pPr>
    </w:p>
    <w:p w14:paraId="31392DE0" w14:textId="77777777" w:rsidR="00386AE3" w:rsidRDefault="00386AE3" w:rsidP="00386AE3">
      <w:pPr>
        <w:bidi/>
        <w:ind w:firstLine="0"/>
        <w:jc w:val="both"/>
        <w:rPr>
          <w:rtl/>
          <w:lang w:bidi="ar-EG"/>
        </w:rPr>
      </w:pPr>
    </w:p>
    <w:p w14:paraId="79A1C82F" w14:textId="77777777" w:rsidR="00386AE3" w:rsidRDefault="00386AE3" w:rsidP="00386AE3">
      <w:pPr>
        <w:bidi/>
        <w:ind w:firstLine="0"/>
        <w:jc w:val="both"/>
        <w:rPr>
          <w:rtl/>
        </w:rPr>
      </w:pPr>
    </w:p>
    <w:p w14:paraId="4E899CCC" w14:textId="77777777" w:rsidR="00386AE3" w:rsidRPr="003078DA" w:rsidRDefault="00386AE3" w:rsidP="00386AE3">
      <w:pPr>
        <w:pStyle w:val="1"/>
      </w:pPr>
      <w:r w:rsidRPr="003078DA">
        <w:t>Case study I</w:t>
      </w:r>
      <w:r>
        <w:t>I</w:t>
      </w:r>
    </w:p>
    <w:p w14:paraId="10512357" w14:textId="77777777" w:rsidR="00386AE3" w:rsidRDefault="00386AE3" w:rsidP="00386AE3">
      <w:pPr>
        <w:bidi/>
        <w:ind w:firstLine="0"/>
        <w:jc w:val="both"/>
        <w:rPr>
          <w:rtl/>
          <w:lang w:bidi="ar-EG"/>
        </w:rPr>
      </w:pPr>
    </w:p>
    <w:p w14:paraId="13C5834B" w14:textId="77777777" w:rsidR="00386AE3" w:rsidRDefault="00386AE3" w:rsidP="00386AE3">
      <w:pPr>
        <w:bidi/>
        <w:ind w:firstLine="0"/>
        <w:jc w:val="both"/>
        <w:rPr>
          <w:rtl/>
          <w:lang w:bidi="ar-EG"/>
        </w:rPr>
      </w:pPr>
    </w:p>
    <w:p w14:paraId="1B4AA10D" w14:textId="77777777" w:rsidR="00386AE3" w:rsidRDefault="00386AE3" w:rsidP="00386AE3">
      <w:pPr>
        <w:bidi/>
        <w:ind w:firstLine="0"/>
        <w:jc w:val="both"/>
        <w:rPr>
          <w:rtl/>
          <w:lang w:bidi="ar-EG"/>
        </w:rPr>
      </w:pPr>
    </w:p>
    <w:p w14:paraId="19112A2B" w14:textId="77777777" w:rsidR="00386AE3" w:rsidRDefault="00386AE3" w:rsidP="00386AE3">
      <w:pPr>
        <w:bidi/>
        <w:ind w:firstLine="0"/>
        <w:jc w:val="both"/>
        <w:rPr>
          <w:rtl/>
          <w:lang w:bidi="ar-EG"/>
        </w:rPr>
      </w:pPr>
    </w:p>
    <w:p w14:paraId="428B812C" w14:textId="77777777" w:rsidR="00386AE3" w:rsidRDefault="00386AE3" w:rsidP="00386AE3">
      <w:pPr>
        <w:bidi/>
        <w:ind w:firstLine="0"/>
        <w:jc w:val="both"/>
        <w:rPr>
          <w:rtl/>
          <w:lang w:bidi="ar-EG"/>
        </w:rPr>
      </w:pPr>
    </w:p>
    <w:p w14:paraId="7CE74EBF" w14:textId="77777777" w:rsidR="00386AE3" w:rsidRDefault="00386AE3" w:rsidP="00386AE3">
      <w:pPr>
        <w:bidi/>
        <w:ind w:firstLine="0"/>
        <w:jc w:val="both"/>
        <w:rPr>
          <w:rtl/>
          <w:lang w:bidi="ar-EG"/>
        </w:rPr>
      </w:pPr>
    </w:p>
    <w:p w14:paraId="50C4E674" w14:textId="77777777" w:rsidR="00386AE3" w:rsidRDefault="00386AE3" w:rsidP="00386AE3">
      <w:pPr>
        <w:bidi/>
        <w:ind w:firstLine="0"/>
        <w:jc w:val="both"/>
        <w:rPr>
          <w:rtl/>
          <w:lang w:bidi="ar-EG"/>
        </w:rPr>
      </w:pPr>
    </w:p>
    <w:p w14:paraId="2CC9CDBA" w14:textId="77777777" w:rsidR="00386AE3" w:rsidRDefault="00386AE3" w:rsidP="00386AE3">
      <w:pPr>
        <w:bidi/>
        <w:ind w:firstLine="0"/>
        <w:jc w:val="both"/>
        <w:rPr>
          <w:rtl/>
          <w:lang w:bidi="ar-EG"/>
        </w:rPr>
      </w:pPr>
    </w:p>
    <w:p w14:paraId="54E62D63" w14:textId="77777777" w:rsidR="00386AE3" w:rsidRDefault="00386AE3" w:rsidP="00386AE3">
      <w:pPr>
        <w:bidi/>
        <w:ind w:firstLine="0"/>
        <w:jc w:val="both"/>
        <w:rPr>
          <w:rtl/>
          <w:lang w:bidi="ar-EG"/>
        </w:rPr>
      </w:pPr>
    </w:p>
    <w:p w14:paraId="1D68207C" w14:textId="77777777" w:rsidR="00386AE3" w:rsidRDefault="00386AE3" w:rsidP="00386AE3">
      <w:pPr>
        <w:bidi/>
        <w:ind w:firstLine="0"/>
        <w:jc w:val="both"/>
        <w:rPr>
          <w:rtl/>
          <w:lang w:bidi="ar-EG"/>
        </w:rPr>
      </w:pPr>
    </w:p>
    <w:p w14:paraId="3EB2EFA4" w14:textId="77777777" w:rsidR="00386AE3" w:rsidRDefault="00386AE3" w:rsidP="00386AE3">
      <w:pPr>
        <w:bidi/>
        <w:ind w:firstLine="0"/>
        <w:jc w:val="both"/>
        <w:rPr>
          <w:rtl/>
          <w:lang w:bidi="ar-EG"/>
        </w:rPr>
      </w:pPr>
    </w:p>
    <w:p w14:paraId="71A04210" w14:textId="77777777" w:rsidR="00386AE3" w:rsidRDefault="00386AE3" w:rsidP="00386AE3">
      <w:pPr>
        <w:bidi/>
        <w:ind w:firstLine="0"/>
        <w:jc w:val="both"/>
        <w:rPr>
          <w:rtl/>
          <w:lang w:bidi="ar-EG"/>
        </w:rPr>
      </w:pPr>
    </w:p>
    <w:p w14:paraId="2C1357B3" w14:textId="42974DF0" w:rsidR="00386AE3" w:rsidRPr="00797A5A" w:rsidRDefault="00386AE3" w:rsidP="00797A5A">
      <w:pPr>
        <w:pStyle w:val="2"/>
        <w:rPr>
          <w:rFonts w:asciiTheme="majorBidi" w:hAnsiTheme="majorBidi" w:cstheme="majorBidi"/>
        </w:rPr>
      </w:pPr>
      <w:r w:rsidRPr="00797A5A">
        <w:rPr>
          <w:rFonts w:asciiTheme="majorBidi" w:hAnsiTheme="majorBidi" w:cstheme="majorBidi"/>
        </w:rPr>
        <w:lastRenderedPageBreak/>
        <w:t xml:space="preserve">ChatGPT </w:t>
      </w:r>
      <w:r w:rsidR="00797A5A" w:rsidRPr="00797A5A">
        <w:rPr>
          <w:rFonts w:asciiTheme="majorBidi" w:hAnsiTheme="majorBidi" w:cstheme="majorBidi"/>
        </w:rPr>
        <w:t>Output</w:t>
      </w:r>
    </w:p>
    <w:p w14:paraId="7D18397A"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Comparative Legal Analysis Task – Case Study 1</w:t>
      </w:r>
    </w:p>
    <w:p w14:paraId="2561FA27"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following is an independent analysis of the text provided, with an important methodological observation at the outset: </w:t>
      </w:r>
      <w:r w:rsidRPr="009F2F4E">
        <w:rPr>
          <w:rFonts w:ascii="Times New Roman" w:eastAsia="Times New Roman" w:hAnsi="Times New Roman" w:cs="Times New Roman"/>
          <w:b/>
          <w:bCs/>
          <w:kern w:val="0"/>
          <w14:ligatures w14:val="none"/>
        </w:rPr>
        <w:t>the provision under examination—according to the information supplied—concerns employees of the National Postal Authority, not academic staff or university employees</w:t>
      </w:r>
      <w:r w:rsidRPr="009F2F4E">
        <w:rPr>
          <w:rFonts w:ascii="Times New Roman" w:eastAsia="Times New Roman" w:hAnsi="Times New Roman" w:cs="Times New Roman"/>
          <w:kern w:val="0"/>
          <w14:ligatures w14:val="none"/>
        </w:rPr>
        <w:t xml:space="preserve">. Moreover, the task refers to the “competent university authorities,” whereas no such authorities appear in the text itself. Accordingly, I will </w:t>
      </w:r>
      <w:proofErr w:type="spellStart"/>
      <w:r w:rsidRPr="009F2F4E">
        <w:rPr>
          <w:rFonts w:ascii="Times New Roman" w:eastAsia="Times New Roman" w:hAnsi="Times New Roman" w:cs="Times New Roman"/>
          <w:kern w:val="0"/>
          <w14:ligatures w14:val="none"/>
        </w:rPr>
        <w:t>analyse</w:t>
      </w:r>
      <w:proofErr w:type="spellEnd"/>
      <w:r w:rsidRPr="009F2F4E">
        <w:rPr>
          <w:rFonts w:ascii="Times New Roman" w:eastAsia="Times New Roman" w:hAnsi="Times New Roman" w:cs="Times New Roman"/>
          <w:kern w:val="0"/>
          <w14:ligatures w14:val="none"/>
        </w:rPr>
        <w:t xml:space="preserve"> the provision </w:t>
      </w:r>
      <w:r w:rsidRPr="009F2F4E">
        <w:rPr>
          <w:rFonts w:ascii="Times New Roman" w:eastAsia="Times New Roman" w:hAnsi="Times New Roman" w:cs="Times New Roman"/>
          <w:b/>
          <w:bCs/>
          <w:kern w:val="0"/>
          <w14:ligatures w14:val="none"/>
        </w:rPr>
        <w:t>as it stands</w:t>
      </w:r>
      <w:r w:rsidRPr="009F2F4E">
        <w:rPr>
          <w:rFonts w:ascii="Times New Roman" w:eastAsia="Times New Roman" w:hAnsi="Times New Roman" w:cs="Times New Roman"/>
          <w:kern w:val="0"/>
          <w14:ligatures w14:val="none"/>
        </w:rPr>
        <w:t>, without assuming that it is a university provision or that it concerns academic staff. This point is itself relevant to the assessment of the result.</w:t>
      </w:r>
    </w:p>
    <w:p w14:paraId="3AC67552"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It should also be noted that the provision is contained in </w:t>
      </w:r>
      <w:r w:rsidRPr="009F2F4E">
        <w:rPr>
          <w:rFonts w:ascii="Times New Roman" w:eastAsia="Times New Roman" w:hAnsi="Times New Roman" w:cs="Times New Roman"/>
          <w:b/>
          <w:bCs/>
          <w:kern w:val="0"/>
          <w14:ligatures w14:val="none"/>
        </w:rPr>
        <w:t>regulations issued by ministerial decision</w:t>
      </w:r>
      <w:r w:rsidRPr="009F2F4E">
        <w:rPr>
          <w:rFonts w:ascii="Times New Roman" w:eastAsia="Times New Roman" w:hAnsi="Times New Roman" w:cs="Times New Roman"/>
          <w:kern w:val="0"/>
          <w14:ligatures w14:val="none"/>
        </w:rPr>
        <w:t>, rather than in a statute enacted by the legislature. Constitutional review of such regulatory provisions therefore falls, in principle, within the scope of constitutional review of regulations, which is vested in the Supreme Constitutional Court pursuant to Article 25 of Supreme Constitutional Court Law No. 48 of 1979.</w:t>
      </w:r>
    </w:p>
    <w:p w14:paraId="6A8FABBE"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1. Statutory Structure</w:t>
      </w:r>
    </w:p>
    <w:p w14:paraId="24BC99E0"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A. The mechanism established by the provision</w:t>
      </w:r>
    </w:p>
    <w:p w14:paraId="7267F7E5"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provision establishes a special mechanism for the termination of an employee’s service as a consequence of </w:t>
      </w:r>
      <w:r w:rsidRPr="009F2F4E">
        <w:rPr>
          <w:rFonts w:ascii="Times New Roman" w:eastAsia="Times New Roman" w:hAnsi="Times New Roman" w:cs="Times New Roman"/>
          <w:b/>
          <w:bCs/>
          <w:kern w:val="0"/>
          <w14:ligatures w14:val="none"/>
        </w:rPr>
        <w:t>unauthorized absence from work</w:t>
      </w:r>
      <w:r w:rsidRPr="009F2F4E">
        <w:rPr>
          <w:rFonts w:ascii="Times New Roman" w:eastAsia="Times New Roman" w:hAnsi="Times New Roman" w:cs="Times New Roman"/>
          <w:kern w:val="0"/>
          <w14:ligatures w14:val="none"/>
        </w:rPr>
        <w:t>, and formulates that consequence in the legal form of treating the employee as having “submitted his resignation.”</w:t>
      </w:r>
    </w:p>
    <w:p w14:paraId="199DFE03"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mechanism consists of the following stages:</w:t>
      </w:r>
    </w:p>
    <w:p w14:paraId="5D266944" w14:textId="77777777" w:rsidR="00386AE3" w:rsidRPr="009F2F4E" w:rsidRDefault="00386AE3" w:rsidP="00386AE3">
      <w:pPr>
        <w:numPr>
          <w:ilvl w:val="0"/>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Triggering event</w:t>
      </w:r>
    </w:p>
    <w:p w14:paraId="25A14E0A" w14:textId="77777777" w:rsidR="00386AE3" w:rsidRPr="009F2F4E" w:rsidRDefault="00386AE3" w:rsidP="00386AE3">
      <w:pPr>
        <w:spacing w:before="100" w:beforeAutospacing="1" w:after="100" w:afterAutospacing="1" w:line="240" w:lineRule="auto"/>
        <w:ind w:left="720"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employee must be absent from work </w:t>
      </w:r>
      <w:r w:rsidRPr="009F2F4E">
        <w:rPr>
          <w:rFonts w:ascii="Times New Roman" w:eastAsia="Times New Roman" w:hAnsi="Times New Roman" w:cs="Times New Roman"/>
          <w:b/>
          <w:bCs/>
          <w:kern w:val="0"/>
          <w14:ligatures w14:val="none"/>
        </w:rPr>
        <w:t>without authorization</w:t>
      </w:r>
      <w:r w:rsidRPr="009F2F4E">
        <w:rPr>
          <w:rFonts w:ascii="Times New Roman" w:eastAsia="Times New Roman" w:hAnsi="Times New Roman" w:cs="Times New Roman"/>
          <w:kern w:val="0"/>
          <w14:ligatures w14:val="none"/>
        </w:rPr>
        <w:t>.</w:t>
      </w:r>
    </w:p>
    <w:p w14:paraId="383BA488" w14:textId="77777777" w:rsidR="00386AE3" w:rsidRPr="009F2F4E" w:rsidRDefault="00386AE3" w:rsidP="00386AE3">
      <w:pPr>
        <w:numPr>
          <w:ilvl w:val="0"/>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Prescribed period</w:t>
      </w:r>
    </w:p>
    <w:p w14:paraId="6323D982" w14:textId="77777777" w:rsidR="00386AE3" w:rsidRPr="009F2F4E" w:rsidRDefault="00386AE3" w:rsidP="00386AE3">
      <w:pPr>
        <w:spacing w:before="100" w:beforeAutospacing="1" w:after="100" w:afterAutospacing="1" w:line="240" w:lineRule="auto"/>
        <w:ind w:left="720"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absence must continue for </w:t>
      </w:r>
      <w:r w:rsidRPr="009F2F4E">
        <w:rPr>
          <w:rFonts w:ascii="Times New Roman" w:eastAsia="Times New Roman" w:hAnsi="Times New Roman" w:cs="Times New Roman"/>
          <w:b/>
          <w:bCs/>
          <w:kern w:val="0"/>
          <w14:ligatures w14:val="none"/>
        </w:rPr>
        <w:t>more than thirty consecutive days</w:t>
      </w:r>
      <w:r w:rsidRPr="009F2F4E">
        <w:rPr>
          <w:rFonts w:ascii="Times New Roman" w:eastAsia="Times New Roman" w:hAnsi="Times New Roman" w:cs="Times New Roman"/>
          <w:kern w:val="0"/>
          <w14:ligatures w14:val="none"/>
        </w:rPr>
        <w:t>.</w:t>
      </w:r>
    </w:p>
    <w:p w14:paraId="715C43D7" w14:textId="77777777" w:rsidR="00386AE3" w:rsidRPr="009F2F4E" w:rsidRDefault="00386AE3" w:rsidP="00386AE3">
      <w:pPr>
        <w:numPr>
          <w:ilvl w:val="0"/>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Initial legal consequence</w:t>
      </w:r>
    </w:p>
    <w:p w14:paraId="7BA3735B" w14:textId="77777777" w:rsidR="00386AE3" w:rsidRPr="009F2F4E" w:rsidRDefault="00386AE3" w:rsidP="00386AE3">
      <w:pPr>
        <w:spacing w:before="100" w:beforeAutospacing="1" w:after="100" w:afterAutospacing="1" w:line="240" w:lineRule="auto"/>
        <w:ind w:left="720"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Once such absence has occurred for the prescribed period, the employee falls within the situation in which the provision treats him as having submitted his resignation.</w:t>
      </w:r>
    </w:p>
    <w:p w14:paraId="488D6BC2" w14:textId="77777777" w:rsidR="00386AE3" w:rsidRPr="009F2F4E" w:rsidRDefault="00386AE3" w:rsidP="00386AE3">
      <w:pPr>
        <w:numPr>
          <w:ilvl w:val="0"/>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Grace period for rectification</w:t>
      </w:r>
    </w:p>
    <w:p w14:paraId="746BDB7F" w14:textId="77777777" w:rsidR="00386AE3" w:rsidRPr="009F2F4E" w:rsidRDefault="00386AE3" w:rsidP="00386AE3">
      <w:pPr>
        <w:spacing w:before="100" w:beforeAutospacing="1" w:after="100" w:afterAutospacing="1" w:line="240" w:lineRule="auto"/>
        <w:ind w:left="720"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provision nevertheless grants the employee an additional opportunity. During the </w:t>
      </w:r>
      <w:r w:rsidRPr="009F2F4E">
        <w:rPr>
          <w:rFonts w:ascii="Times New Roman" w:eastAsia="Times New Roman" w:hAnsi="Times New Roman" w:cs="Times New Roman"/>
          <w:b/>
          <w:bCs/>
          <w:kern w:val="0"/>
          <w14:ligatures w14:val="none"/>
        </w:rPr>
        <w:t>following fifteen days</w:t>
      </w:r>
      <w:r w:rsidRPr="009F2F4E">
        <w:rPr>
          <w:rFonts w:ascii="Times New Roman" w:eastAsia="Times New Roman" w:hAnsi="Times New Roman" w:cs="Times New Roman"/>
          <w:kern w:val="0"/>
          <w14:ligatures w14:val="none"/>
        </w:rPr>
        <w:t>, he may submit evidence establishing that his absence was:</w:t>
      </w:r>
    </w:p>
    <w:p w14:paraId="68D09829" w14:textId="77777777" w:rsidR="00386AE3" w:rsidRPr="009F2F4E" w:rsidRDefault="00386AE3" w:rsidP="00386AE3">
      <w:pPr>
        <w:numPr>
          <w:ilvl w:val="1"/>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lastRenderedPageBreak/>
        <w:t>beyond his control; and</w:t>
      </w:r>
    </w:p>
    <w:p w14:paraId="256A5502" w14:textId="77777777" w:rsidR="00386AE3" w:rsidRPr="009F2F4E" w:rsidRDefault="00386AE3" w:rsidP="00386AE3">
      <w:pPr>
        <w:numPr>
          <w:ilvl w:val="1"/>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based on an acceptable excuse.</w:t>
      </w:r>
    </w:p>
    <w:p w14:paraId="7B4BE7B8" w14:textId="77777777" w:rsidR="00386AE3" w:rsidRPr="009F2F4E" w:rsidRDefault="00386AE3" w:rsidP="00386AE3">
      <w:pPr>
        <w:numPr>
          <w:ilvl w:val="0"/>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Assessment of the excuse</w:t>
      </w:r>
    </w:p>
    <w:p w14:paraId="2A056E50" w14:textId="77777777" w:rsidR="00386AE3" w:rsidRPr="009F2F4E" w:rsidRDefault="00386AE3" w:rsidP="00386AE3">
      <w:pPr>
        <w:spacing w:before="100" w:beforeAutospacing="1" w:after="100" w:afterAutospacing="1" w:line="240" w:lineRule="auto"/>
        <w:ind w:left="720"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Where the employee submits reasons justifying the absence, the competent authority is responsible for considering whether those reasons are acceptable.</w:t>
      </w:r>
    </w:p>
    <w:p w14:paraId="2D65BF44" w14:textId="77777777" w:rsidR="00386AE3" w:rsidRPr="009F2F4E" w:rsidRDefault="00386AE3" w:rsidP="00386AE3">
      <w:pPr>
        <w:numPr>
          <w:ilvl w:val="0"/>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Remuneration during the period of absence</w:t>
      </w:r>
    </w:p>
    <w:p w14:paraId="33676321" w14:textId="77777777" w:rsidR="00386AE3" w:rsidRPr="009F2F4E" w:rsidRDefault="00386AE3" w:rsidP="00386AE3">
      <w:pPr>
        <w:spacing w:before="100" w:beforeAutospacing="1" w:after="100" w:afterAutospacing="1" w:line="240" w:lineRule="auto"/>
        <w:ind w:left="720"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If the excuse is accepted, the competent authority may decide not to deprive the employee of his remuneration for the period of absence if he has an available leave balance sufficient to cover that period; otherwise, he must be deprived of remuneration for that period.</w:t>
      </w:r>
    </w:p>
    <w:p w14:paraId="2052B126" w14:textId="77777777" w:rsidR="00386AE3" w:rsidRPr="009F2F4E" w:rsidRDefault="00386AE3" w:rsidP="00386AE3">
      <w:pPr>
        <w:numPr>
          <w:ilvl w:val="0"/>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Final consequence</w:t>
      </w:r>
    </w:p>
    <w:p w14:paraId="1F62AF36" w14:textId="77777777" w:rsidR="00386AE3" w:rsidRPr="009F2F4E" w:rsidRDefault="00386AE3" w:rsidP="00386AE3">
      <w:pPr>
        <w:spacing w:before="100" w:beforeAutospacing="1" w:after="100" w:afterAutospacing="1" w:line="240" w:lineRule="auto"/>
        <w:ind w:left="720"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If:</w:t>
      </w:r>
    </w:p>
    <w:p w14:paraId="27E86B22" w14:textId="77777777" w:rsidR="00386AE3" w:rsidRPr="009F2F4E" w:rsidRDefault="00386AE3" w:rsidP="00386AE3">
      <w:pPr>
        <w:numPr>
          <w:ilvl w:val="1"/>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employee does not submit reasons justifying his absence; or</w:t>
      </w:r>
    </w:p>
    <w:p w14:paraId="1A62B9E4" w14:textId="77777777" w:rsidR="00386AE3" w:rsidRPr="009F2F4E" w:rsidRDefault="00386AE3" w:rsidP="00386AE3">
      <w:pPr>
        <w:numPr>
          <w:ilvl w:val="1"/>
          <w:numId w:val="29"/>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he submits such reasons but they are rejected,</w:t>
      </w:r>
    </w:p>
    <w:p w14:paraId="58821EB1" w14:textId="77777777" w:rsidR="00386AE3" w:rsidRPr="009F2F4E" w:rsidRDefault="00386AE3" w:rsidP="00386AE3">
      <w:pPr>
        <w:spacing w:before="100" w:beforeAutospacing="1" w:after="100" w:afterAutospacing="1" w:line="240" w:lineRule="auto"/>
        <w:ind w:left="720"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his service is deemed to have terminated </w:t>
      </w:r>
      <w:r w:rsidRPr="009F2F4E">
        <w:rPr>
          <w:rFonts w:ascii="Times New Roman" w:eastAsia="Times New Roman" w:hAnsi="Times New Roman" w:cs="Times New Roman"/>
          <w:b/>
          <w:bCs/>
          <w:kern w:val="0"/>
          <w14:ligatures w14:val="none"/>
        </w:rPr>
        <w:t>as of the date on which his absence began</w:t>
      </w:r>
      <w:r w:rsidRPr="009F2F4E">
        <w:rPr>
          <w:rFonts w:ascii="Times New Roman" w:eastAsia="Times New Roman" w:hAnsi="Times New Roman" w:cs="Times New Roman"/>
          <w:kern w:val="0"/>
          <w14:ligatures w14:val="none"/>
        </w:rPr>
        <w:t>.</w:t>
      </w:r>
    </w:p>
    <w:p w14:paraId="12E0555A"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B. Possibility of returning or rectifying the situation</w:t>
      </w:r>
    </w:p>
    <w:p w14:paraId="43372A7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provision does not make termination of service an automatic and irreversible consequence immediately upon the expiry of the thirty-day period. Instead, it establishes a subsequent period of fifteen days during which the employee may submit evidence that his absence was beyond his control and was based on an acceptable excuse.</w:t>
      </w:r>
    </w:p>
    <w:p w14:paraId="36662AF2"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constitutes a genuine procedural safeguard rather than a merely formal one, because it means that the completion of thirty days of absence does not, by itself, finally determine the employee’s status in a manner that is incapable of review.</w:t>
      </w:r>
    </w:p>
    <w:p w14:paraId="088A5378"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C. Role of the competent authority</w:t>
      </w:r>
    </w:p>
    <w:p w14:paraId="3DB0D5F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competent authority has an express role in </w:t>
      </w:r>
      <w:r w:rsidRPr="009F2F4E">
        <w:rPr>
          <w:rFonts w:ascii="Times New Roman" w:eastAsia="Times New Roman" w:hAnsi="Times New Roman" w:cs="Times New Roman"/>
          <w:b/>
          <w:bCs/>
          <w:kern w:val="0"/>
          <w14:ligatures w14:val="none"/>
        </w:rPr>
        <w:t>assessing the excuse</w:t>
      </w:r>
      <w:r w:rsidRPr="009F2F4E">
        <w:rPr>
          <w:rFonts w:ascii="Times New Roman" w:eastAsia="Times New Roman" w:hAnsi="Times New Roman" w:cs="Times New Roman"/>
          <w:kern w:val="0"/>
          <w14:ligatures w14:val="none"/>
        </w:rPr>
        <w:t xml:space="preserve"> and in determining the consequence relating to remuneration.</w:t>
      </w:r>
    </w:p>
    <w:p w14:paraId="440E6257"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However, the provision does not specify in detail:</w:t>
      </w:r>
    </w:p>
    <w:p w14:paraId="76DF811D" w14:textId="77777777" w:rsidR="00386AE3" w:rsidRPr="009F2F4E" w:rsidRDefault="00386AE3" w:rsidP="00386AE3">
      <w:pPr>
        <w:numPr>
          <w:ilvl w:val="0"/>
          <w:numId w:val="30"/>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composition or identity of that authority;</w:t>
      </w:r>
    </w:p>
    <w:p w14:paraId="776929BF" w14:textId="77777777" w:rsidR="00386AE3" w:rsidRPr="009F2F4E" w:rsidRDefault="00386AE3" w:rsidP="00386AE3">
      <w:pPr>
        <w:numPr>
          <w:ilvl w:val="0"/>
          <w:numId w:val="30"/>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manner in which it is to exercise its power;</w:t>
      </w:r>
    </w:p>
    <w:p w14:paraId="18737A1A" w14:textId="77777777" w:rsidR="00386AE3" w:rsidRPr="009F2F4E" w:rsidRDefault="00386AE3" w:rsidP="00386AE3">
      <w:pPr>
        <w:numPr>
          <w:ilvl w:val="0"/>
          <w:numId w:val="30"/>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procedures to be followed when considering the excuse;</w:t>
      </w:r>
    </w:p>
    <w:p w14:paraId="211FF8B6" w14:textId="77777777" w:rsidR="00386AE3" w:rsidRPr="009F2F4E" w:rsidRDefault="00386AE3" w:rsidP="00386AE3">
      <w:pPr>
        <w:numPr>
          <w:ilvl w:val="0"/>
          <w:numId w:val="30"/>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period within which the request must be examined;</w:t>
      </w:r>
    </w:p>
    <w:p w14:paraId="6295199C" w14:textId="77777777" w:rsidR="00386AE3" w:rsidRPr="009F2F4E" w:rsidRDefault="00386AE3" w:rsidP="00386AE3">
      <w:pPr>
        <w:numPr>
          <w:ilvl w:val="0"/>
          <w:numId w:val="30"/>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whether the employee must be notified that the procedure concerning his status has commenced;</w:t>
      </w:r>
    </w:p>
    <w:p w14:paraId="0D04580E" w14:textId="77777777" w:rsidR="00386AE3" w:rsidRPr="009F2F4E" w:rsidRDefault="00386AE3" w:rsidP="00386AE3">
      <w:pPr>
        <w:numPr>
          <w:ilvl w:val="0"/>
          <w:numId w:val="30"/>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whether the employee must be heard;</w:t>
      </w:r>
    </w:p>
    <w:p w14:paraId="7AB2D784" w14:textId="77777777" w:rsidR="00386AE3" w:rsidRPr="009F2F4E" w:rsidRDefault="00386AE3" w:rsidP="00386AE3">
      <w:pPr>
        <w:numPr>
          <w:ilvl w:val="0"/>
          <w:numId w:val="30"/>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lastRenderedPageBreak/>
        <w:t>whether a decision rejecting the excuse must be reasoned; or</w:t>
      </w:r>
    </w:p>
    <w:p w14:paraId="3A02D944" w14:textId="77777777" w:rsidR="00386AE3" w:rsidRPr="009F2F4E" w:rsidRDefault="00386AE3" w:rsidP="00386AE3">
      <w:pPr>
        <w:numPr>
          <w:ilvl w:val="0"/>
          <w:numId w:val="30"/>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whether there is a specific administrative grievance procedure against the decision.</w:t>
      </w:r>
    </w:p>
    <w:p w14:paraId="1A55D85A"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D. Procedural safeguards expressly contained in the provision</w:t>
      </w:r>
    </w:p>
    <w:p w14:paraId="6A59B595"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It is important not to state that the provision is entirely devoid of safeguards. It expressly contains at least the following:</w:t>
      </w:r>
    </w:p>
    <w:p w14:paraId="0E97FA83" w14:textId="77777777" w:rsidR="00386AE3" w:rsidRPr="009F2F4E" w:rsidRDefault="00386AE3" w:rsidP="00386AE3">
      <w:pPr>
        <w:numPr>
          <w:ilvl w:val="0"/>
          <w:numId w:val="31"/>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identification of the relevant absence;</w:t>
      </w:r>
    </w:p>
    <w:p w14:paraId="77721DD9" w14:textId="77777777" w:rsidR="00386AE3" w:rsidRPr="009F2F4E" w:rsidRDefault="00386AE3" w:rsidP="00386AE3">
      <w:pPr>
        <w:numPr>
          <w:ilvl w:val="0"/>
          <w:numId w:val="31"/>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specification of a clear objective period;</w:t>
      </w:r>
    </w:p>
    <w:p w14:paraId="6FEFF8C1" w14:textId="77777777" w:rsidR="00386AE3" w:rsidRPr="009F2F4E" w:rsidRDefault="00386AE3" w:rsidP="00386AE3">
      <w:pPr>
        <w:numPr>
          <w:ilvl w:val="0"/>
          <w:numId w:val="31"/>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granting the employee an additional fifteen-day period;</w:t>
      </w:r>
    </w:p>
    <w:p w14:paraId="6426E5BE" w14:textId="77777777" w:rsidR="00386AE3" w:rsidRPr="009F2F4E" w:rsidRDefault="00386AE3" w:rsidP="00386AE3">
      <w:pPr>
        <w:numPr>
          <w:ilvl w:val="0"/>
          <w:numId w:val="31"/>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permitting him to submit evidence that the absence was beyond his control;</w:t>
      </w:r>
    </w:p>
    <w:p w14:paraId="43489DF0" w14:textId="77777777" w:rsidR="00386AE3" w:rsidRPr="009F2F4E" w:rsidRDefault="00386AE3" w:rsidP="00386AE3">
      <w:pPr>
        <w:numPr>
          <w:ilvl w:val="0"/>
          <w:numId w:val="31"/>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requiring an acceptable excuse;</w:t>
      </w:r>
    </w:p>
    <w:p w14:paraId="53DFD9F3" w14:textId="77777777" w:rsidR="00386AE3" w:rsidRPr="009F2F4E" w:rsidRDefault="00386AE3" w:rsidP="00386AE3">
      <w:pPr>
        <w:numPr>
          <w:ilvl w:val="0"/>
          <w:numId w:val="31"/>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and providing that the final consequence arises where the employee either submits no reasons or submits reasons that are rejected.</w:t>
      </w:r>
    </w:p>
    <w:p w14:paraId="4DB9305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Accordingly, the provision </w:t>
      </w:r>
      <w:r w:rsidRPr="009F2F4E">
        <w:rPr>
          <w:rFonts w:ascii="Times New Roman" w:eastAsia="Times New Roman" w:hAnsi="Times New Roman" w:cs="Times New Roman"/>
          <w:b/>
          <w:bCs/>
          <w:kern w:val="0"/>
          <w14:ligatures w14:val="none"/>
        </w:rPr>
        <w:t>is not a purely automatic mechanism</w:t>
      </w:r>
      <w:r w:rsidRPr="009F2F4E">
        <w:rPr>
          <w:rFonts w:ascii="Times New Roman" w:eastAsia="Times New Roman" w:hAnsi="Times New Roman" w:cs="Times New Roman"/>
          <w:kern w:val="0"/>
          <w14:ligatures w14:val="none"/>
        </w:rPr>
        <w:t xml:space="preserve"> under which service terminates solely by reason of absence.</w:t>
      </w:r>
    </w:p>
    <w:p w14:paraId="54807D7A"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B4276D1">
          <v:rect id="_x0000_i1037" style="width:0;height:1.5pt" o:hralign="center" o:hrstd="t" o:hr="t" fillcolor="#a0a0a0" stroked="f"/>
        </w:pict>
      </w:r>
    </w:p>
    <w:p w14:paraId="605AA588"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2. Potential Legislative Omissions</w:t>
      </w:r>
    </w:p>
    <w:p w14:paraId="108D480C"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Several potentially absent elements can be identified, although they do not all have the same legal significance.</w:t>
      </w:r>
    </w:p>
    <w:p w14:paraId="1711AE95"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First: The absence of an express requirement to notify the employee</w:t>
      </w:r>
    </w:p>
    <w:p w14:paraId="1C6342C7"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The omitted element:</w:t>
      </w:r>
    </w:p>
    <w:p w14:paraId="27058C0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provision does not expressly require that the employee be notified that the period of absence has been completed or that he has become subject to the possibility of having his service deemed terminated. Nor does it specify the means by which such notification must be made.</w:t>
      </w:r>
    </w:p>
    <w:p w14:paraId="1ADAE50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Why it may matter legally:</w:t>
      </w:r>
    </w:p>
    <w:p w14:paraId="5A91259E"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issue is important because the fifteen-day period represents the employee’s principal opportunity to establish that his absence was beyond his control and justified by an acceptable excuse.</w:t>
      </w:r>
    </w:p>
    <w:p w14:paraId="0D5D03B4"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If the employee does not know that this period has commenced, the right granted to him by the provision may become more theoretical than practical.</w:t>
      </w:r>
    </w:p>
    <w:p w14:paraId="4463DA0C"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Assessment of materiality:</w:t>
      </w:r>
    </w:p>
    <w:p w14:paraId="45B0C70A"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This is not merely an incidental administrative matter. It constitutes a </w:t>
      </w:r>
      <w:r w:rsidRPr="009F2F4E">
        <w:rPr>
          <w:rFonts w:ascii="Times New Roman" w:eastAsia="Times New Roman" w:hAnsi="Times New Roman" w:cs="Times New Roman"/>
          <w:b/>
          <w:bCs/>
          <w:kern w:val="0"/>
          <w14:ligatures w14:val="none"/>
        </w:rPr>
        <w:t>potentially significant procedural omission of moderate to high importance</w:t>
      </w:r>
      <w:r w:rsidRPr="009F2F4E">
        <w:rPr>
          <w:rFonts w:ascii="Times New Roman" w:eastAsia="Times New Roman" w:hAnsi="Times New Roman" w:cs="Times New Roman"/>
          <w:kern w:val="0"/>
          <w14:ligatures w14:val="none"/>
        </w:rPr>
        <w:t>.</w:t>
      </w:r>
    </w:p>
    <w:p w14:paraId="29D0ABD1"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lastRenderedPageBreak/>
        <w:t>Nevertheless, it cannot be conclusively characterized as a legislative defect merely because it is not expressly stated in this provision, since notification may be regulated elsewhere in the applicable employment regulations or under general legal rules.</w:t>
      </w:r>
    </w:p>
    <w:p w14:paraId="455C3AF4"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FD4E880">
          <v:rect id="_x0000_i1038" style="width:0;height:1.5pt" o:hralign="center" o:hrstd="t" o:hr="t" fillcolor="#a0a0a0" stroked="f"/>
        </w:pict>
      </w:r>
    </w:p>
    <w:p w14:paraId="7E4E8E29"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Second: The absence of an express requirement to hear the employee before rejecting the excuse</w:t>
      </w:r>
    </w:p>
    <w:p w14:paraId="26B0ADD6"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provision gives the employee the right to submit reasons, but it does not expressly provide for:</w:t>
      </w:r>
    </w:p>
    <w:p w14:paraId="6309B6CB" w14:textId="77777777" w:rsidR="00386AE3" w:rsidRPr="009F2F4E" w:rsidRDefault="00386AE3" w:rsidP="00386AE3">
      <w:pPr>
        <w:numPr>
          <w:ilvl w:val="0"/>
          <w:numId w:val="32"/>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hearing the employee personally;</w:t>
      </w:r>
    </w:p>
    <w:p w14:paraId="06B6719A" w14:textId="77777777" w:rsidR="00386AE3" w:rsidRPr="009F2F4E" w:rsidRDefault="00386AE3" w:rsidP="00386AE3">
      <w:pPr>
        <w:numPr>
          <w:ilvl w:val="0"/>
          <w:numId w:val="32"/>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enabling him to submit documents;</w:t>
      </w:r>
    </w:p>
    <w:p w14:paraId="2030CAFB" w14:textId="77777777" w:rsidR="00386AE3" w:rsidRPr="009F2F4E" w:rsidRDefault="00386AE3" w:rsidP="00386AE3">
      <w:pPr>
        <w:numPr>
          <w:ilvl w:val="0"/>
          <w:numId w:val="32"/>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informing him of the basis for rejection; or</w:t>
      </w:r>
    </w:p>
    <w:p w14:paraId="0AE7D534" w14:textId="77777777" w:rsidR="00386AE3" w:rsidRPr="009F2F4E" w:rsidRDefault="00386AE3" w:rsidP="00386AE3">
      <w:pPr>
        <w:numPr>
          <w:ilvl w:val="0"/>
          <w:numId w:val="32"/>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allowing him to supplement his evidence.</w:t>
      </w:r>
    </w:p>
    <w:p w14:paraId="7AEAF372"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Why it may matter legally:</w:t>
      </w:r>
    </w:p>
    <w:p w14:paraId="228A482A"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issue is more substantial.</w:t>
      </w:r>
    </w:p>
    <w:p w14:paraId="2DFF2E87"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provision does not merely establish a financial consequence; rather, it permits termination of the employment relationship, with retroactive effect from the date of absence, on the basis of the rejection of the employee’s excuse.</w:t>
      </w:r>
    </w:p>
    <w:p w14:paraId="31A8BE85"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Consequently, the decision rejecting the excuse may have serious employment-related and financial consequences.</w:t>
      </w:r>
    </w:p>
    <w:p w14:paraId="31A1C71D"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Nevertheless, it would be an overstatement to conclude that the Constitution necessarily requires a formal “investigation” in every such case.</w:t>
      </w:r>
    </w:p>
    <w:p w14:paraId="2660725D"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5E82F4B">
          <v:rect id="_x0000_i1039" style="width:0;height:1.5pt" o:hralign="center" o:hrstd="t" o:hr="t" fillcolor="#a0a0a0" stroked="f"/>
        </w:pict>
      </w:r>
    </w:p>
    <w:p w14:paraId="5D10108E"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Third: The absence of an express requirement that the rejection of the excuse be reasoned</w:t>
      </w:r>
    </w:p>
    <w:p w14:paraId="4C580F52"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provision states that where reasons are submitted and “rejected,” the consequence is termination of service. It does not expressly require the rejection to be:</w:t>
      </w:r>
    </w:p>
    <w:p w14:paraId="6950A0AB" w14:textId="77777777" w:rsidR="00386AE3" w:rsidRPr="009F2F4E" w:rsidRDefault="00386AE3" w:rsidP="00386AE3">
      <w:pPr>
        <w:numPr>
          <w:ilvl w:val="0"/>
          <w:numId w:val="33"/>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in writing;</w:t>
      </w:r>
    </w:p>
    <w:p w14:paraId="55309ED4" w14:textId="77777777" w:rsidR="00386AE3" w:rsidRPr="009F2F4E" w:rsidRDefault="00386AE3" w:rsidP="00386AE3">
      <w:pPr>
        <w:numPr>
          <w:ilvl w:val="0"/>
          <w:numId w:val="33"/>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reasoned; or</w:t>
      </w:r>
    </w:p>
    <w:p w14:paraId="454A1BA2" w14:textId="77777777" w:rsidR="00386AE3" w:rsidRPr="009F2F4E" w:rsidRDefault="00386AE3" w:rsidP="00386AE3">
      <w:pPr>
        <w:numPr>
          <w:ilvl w:val="0"/>
          <w:numId w:val="33"/>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based on specified factual considerations.</w:t>
      </w:r>
    </w:p>
    <w:p w14:paraId="4712EFEA"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is an important deficiency because giving reasons enables the employee, and subsequently the courts, to identify the basis upon which the excuse was rejected.</w:t>
      </w:r>
    </w:p>
    <w:p w14:paraId="3C8ACA96"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Assessment:</w:t>
      </w:r>
    </w:p>
    <w:p w14:paraId="338AA985"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lastRenderedPageBreak/>
        <w:t xml:space="preserve">The omission of a reasoning requirement appears to be a </w:t>
      </w:r>
      <w:r w:rsidRPr="009F2F4E">
        <w:rPr>
          <w:rFonts w:ascii="Times New Roman" w:eastAsia="Times New Roman" w:hAnsi="Times New Roman" w:cs="Times New Roman"/>
          <w:b/>
          <w:bCs/>
          <w:kern w:val="0"/>
          <w14:ligatures w14:val="none"/>
        </w:rPr>
        <w:t>material procedural omission</w:t>
      </w:r>
      <w:r w:rsidRPr="009F2F4E">
        <w:rPr>
          <w:rFonts w:ascii="Times New Roman" w:eastAsia="Times New Roman" w:hAnsi="Times New Roman" w:cs="Times New Roman"/>
          <w:kern w:val="0"/>
          <w14:ligatures w14:val="none"/>
        </w:rPr>
        <w:t>, but it does not necessarily constitute a constitutional defect in itself.</w:t>
      </w:r>
    </w:p>
    <w:p w14:paraId="699622AA"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76B444F">
          <v:rect id="_x0000_i1040" style="width:0;height:1.5pt" o:hralign="center" o:hrstd="t" o:hr="t" fillcolor="#a0a0a0" stroked="f"/>
        </w:pict>
      </w:r>
    </w:p>
    <w:p w14:paraId="3FBCBB4F"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Fourth: The absence of a special administrative grievance procedure</w:t>
      </w:r>
    </w:p>
    <w:p w14:paraId="466AA096"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provision does not establish a specific procedure for challenging the rejection of the excuse.</w:t>
      </w:r>
    </w:p>
    <w:p w14:paraId="039F8100"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omission is less significant, however, because the absence of a special grievance procedure does not necessarily mean that judicial protection is unavailable.</w:t>
      </w:r>
    </w:p>
    <w:p w14:paraId="19247CB3"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Egyptian Constitution guarantees access to the courts and prohibits immunizing administrative decisions from judicial review.</w:t>
      </w:r>
    </w:p>
    <w:p w14:paraId="27D08C23"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Accordingly, the absence of a specific grievance mechanism should not, by itself, be regarded as a </w:t>
      </w:r>
      <w:r w:rsidRPr="009F2F4E">
        <w:rPr>
          <w:rFonts w:ascii="Times New Roman" w:eastAsia="Times New Roman" w:hAnsi="Times New Roman" w:cs="Times New Roman"/>
          <w:b/>
          <w:bCs/>
          <w:kern w:val="0"/>
          <w14:ligatures w14:val="none"/>
        </w:rPr>
        <w:t>substantial legislative gap</w:t>
      </w:r>
      <w:r w:rsidRPr="009F2F4E">
        <w:rPr>
          <w:rFonts w:ascii="Times New Roman" w:eastAsia="Times New Roman" w:hAnsi="Times New Roman" w:cs="Times New Roman"/>
          <w:kern w:val="0"/>
          <w14:ligatures w14:val="none"/>
        </w:rPr>
        <w:t>.</w:t>
      </w:r>
    </w:p>
    <w:p w14:paraId="069CDB88"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928727A">
          <v:rect id="_x0000_i1041" style="width:0;height:1.5pt" o:hralign="center" o:hrstd="t" o:hr="t" fillcolor="#a0a0a0" stroked="f"/>
        </w:pict>
      </w:r>
    </w:p>
    <w:p w14:paraId="4A9EA874"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Fifth: The absence of a detailed definition of an “acceptable excuse”</w:t>
      </w:r>
    </w:p>
    <w:p w14:paraId="43B13EE2"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provision uses the flexible standard of:</w:t>
      </w:r>
    </w:p>
    <w:p w14:paraId="01C64EA7"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w:t>
      </w:r>
      <w:proofErr w:type="gramStart"/>
      <w:r w:rsidRPr="009F2F4E">
        <w:rPr>
          <w:rFonts w:ascii="Times New Roman" w:eastAsia="Times New Roman" w:hAnsi="Times New Roman" w:cs="Times New Roman"/>
          <w:kern w:val="0"/>
          <w14:ligatures w14:val="none"/>
        </w:rPr>
        <w:t>an</w:t>
      </w:r>
      <w:proofErr w:type="gramEnd"/>
      <w:r w:rsidRPr="009F2F4E">
        <w:rPr>
          <w:rFonts w:ascii="Times New Roman" w:eastAsia="Times New Roman" w:hAnsi="Times New Roman" w:cs="Times New Roman"/>
          <w:kern w:val="0"/>
          <w14:ligatures w14:val="none"/>
        </w:rPr>
        <w:t xml:space="preserve"> acceptable excuse”</w:t>
      </w:r>
    </w:p>
    <w:p w14:paraId="2FC41B62"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without defining in detail which excuses qualify.</w:t>
      </w:r>
    </w:p>
    <w:p w14:paraId="115B59B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does not necessarily constitute a legislative gap.</w:t>
      </w:r>
    </w:p>
    <w:p w14:paraId="788DAD86"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It may instead be understood as a </w:t>
      </w:r>
      <w:r w:rsidRPr="009F2F4E">
        <w:rPr>
          <w:rFonts w:ascii="Times New Roman" w:eastAsia="Times New Roman" w:hAnsi="Times New Roman" w:cs="Times New Roman"/>
          <w:b/>
          <w:bCs/>
          <w:kern w:val="0"/>
          <w14:ligatures w14:val="none"/>
        </w:rPr>
        <w:t>deliberate legislative choice</w:t>
      </w:r>
      <w:r w:rsidRPr="009F2F4E">
        <w:rPr>
          <w:rFonts w:ascii="Times New Roman" w:eastAsia="Times New Roman" w:hAnsi="Times New Roman" w:cs="Times New Roman"/>
          <w:kern w:val="0"/>
          <w14:ligatures w14:val="none"/>
        </w:rPr>
        <w:t>, because circumstances capable of rendering an absence beyond an employee’s control may be numerous and variable, making it potentially inappropriate to establish a closed list.</w:t>
      </w:r>
    </w:p>
    <w:p w14:paraId="6E46EB0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actual concern therefore lies not necessarily in the flexibility of the standard itself, but rather in the </w:t>
      </w:r>
      <w:r w:rsidRPr="009F2F4E">
        <w:rPr>
          <w:rFonts w:ascii="Times New Roman" w:eastAsia="Times New Roman" w:hAnsi="Times New Roman" w:cs="Times New Roman"/>
          <w:b/>
          <w:bCs/>
          <w:kern w:val="0"/>
          <w14:ligatures w14:val="none"/>
        </w:rPr>
        <w:t>absence of procedural safeguards governing its application</w:t>
      </w:r>
      <w:r w:rsidRPr="009F2F4E">
        <w:rPr>
          <w:rFonts w:ascii="Times New Roman" w:eastAsia="Times New Roman" w:hAnsi="Times New Roman" w:cs="Times New Roman"/>
          <w:kern w:val="0"/>
          <w14:ligatures w14:val="none"/>
        </w:rPr>
        <w:t>.</w:t>
      </w:r>
    </w:p>
    <w:p w14:paraId="31B38DC4"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FBC7BC0">
          <v:rect id="_x0000_i1042" style="width:0;height:1.5pt" o:hralign="center" o:hrstd="t" o:hr="t" fillcolor="#a0a0a0" stroked="f"/>
        </w:pict>
      </w:r>
    </w:p>
    <w:p w14:paraId="5052556B" w14:textId="77777777" w:rsidR="00386AE3" w:rsidRPr="006C6700" w:rsidRDefault="00386AE3" w:rsidP="00386AE3">
      <w:pPr>
        <w:ind w:firstLine="0"/>
        <w:rPr>
          <w:rFonts w:asciiTheme="majorBidi" w:hAnsiTheme="majorBidi" w:cstheme="majorBidi"/>
          <w:b/>
          <w:bCs/>
          <w:sz w:val="27"/>
          <w:szCs w:val="27"/>
        </w:rPr>
      </w:pPr>
      <w:r w:rsidRPr="006C6700">
        <w:rPr>
          <w:rFonts w:asciiTheme="majorBidi" w:hAnsiTheme="majorBidi" w:cstheme="majorBidi"/>
          <w:b/>
          <w:bCs/>
          <w:sz w:val="27"/>
          <w:szCs w:val="27"/>
        </w:rPr>
        <w:t>Sixth: The absence of a detailed identification of the competent authority</w:t>
      </w:r>
    </w:p>
    <w:p w14:paraId="01A3D313"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provision refers to the “competent authority” without specifying it in detail.</w:t>
      </w:r>
    </w:p>
    <w:p w14:paraId="04E5344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alone is insufficient to establish a legislative defect, particularly if the competent authority is identified elsewhere in the regulatory framework.</w:t>
      </w:r>
    </w:p>
    <w:p w14:paraId="6813605B"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Accordingly, I would classify this as a </w:t>
      </w:r>
      <w:r w:rsidRPr="009F2F4E">
        <w:rPr>
          <w:rFonts w:ascii="Times New Roman" w:eastAsia="Times New Roman" w:hAnsi="Times New Roman" w:cs="Times New Roman"/>
          <w:b/>
          <w:bCs/>
          <w:kern w:val="0"/>
          <w14:ligatures w14:val="none"/>
        </w:rPr>
        <w:t>potentially low-significance omission in the provision under examination</w:t>
      </w:r>
      <w:r w:rsidRPr="009F2F4E">
        <w:rPr>
          <w:rFonts w:ascii="Times New Roman" w:eastAsia="Times New Roman" w:hAnsi="Times New Roman" w:cs="Times New Roman"/>
          <w:kern w:val="0"/>
          <w14:ligatures w14:val="none"/>
        </w:rPr>
        <w:t>, rather than a constitutional legislative gap.</w:t>
      </w:r>
    </w:p>
    <w:p w14:paraId="4A648338"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pict w14:anchorId="3CE44EE4">
          <v:rect id="_x0000_i1043" style="width:0;height:1.5pt" o:hralign="center" o:hrstd="t" o:hr="t" fillcolor="#a0a0a0" stroked="f"/>
        </w:pict>
      </w:r>
    </w:p>
    <w:p w14:paraId="0D0AD51C" w14:textId="77777777" w:rsidR="00386AE3" w:rsidRPr="001F4172" w:rsidRDefault="00386AE3" w:rsidP="00386AE3">
      <w:pPr>
        <w:ind w:firstLine="0"/>
        <w:rPr>
          <w:rFonts w:asciiTheme="majorBidi" w:hAnsiTheme="majorBidi" w:cstheme="majorBidi"/>
          <w:b/>
          <w:bCs/>
          <w:sz w:val="36"/>
          <w:szCs w:val="36"/>
        </w:rPr>
      </w:pPr>
      <w:r w:rsidRPr="001F4172">
        <w:rPr>
          <w:rFonts w:asciiTheme="majorBidi" w:hAnsiTheme="majorBidi" w:cstheme="majorBidi"/>
          <w:b/>
          <w:bCs/>
          <w:sz w:val="36"/>
          <w:szCs w:val="36"/>
        </w:rPr>
        <w:t>Conclusion at this stage</w:t>
      </w:r>
    </w:p>
    <w:p w14:paraId="739E5DD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omissions may be ranked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55"/>
        <w:gridCol w:w="2771"/>
      </w:tblGrid>
      <w:tr w:rsidR="00386AE3" w:rsidRPr="009F2F4E" w14:paraId="40B16BB3" w14:textId="77777777" w:rsidTr="00B021F2">
        <w:trPr>
          <w:tblHeader/>
          <w:tblCellSpacing w:w="15" w:type="dxa"/>
        </w:trPr>
        <w:tc>
          <w:tcPr>
            <w:tcW w:w="0" w:type="auto"/>
            <w:vAlign w:val="center"/>
            <w:hideMark/>
          </w:tcPr>
          <w:p w14:paraId="1D8437E3" w14:textId="77777777" w:rsidR="00386AE3" w:rsidRPr="009F2F4E" w:rsidRDefault="00386AE3" w:rsidP="00B021F2">
            <w:pPr>
              <w:spacing w:before="0" w:after="0" w:line="240" w:lineRule="auto"/>
              <w:ind w:firstLine="0"/>
              <w:jc w:val="both"/>
              <w:rPr>
                <w:rFonts w:ascii="Times New Roman" w:eastAsia="Times New Roman" w:hAnsi="Times New Roman" w:cs="Times New Roman"/>
                <w:b/>
                <w:bCs/>
                <w:kern w:val="0"/>
                <w14:ligatures w14:val="none"/>
              </w:rPr>
            </w:pPr>
            <w:r w:rsidRPr="009F2F4E">
              <w:rPr>
                <w:rFonts w:ascii="Times New Roman" w:eastAsia="Times New Roman" w:hAnsi="Times New Roman" w:cs="Times New Roman"/>
                <w:b/>
                <w:bCs/>
                <w:kern w:val="0"/>
                <w14:ligatures w14:val="none"/>
              </w:rPr>
              <w:t>Omission</w:t>
            </w:r>
          </w:p>
        </w:tc>
        <w:tc>
          <w:tcPr>
            <w:tcW w:w="0" w:type="auto"/>
            <w:vAlign w:val="center"/>
            <w:hideMark/>
          </w:tcPr>
          <w:p w14:paraId="7460CD50" w14:textId="77777777" w:rsidR="00386AE3" w:rsidRPr="009F2F4E" w:rsidRDefault="00386AE3" w:rsidP="00B021F2">
            <w:pPr>
              <w:spacing w:before="0" w:after="0" w:line="240" w:lineRule="auto"/>
              <w:ind w:firstLine="0"/>
              <w:jc w:val="both"/>
              <w:rPr>
                <w:rFonts w:ascii="Times New Roman" w:eastAsia="Times New Roman" w:hAnsi="Times New Roman" w:cs="Times New Roman"/>
                <w:b/>
                <w:bCs/>
                <w:kern w:val="0"/>
                <w14:ligatures w14:val="none"/>
              </w:rPr>
            </w:pPr>
            <w:r w:rsidRPr="009F2F4E">
              <w:rPr>
                <w:rFonts w:ascii="Times New Roman" w:eastAsia="Times New Roman" w:hAnsi="Times New Roman" w:cs="Times New Roman"/>
                <w:b/>
                <w:bCs/>
                <w:kern w:val="0"/>
                <w14:ligatures w14:val="none"/>
              </w:rPr>
              <w:t>Significance</w:t>
            </w:r>
          </w:p>
        </w:tc>
      </w:tr>
      <w:tr w:rsidR="00386AE3" w:rsidRPr="009F2F4E" w14:paraId="739A5244" w14:textId="77777777" w:rsidTr="00B021F2">
        <w:trPr>
          <w:tblCellSpacing w:w="15" w:type="dxa"/>
        </w:trPr>
        <w:tc>
          <w:tcPr>
            <w:tcW w:w="0" w:type="auto"/>
            <w:vAlign w:val="center"/>
            <w:hideMark/>
          </w:tcPr>
          <w:p w14:paraId="717D92C2"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Failure expressly to require notification of the employee</w:t>
            </w:r>
          </w:p>
        </w:tc>
        <w:tc>
          <w:tcPr>
            <w:tcW w:w="0" w:type="auto"/>
            <w:vAlign w:val="center"/>
            <w:hideMark/>
          </w:tcPr>
          <w:p w14:paraId="7974096B"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Relatively high</w:t>
            </w:r>
          </w:p>
        </w:tc>
      </w:tr>
      <w:tr w:rsidR="00386AE3" w:rsidRPr="009F2F4E" w14:paraId="09D36F18" w14:textId="77777777" w:rsidTr="00B021F2">
        <w:trPr>
          <w:tblCellSpacing w:w="15" w:type="dxa"/>
        </w:trPr>
        <w:tc>
          <w:tcPr>
            <w:tcW w:w="0" w:type="auto"/>
            <w:vAlign w:val="center"/>
            <w:hideMark/>
          </w:tcPr>
          <w:p w14:paraId="0252F969"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Failure expressly to require that the employee be heard and enabled to defend himself</w:t>
            </w:r>
          </w:p>
        </w:tc>
        <w:tc>
          <w:tcPr>
            <w:tcW w:w="0" w:type="auto"/>
            <w:vAlign w:val="center"/>
            <w:hideMark/>
          </w:tcPr>
          <w:p w14:paraId="4436EA9D"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High</w:t>
            </w:r>
          </w:p>
        </w:tc>
      </w:tr>
      <w:tr w:rsidR="00386AE3" w:rsidRPr="009F2F4E" w14:paraId="03353777" w14:textId="77777777" w:rsidTr="00B021F2">
        <w:trPr>
          <w:tblCellSpacing w:w="15" w:type="dxa"/>
        </w:trPr>
        <w:tc>
          <w:tcPr>
            <w:tcW w:w="0" w:type="auto"/>
            <w:vAlign w:val="center"/>
            <w:hideMark/>
          </w:tcPr>
          <w:p w14:paraId="0F599EF9"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Failure to require reasons for rejecting the excuse</w:t>
            </w:r>
          </w:p>
        </w:tc>
        <w:tc>
          <w:tcPr>
            <w:tcW w:w="0" w:type="auto"/>
            <w:vAlign w:val="center"/>
            <w:hideMark/>
          </w:tcPr>
          <w:p w14:paraId="7C347338"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Moderate to high</w:t>
            </w:r>
          </w:p>
        </w:tc>
      </w:tr>
      <w:tr w:rsidR="00386AE3" w:rsidRPr="009F2F4E" w14:paraId="4D93305C" w14:textId="77777777" w:rsidTr="00B021F2">
        <w:trPr>
          <w:tblCellSpacing w:w="15" w:type="dxa"/>
        </w:trPr>
        <w:tc>
          <w:tcPr>
            <w:tcW w:w="0" w:type="auto"/>
            <w:vAlign w:val="center"/>
            <w:hideMark/>
          </w:tcPr>
          <w:p w14:paraId="2B9D771F"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Absence of a special grievance procedure</w:t>
            </w:r>
          </w:p>
        </w:tc>
        <w:tc>
          <w:tcPr>
            <w:tcW w:w="0" w:type="auto"/>
            <w:vAlign w:val="center"/>
            <w:hideMark/>
          </w:tcPr>
          <w:p w14:paraId="52EF9E27"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Low</w:t>
            </w:r>
          </w:p>
        </w:tc>
      </w:tr>
      <w:tr w:rsidR="00386AE3" w:rsidRPr="009F2F4E" w14:paraId="5656158A" w14:textId="77777777" w:rsidTr="00B021F2">
        <w:trPr>
          <w:tblCellSpacing w:w="15" w:type="dxa"/>
        </w:trPr>
        <w:tc>
          <w:tcPr>
            <w:tcW w:w="0" w:type="auto"/>
            <w:vAlign w:val="center"/>
            <w:hideMark/>
          </w:tcPr>
          <w:p w14:paraId="22B30C5F"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Failure to define “acceptable excuse” in detail</w:t>
            </w:r>
          </w:p>
        </w:tc>
        <w:tc>
          <w:tcPr>
            <w:tcW w:w="0" w:type="auto"/>
            <w:vAlign w:val="center"/>
            <w:hideMark/>
          </w:tcPr>
          <w:p w14:paraId="49EE4EE9"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Low; closer to a legislative choice</w:t>
            </w:r>
          </w:p>
        </w:tc>
      </w:tr>
      <w:tr w:rsidR="00386AE3" w:rsidRPr="009F2F4E" w14:paraId="1513F2A4" w14:textId="77777777" w:rsidTr="00B021F2">
        <w:trPr>
          <w:tblCellSpacing w:w="15" w:type="dxa"/>
        </w:trPr>
        <w:tc>
          <w:tcPr>
            <w:tcW w:w="0" w:type="auto"/>
            <w:vAlign w:val="center"/>
            <w:hideMark/>
          </w:tcPr>
          <w:p w14:paraId="3F852141"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Failure to identify the competent authority within the provision</w:t>
            </w:r>
          </w:p>
        </w:tc>
        <w:tc>
          <w:tcPr>
            <w:tcW w:w="0" w:type="auto"/>
            <w:vAlign w:val="center"/>
            <w:hideMark/>
          </w:tcPr>
          <w:p w14:paraId="71599772" w14:textId="77777777" w:rsidR="00386AE3" w:rsidRPr="009F2F4E" w:rsidRDefault="00386AE3" w:rsidP="00B021F2">
            <w:pPr>
              <w:spacing w:before="0" w:after="0"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Low, if identified elsewhere</w:t>
            </w:r>
          </w:p>
        </w:tc>
      </w:tr>
    </w:tbl>
    <w:p w14:paraId="39504BBB"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DB34803">
          <v:rect id="_x0000_i1044" style="width:0;height:1.5pt" o:hralign="center" o:hrstd="t" o:hr="t" fillcolor="#a0a0a0" stroked="f"/>
        </w:pict>
      </w:r>
    </w:p>
    <w:p w14:paraId="587609B7"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3. Constitutional Assessment</w:t>
      </w:r>
    </w:p>
    <w:p w14:paraId="435FA7F1" w14:textId="77777777" w:rsidR="00386AE3" w:rsidRPr="001F4172" w:rsidRDefault="00386AE3" w:rsidP="00386AE3">
      <w:pPr>
        <w:ind w:firstLine="0"/>
        <w:rPr>
          <w:rFonts w:asciiTheme="majorBidi" w:hAnsiTheme="majorBidi" w:cstheme="majorBidi"/>
          <w:b/>
          <w:bCs/>
          <w:sz w:val="36"/>
          <w:szCs w:val="36"/>
        </w:rPr>
      </w:pPr>
      <w:r w:rsidRPr="001F4172">
        <w:rPr>
          <w:rFonts w:asciiTheme="majorBidi" w:hAnsiTheme="majorBidi" w:cstheme="majorBidi"/>
          <w:b/>
          <w:bCs/>
          <w:sz w:val="36"/>
          <w:szCs w:val="36"/>
        </w:rPr>
        <w:t>A. The argument that the omission raises a constitutional problem</w:t>
      </w:r>
    </w:p>
    <w:p w14:paraId="47BAA90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strongest constitutional approach here is not to argue that the Constitution imposes a particular procedural form of investigation in every case. Rather, the issue should be examined through the interaction between </w:t>
      </w:r>
      <w:r w:rsidRPr="009F2F4E">
        <w:rPr>
          <w:rFonts w:ascii="Times New Roman" w:eastAsia="Times New Roman" w:hAnsi="Times New Roman" w:cs="Times New Roman"/>
          <w:b/>
          <w:bCs/>
          <w:kern w:val="0"/>
          <w14:ligatures w14:val="none"/>
        </w:rPr>
        <w:t>constitutional protection of public employment, the rule of law, the right of access to justice, and the procedural safeguards necessary to protect the right being regulated</w:t>
      </w:r>
      <w:r w:rsidRPr="009F2F4E">
        <w:rPr>
          <w:rFonts w:ascii="Times New Roman" w:eastAsia="Times New Roman" w:hAnsi="Times New Roman" w:cs="Times New Roman"/>
          <w:kern w:val="0"/>
          <w14:ligatures w14:val="none"/>
        </w:rPr>
        <w:t>.</w:t>
      </w:r>
    </w:p>
    <w:p w14:paraId="5EF47C7D"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1. Protection of public employment</w:t>
      </w:r>
    </w:p>
    <w:p w14:paraId="6458B1A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Article 14 of the 2014 Egyptian Constitution provides that public employment is a right of citizens and guarantees the State’s protection of the rights and interests of public employees. It also provides that public employees may not be dismissed except through the disciplinary route, save in cases specified by law.</w:t>
      </w:r>
    </w:p>
    <w:p w14:paraId="39A4699A"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provision is particularly important in the present context.</w:t>
      </w:r>
    </w:p>
    <w:p w14:paraId="7373FE2D"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If the legal consequence of the provision is termination of an employee’s service as a result of absence, the constitutional question is not merely:</w:t>
      </w:r>
    </w:p>
    <w:p w14:paraId="43EAFE42"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Is the legislature permitted to make prolonged unauthorized absence a ground for termination of service?</w:t>
      </w:r>
    </w:p>
    <w:p w14:paraId="2928F1D6"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preliminary answer is: </w:t>
      </w:r>
      <w:r w:rsidRPr="009F2F4E">
        <w:rPr>
          <w:rFonts w:ascii="Times New Roman" w:eastAsia="Times New Roman" w:hAnsi="Times New Roman" w:cs="Times New Roman"/>
          <w:b/>
          <w:bCs/>
          <w:kern w:val="0"/>
          <w14:ligatures w14:val="none"/>
        </w:rPr>
        <w:t>yes, in principle, the legislature may regulate the circumstances and conditions governing the termination of public employment.</w:t>
      </w:r>
    </w:p>
    <w:p w14:paraId="22D259A3"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lastRenderedPageBreak/>
        <w:t>The more precise question is:</w:t>
      </w:r>
    </w:p>
    <w:p w14:paraId="7AC59336"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May such a serious consequence arise without providing an adequate procedural safeguard to verify that the employee was in fact in a situation of unjustified absence?</w:t>
      </w:r>
    </w:p>
    <w:p w14:paraId="08AD6606"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is where the constitutional issue becomes more substantial.</w:t>
      </w:r>
    </w:p>
    <w:p w14:paraId="7F2F9AC4"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2. The rule of law</w:t>
      </w:r>
    </w:p>
    <w:p w14:paraId="60513FF2"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Article 94 of the Constitution establishes the rule of law as the basis of governance and links it to the protection of rights and freedoms.</w:t>
      </w:r>
    </w:p>
    <w:p w14:paraId="280F12BD"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provision under examination grants the competent authority discretion in determining whether an excuse is acceptable, and then makes rejection of the excuse a ground for termination of service.</w:t>
      </w:r>
    </w:p>
    <w:p w14:paraId="654E9EB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more serious the consequence of the decision, the greater the importance of establishing a procedural framework that permits the facts to be assessed objectively.</w:t>
      </w:r>
    </w:p>
    <w:p w14:paraId="142CE72C"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3. Right of access to justice</w:t>
      </w:r>
    </w:p>
    <w:p w14:paraId="19AD3809"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Article 97 of the Constitution guarantees access to the courts and prohibits immunizing administrative decisions from judicial review.</w:t>
      </w:r>
    </w:p>
    <w:p w14:paraId="254B7BD3"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This consideration also strongly supports the constitutionality of the provision, because the provision </w:t>
      </w:r>
      <w:r w:rsidRPr="009F2F4E">
        <w:rPr>
          <w:rFonts w:ascii="Times New Roman" w:eastAsia="Times New Roman" w:hAnsi="Times New Roman" w:cs="Times New Roman"/>
          <w:b/>
          <w:bCs/>
          <w:kern w:val="0"/>
          <w14:ligatures w14:val="none"/>
        </w:rPr>
        <w:t>does not immunize the decision rejecting the employee’s excuse from judicial review</w:t>
      </w:r>
      <w:r w:rsidRPr="009F2F4E">
        <w:rPr>
          <w:rFonts w:ascii="Times New Roman" w:eastAsia="Times New Roman" w:hAnsi="Times New Roman" w:cs="Times New Roman"/>
          <w:kern w:val="0"/>
          <w14:ligatures w14:val="none"/>
        </w:rPr>
        <w:t>.</w:t>
      </w:r>
    </w:p>
    <w:p w14:paraId="5BDA1D3A"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Accordingly, an employee who considers that the competent authority wrongly rejected his excuse may, in principle, challenge the decision before the competent court in accordance with the applicable judicial framework.</w:t>
      </w:r>
    </w:p>
    <w:p w14:paraId="59A01029"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constitutes a strong argument against a finding of unconstitutionality.</w:t>
      </w:r>
    </w:p>
    <w:p w14:paraId="6C98E9C8"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1DE6400">
          <v:rect id="_x0000_i1045" style="width:0;height:1.5pt" o:hralign="center" o:hrstd="t" o:hr="t" fillcolor="#a0a0a0" stroked="f"/>
        </w:pict>
      </w:r>
    </w:p>
    <w:p w14:paraId="414D8548" w14:textId="77777777" w:rsidR="00386AE3" w:rsidRPr="001F4172" w:rsidRDefault="00386AE3" w:rsidP="00386AE3">
      <w:pPr>
        <w:ind w:firstLine="0"/>
        <w:rPr>
          <w:rFonts w:asciiTheme="majorBidi" w:hAnsiTheme="majorBidi" w:cstheme="majorBidi"/>
          <w:b/>
          <w:bCs/>
          <w:sz w:val="36"/>
          <w:szCs w:val="36"/>
        </w:rPr>
      </w:pPr>
      <w:r w:rsidRPr="001F4172">
        <w:rPr>
          <w:rFonts w:asciiTheme="majorBidi" w:hAnsiTheme="majorBidi" w:cstheme="majorBidi"/>
          <w:b/>
          <w:bCs/>
          <w:sz w:val="36"/>
          <w:szCs w:val="36"/>
        </w:rPr>
        <w:t>B. The counterargument: why the provision may remain constitutional despite the absence of certain safeguards</w:t>
      </w:r>
    </w:p>
    <w:p w14:paraId="55FEFD16"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There are several strong reasons supporting this position.</w:t>
      </w:r>
    </w:p>
    <w:p w14:paraId="32401E58"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 xml:space="preserve">First: The provision itself provides an initial opportunity for </w:t>
      </w:r>
      <w:proofErr w:type="spellStart"/>
      <w:r w:rsidRPr="0007652A">
        <w:rPr>
          <w:rFonts w:asciiTheme="majorBidi" w:hAnsiTheme="majorBidi" w:cstheme="majorBidi"/>
          <w:b/>
          <w:bCs/>
          <w:sz w:val="27"/>
          <w:szCs w:val="27"/>
        </w:rPr>
        <w:t>defence</w:t>
      </w:r>
      <w:proofErr w:type="spellEnd"/>
    </w:p>
    <w:p w14:paraId="60D8D847"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employee does not lose his employment automatically on the thirtieth day.</w:t>
      </w:r>
    </w:p>
    <w:p w14:paraId="79EE127A"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lastRenderedPageBreak/>
        <w:t xml:space="preserve">The provision gives him an additional period of </w:t>
      </w:r>
      <w:r w:rsidRPr="009F2F4E">
        <w:rPr>
          <w:rFonts w:ascii="Times New Roman" w:eastAsia="Times New Roman" w:hAnsi="Times New Roman" w:cs="Times New Roman"/>
          <w:b/>
          <w:bCs/>
          <w:kern w:val="0"/>
          <w14:ligatures w14:val="none"/>
        </w:rPr>
        <w:t>fifteen days</w:t>
      </w:r>
      <w:r w:rsidRPr="009F2F4E">
        <w:rPr>
          <w:rFonts w:ascii="Times New Roman" w:eastAsia="Times New Roman" w:hAnsi="Times New Roman" w:cs="Times New Roman"/>
          <w:kern w:val="0"/>
          <w14:ligatures w14:val="none"/>
        </w:rPr>
        <w:t xml:space="preserve"> in which to submit evidence demonstrating that his absence was beyond his control and based on an acceptable excuse.</w:t>
      </w:r>
    </w:p>
    <w:p w14:paraId="3D47C7BC"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is not an illusory safeguard; it provides a genuine opportunity to submit reasons and supporting documents.</w:t>
      </w:r>
    </w:p>
    <w:p w14:paraId="05C6430E"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Second: The provision does not exclude judicial review</w:t>
      </w:r>
    </w:p>
    <w:p w14:paraId="220715B4"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decision is not immune from challenge.</w:t>
      </w:r>
    </w:p>
    <w:p w14:paraId="04D854EA"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Accordingly, an employee who believes that the competent authority improperly rejected his excuse may challenge the decision before the competent court under the applicable legal rules.</w:t>
      </w:r>
    </w:p>
    <w:p w14:paraId="7A3E4329"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substantially reduces the force of the constitutional objection.</w:t>
      </w:r>
    </w:p>
    <w:p w14:paraId="41A377E7"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Third: There is no general constitutional rule requiring every termination decision to be preceded by a formal disciplinary investigation</w:t>
      </w:r>
    </w:p>
    <w:p w14:paraId="373BA412"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Article 14 itself recognizes exceptions to the general rule concerning dismissal without the disciplinary route by referring to cases determined by law.</w:t>
      </w:r>
    </w:p>
    <w:p w14:paraId="06122780"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Accordingly, the legislature may, in principle, establish legal circumstances in which service terminates without necessarily treating the matter as a traditional disciplinary sanction.</w:t>
      </w:r>
    </w:p>
    <w:p w14:paraId="01820EA1"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It therefore cannot be assumed that the absence of a formal “disciplinary investigation” necessarily renders the provision unconstitutional.</w:t>
      </w:r>
    </w:p>
    <w:p w14:paraId="7577E1A5"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BAEFD5C">
          <v:rect id="_x0000_i1046" style="width:0;height:1.5pt" o:hralign="center" o:hrstd="t" o:hr="t" fillcolor="#a0a0a0" stroked="f"/>
        </w:pict>
      </w:r>
    </w:p>
    <w:p w14:paraId="131868C3" w14:textId="77777777" w:rsidR="00386AE3" w:rsidRPr="001F4172" w:rsidRDefault="00386AE3" w:rsidP="00386AE3">
      <w:pPr>
        <w:ind w:firstLine="0"/>
        <w:rPr>
          <w:rFonts w:asciiTheme="majorBidi" w:hAnsiTheme="majorBidi" w:cstheme="majorBidi"/>
          <w:b/>
          <w:bCs/>
          <w:sz w:val="36"/>
          <w:szCs w:val="36"/>
        </w:rPr>
      </w:pPr>
      <w:r w:rsidRPr="001F4172">
        <w:rPr>
          <w:rFonts w:asciiTheme="majorBidi" w:hAnsiTheme="majorBidi" w:cstheme="majorBidi"/>
          <w:b/>
          <w:bCs/>
          <w:sz w:val="36"/>
          <w:szCs w:val="36"/>
        </w:rPr>
        <w:t xml:space="preserve">An important point: Does Article 98 concerning the right of </w:t>
      </w:r>
      <w:proofErr w:type="spellStart"/>
      <w:r w:rsidRPr="001F4172">
        <w:rPr>
          <w:rFonts w:asciiTheme="majorBidi" w:hAnsiTheme="majorBidi" w:cstheme="majorBidi"/>
          <w:b/>
          <w:bCs/>
          <w:sz w:val="36"/>
          <w:szCs w:val="36"/>
        </w:rPr>
        <w:t>defence</w:t>
      </w:r>
      <w:proofErr w:type="spellEnd"/>
      <w:r w:rsidRPr="001F4172">
        <w:rPr>
          <w:rFonts w:asciiTheme="majorBidi" w:hAnsiTheme="majorBidi" w:cstheme="majorBidi"/>
          <w:b/>
          <w:bCs/>
          <w:sz w:val="36"/>
          <w:szCs w:val="36"/>
        </w:rPr>
        <w:t xml:space="preserve"> apply directly?</w:t>
      </w:r>
    </w:p>
    <w:p w14:paraId="2A77BC8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Article 98 provides that the “right of </w:t>
      </w:r>
      <w:proofErr w:type="spellStart"/>
      <w:r w:rsidRPr="009F2F4E">
        <w:rPr>
          <w:rFonts w:ascii="Times New Roman" w:eastAsia="Times New Roman" w:hAnsi="Times New Roman" w:cs="Times New Roman"/>
          <w:kern w:val="0"/>
          <w14:ligatures w14:val="none"/>
        </w:rPr>
        <w:t>defence</w:t>
      </w:r>
      <w:proofErr w:type="spellEnd"/>
      <w:r w:rsidRPr="009F2F4E">
        <w:rPr>
          <w:rFonts w:ascii="Times New Roman" w:eastAsia="Times New Roman" w:hAnsi="Times New Roman" w:cs="Times New Roman"/>
          <w:kern w:val="0"/>
          <w14:ligatures w14:val="none"/>
        </w:rPr>
        <w:t>, whether exercised personally or through representation, is guaranteed.” However, it appears within the constitutional framework governing guarantees of litigation and access to justice.</w:t>
      </w:r>
    </w:p>
    <w:p w14:paraId="4E898AD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It would therefore be excessive to argue that Article 98, by itself, requires every administrative authority to conduct an oral hearing before adopting any employment-related decision.</w:t>
      </w:r>
    </w:p>
    <w:p w14:paraId="0DA16D73"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stronger constitutional approach is to rely on </w:t>
      </w:r>
      <w:r w:rsidRPr="009F2F4E">
        <w:rPr>
          <w:rFonts w:ascii="Times New Roman" w:eastAsia="Times New Roman" w:hAnsi="Times New Roman" w:cs="Times New Roman"/>
          <w:b/>
          <w:bCs/>
          <w:kern w:val="0"/>
          <w14:ligatures w14:val="none"/>
        </w:rPr>
        <w:t>the rule of law, the protection of public employment, and the effectiveness of judicial protection</w:t>
      </w:r>
      <w:r w:rsidRPr="009F2F4E">
        <w:rPr>
          <w:rFonts w:ascii="Times New Roman" w:eastAsia="Times New Roman" w:hAnsi="Times New Roman" w:cs="Times New Roman"/>
          <w:kern w:val="0"/>
          <w14:ligatures w14:val="none"/>
        </w:rPr>
        <w:t xml:space="preserve"> when assessing whether the procedural framework is adequate, rather than transforming Article 98 into a general procedural rule applicable to every administrative decision.</w:t>
      </w:r>
    </w:p>
    <w:p w14:paraId="04F07F7E"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33A9675">
          <v:rect id="_x0000_i1047" style="width:0;height:1.5pt" o:hralign="center" o:hrstd="t" o:hr="t" fillcolor="#a0a0a0" stroked="f"/>
        </w:pict>
      </w:r>
    </w:p>
    <w:p w14:paraId="1957A66B"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lastRenderedPageBreak/>
        <w:t>4. Legislative-Gap Classification</w:t>
      </w:r>
    </w:p>
    <w:p w14:paraId="52981FB3"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After weighing the competing arguments, the most accurate classification is:</w:t>
      </w:r>
    </w:p>
    <w:p w14:paraId="31050526"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Material legislative gap — a material legislative gap, without conclusively establishing that it is a constitutionally significant omission</w:t>
      </w:r>
    </w:p>
    <w:p w14:paraId="28A3449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provision reveals a genuine deficiency in its procedural structure, but it </w:t>
      </w:r>
      <w:r w:rsidRPr="009F2F4E">
        <w:rPr>
          <w:rFonts w:ascii="Times New Roman" w:eastAsia="Times New Roman" w:hAnsi="Times New Roman" w:cs="Times New Roman"/>
          <w:b/>
          <w:bCs/>
          <w:kern w:val="0"/>
          <w14:ligatures w14:val="none"/>
        </w:rPr>
        <w:t>does not, by itself, justify the conclusion that a constitutional violation has necessarily occurred</w:t>
      </w:r>
      <w:r w:rsidRPr="009F2F4E">
        <w:rPr>
          <w:rFonts w:ascii="Times New Roman" w:eastAsia="Times New Roman" w:hAnsi="Times New Roman" w:cs="Times New Roman"/>
          <w:kern w:val="0"/>
          <w14:ligatures w14:val="none"/>
        </w:rPr>
        <w:t>.</w:t>
      </w:r>
    </w:p>
    <w:p w14:paraId="1A8B4121"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reason is that the provision combines:</w:t>
      </w:r>
    </w:p>
    <w:p w14:paraId="6B4E5485" w14:textId="77777777" w:rsidR="00386AE3" w:rsidRPr="009F2F4E" w:rsidRDefault="00386AE3" w:rsidP="00386AE3">
      <w:pPr>
        <w:numPr>
          <w:ilvl w:val="0"/>
          <w:numId w:val="34"/>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 highly serious consequence, namely termination of service;</w:t>
      </w:r>
    </w:p>
    <w:p w14:paraId="370D61BC" w14:textId="77777777" w:rsidR="00386AE3" w:rsidRPr="009F2F4E" w:rsidRDefault="00386AE3" w:rsidP="00386AE3">
      <w:pPr>
        <w:numPr>
          <w:ilvl w:val="0"/>
          <w:numId w:val="34"/>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discretionary authority to accept or reject an excuse;</w:t>
      </w:r>
    </w:p>
    <w:p w14:paraId="176B4709" w14:textId="77777777" w:rsidR="00386AE3" w:rsidRPr="009F2F4E" w:rsidRDefault="00386AE3" w:rsidP="00386AE3">
      <w:pPr>
        <w:numPr>
          <w:ilvl w:val="0"/>
          <w:numId w:val="34"/>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absence of detailed regulation governing the examination of the excuse;</w:t>
      </w:r>
    </w:p>
    <w:p w14:paraId="0990E0AA" w14:textId="77777777" w:rsidR="00386AE3" w:rsidRPr="009F2F4E" w:rsidRDefault="00386AE3" w:rsidP="00386AE3">
      <w:pPr>
        <w:numPr>
          <w:ilvl w:val="0"/>
          <w:numId w:val="34"/>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with an express opportunity for the employee to defend himself;</w:t>
      </w:r>
    </w:p>
    <w:p w14:paraId="16079CAC" w14:textId="77777777" w:rsidR="00386AE3" w:rsidRPr="009F2F4E" w:rsidRDefault="00386AE3" w:rsidP="00386AE3">
      <w:pPr>
        <w:numPr>
          <w:ilvl w:val="0"/>
          <w:numId w:val="34"/>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possibility of submitting supporting documents;</w:t>
      </w:r>
    </w:p>
    <w:p w14:paraId="3D122DD4" w14:textId="77777777" w:rsidR="00386AE3" w:rsidRPr="009F2F4E" w:rsidRDefault="00386AE3" w:rsidP="00386AE3">
      <w:pPr>
        <w:numPr>
          <w:ilvl w:val="0"/>
          <w:numId w:val="34"/>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and the absence of any express immunity from judicial review.</w:t>
      </w:r>
    </w:p>
    <w:p w14:paraId="7D74F275"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It would therefore be methodologically inappropriate to classify the case immediately as a:</w:t>
      </w:r>
    </w:p>
    <w:p w14:paraId="0A86678C"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w:t>
      </w:r>
      <w:proofErr w:type="gramStart"/>
      <w:r w:rsidRPr="009F2F4E">
        <w:rPr>
          <w:rFonts w:ascii="Times New Roman" w:eastAsia="Times New Roman" w:hAnsi="Times New Roman" w:cs="Times New Roman"/>
          <w:kern w:val="0"/>
          <w14:ligatures w14:val="none"/>
        </w:rPr>
        <w:t>constitutionally</w:t>
      </w:r>
      <w:proofErr w:type="gramEnd"/>
      <w:r w:rsidRPr="009F2F4E">
        <w:rPr>
          <w:rFonts w:ascii="Times New Roman" w:eastAsia="Times New Roman" w:hAnsi="Times New Roman" w:cs="Times New Roman"/>
          <w:kern w:val="0"/>
          <w14:ligatures w14:val="none"/>
        </w:rPr>
        <w:t xml:space="preserve"> significant legislative omission.”</w:t>
      </w:r>
    </w:p>
    <w:p w14:paraId="613F0ED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Such a classification would require an additional step: demonstrating that the minimum level of procedural protection required by the Constitution </w:t>
      </w:r>
      <w:r w:rsidRPr="009F2F4E">
        <w:rPr>
          <w:rFonts w:ascii="Times New Roman" w:eastAsia="Times New Roman" w:hAnsi="Times New Roman" w:cs="Times New Roman"/>
          <w:b/>
          <w:bCs/>
          <w:kern w:val="0"/>
          <w14:ligatures w14:val="none"/>
        </w:rPr>
        <w:t>is absent from the legal system as a whole</w:t>
      </w:r>
      <w:r w:rsidRPr="009F2F4E">
        <w:rPr>
          <w:rFonts w:ascii="Times New Roman" w:eastAsia="Times New Roman" w:hAnsi="Times New Roman" w:cs="Times New Roman"/>
          <w:kern w:val="0"/>
          <w14:ligatures w14:val="none"/>
        </w:rPr>
        <w:t>, rather than merely absent from Article 108 itself.</w:t>
      </w:r>
    </w:p>
    <w:p w14:paraId="4B295C05"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That has not been established on the basis of the text supplied alone.</w:t>
      </w:r>
    </w:p>
    <w:p w14:paraId="0CBC06B5"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9AABD6D">
          <v:rect id="_x0000_i1048" style="width:0;height:1.5pt" o:hralign="center" o:hrstd="t" o:hr="t" fillcolor="#a0a0a0" stroked="f"/>
        </w:pict>
      </w:r>
    </w:p>
    <w:p w14:paraId="245A0DE5"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5. Judicial-Review Perspective</w:t>
      </w:r>
    </w:p>
    <w:p w14:paraId="2DD3D040"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Assume that an employee challenges the constitutionality of the provision on the ground that it fails to provide adequate safeguards before termination of service. The constitutional court would face two distinct questions.</w:t>
      </w:r>
    </w:p>
    <w:p w14:paraId="31E8FAB9"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First question: Does the legislature have authority to establish this ground for termination of service?</w:t>
      </w:r>
    </w:p>
    <w:p w14:paraId="51E74C05"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In principle, the legislature has authority to regulate public employment and determine the conditions governing its continuation and termination, provided that it does not conflict with constitutional limitations.</w:t>
      </w:r>
    </w:p>
    <w:p w14:paraId="315C3A3A"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lastRenderedPageBreak/>
        <w:t>The basic idea underlying the provision does not appear, in itself, unlawful merely because it treats prolonged unauthorized absence as a ground for termination of service.</w:t>
      </w:r>
    </w:p>
    <w:p w14:paraId="3A3297D1"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Second question: Is the procedural mechanism chosen by the legislature adequate?</w:t>
      </w:r>
    </w:p>
    <w:p w14:paraId="41F6F11C"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is the central issue.</w:t>
      </w:r>
    </w:p>
    <w:p w14:paraId="398CA440"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court would observe that the provision:</w:t>
      </w:r>
    </w:p>
    <w:p w14:paraId="6386065C" w14:textId="77777777" w:rsidR="00386AE3" w:rsidRPr="009F2F4E" w:rsidRDefault="00386AE3" w:rsidP="00386AE3">
      <w:pPr>
        <w:numPr>
          <w:ilvl w:val="0"/>
          <w:numId w:val="35"/>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identifies the relevant conduct and period;</w:t>
      </w:r>
    </w:p>
    <w:p w14:paraId="27AEF2D5" w14:textId="77777777" w:rsidR="00386AE3" w:rsidRPr="009F2F4E" w:rsidRDefault="00386AE3" w:rsidP="00386AE3">
      <w:pPr>
        <w:numPr>
          <w:ilvl w:val="0"/>
          <w:numId w:val="35"/>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grants the employee an additional period;</w:t>
      </w:r>
    </w:p>
    <w:p w14:paraId="7DA68F12" w14:textId="77777777" w:rsidR="00386AE3" w:rsidRPr="009F2F4E" w:rsidRDefault="00386AE3" w:rsidP="00386AE3">
      <w:pPr>
        <w:numPr>
          <w:ilvl w:val="0"/>
          <w:numId w:val="35"/>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permits him to submit reasons and supporting documents;</w:t>
      </w:r>
    </w:p>
    <w:p w14:paraId="79CBA07E" w14:textId="77777777" w:rsidR="00386AE3" w:rsidRPr="009F2F4E" w:rsidRDefault="00386AE3" w:rsidP="00386AE3">
      <w:pPr>
        <w:numPr>
          <w:ilvl w:val="0"/>
          <w:numId w:val="35"/>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entrusts the competent authority with assessing the excuse;</w:t>
      </w:r>
    </w:p>
    <w:p w14:paraId="13D904D3" w14:textId="77777777" w:rsidR="00386AE3" w:rsidRPr="009F2F4E" w:rsidRDefault="00386AE3" w:rsidP="00386AE3">
      <w:pPr>
        <w:numPr>
          <w:ilvl w:val="0"/>
          <w:numId w:val="35"/>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and, in principle, leaves the decision subject to judicial review.</w:t>
      </w:r>
    </w:p>
    <w:p w14:paraId="079AE0A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On the other hand, the court would also observe:</w:t>
      </w:r>
    </w:p>
    <w:p w14:paraId="5BA943E1" w14:textId="77777777" w:rsidR="00386AE3" w:rsidRPr="009F2F4E" w:rsidRDefault="00386AE3" w:rsidP="00386AE3">
      <w:pPr>
        <w:numPr>
          <w:ilvl w:val="0"/>
          <w:numId w:val="36"/>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absence of an express notification requirement;</w:t>
      </w:r>
    </w:p>
    <w:p w14:paraId="079DE715" w14:textId="77777777" w:rsidR="00386AE3" w:rsidRPr="009F2F4E" w:rsidRDefault="00386AE3" w:rsidP="00386AE3">
      <w:pPr>
        <w:numPr>
          <w:ilvl w:val="0"/>
          <w:numId w:val="36"/>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absence of a specific hearing procedure;</w:t>
      </w:r>
    </w:p>
    <w:p w14:paraId="4FB6CA06" w14:textId="77777777" w:rsidR="00386AE3" w:rsidRPr="009F2F4E" w:rsidRDefault="00386AE3" w:rsidP="00386AE3">
      <w:pPr>
        <w:numPr>
          <w:ilvl w:val="0"/>
          <w:numId w:val="36"/>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absence of an express requirement to provide reasons;</w:t>
      </w:r>
    </w:p>
    <w:p w14:paraId="32712744" w14:textId="77777777" w:rsidR="00386AE3" w:rsidRPr="009F2F4E" w:rsidRDefault="00386AE3" w:rsidP="00386AE3">
      <w:pPr>
        <w:numPr>
          <w:ilvl w:val="0"/>
          <w:numId w:val="36"/>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absence of detailed procedures for examining the excuse;</w:t>
      </w:r>
    </w:p>
    <w:p w14:paraId="39FC2270" w14:textId="77777777" w:rsidR="00386AE3" w:rsidRPr="009F2F4E" w:rsidRDefault="00386AE3" w:rsidP="00386AE3">
      <w:pPr>
        <w:numPr>
          <w:ilvl w:val="0"/>
          <w:numId w:val="36"/>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and the imposition of a highly serious retroactive consequence based on the rejection of the submitted reasons.</w:t>
      </w:r>
    </w:p>
    <w:p w14:paraId="18C1E826"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Which argument is stronger?</w:t>
      </w:r>
    </w:p>
    <w:p w14:paraId="61F3BBE4"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In my assessment, the stronger argument is not that the entire provision is unconstitutional, but rather that it contains a procedural deficiency that could be remedied by introducing a specific procedural safeguard.</w:t>
      </w:r>
    </w:p>
    <w:p w14:paraId="5E7BFB9C"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 declaration of unconstitutionality would require establishing that the deficiency reaches the level at which the constitutional protection of public employment has become ineffective.</w:t>
      </w:r>
    </w:p>
    <w:p w14:paraId="55706B15"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That conclusion is not inevitable here, because the provision does not deprive the employee entirely of an opportunity to defend himself and does not immunize the decision from judicial review.</w:t>
      </w:r>
    </w:p>
    <w:p w14:paraId="54C8F58B"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Accordingly, </w:t>
      </w:r>
      <w:r w:rsidRPr="009F2F4E">
        <w:rPr>
          <w:rFonts w:ascii="Times New Roman" w:eastAsia="Times New Roman" w:hAnsi="Times New Roman" w:cs="Times New Roman"/>
          <w:b/>
          <w:bCs/>
          <w:kern w:val="0"/>
          <w14:ligatures w14:val="none"/>
        </w:rPr>
        <w:t>a constitutional challenge based solely on the absence of a formal investigation appears weaker than an argument based on inadequate procedural safeguards</w:t>
      </w:r>
      <w:r w:rsidRPr="009F2F4E">
        <w:rPr>
          <w:rFonts w:ascii="Times New Roman" w:eastAsia="Times New Roman" w:hAnsi="Times New Roman" w:cs="Times New Roman"/>
          <w:kern w:val="0"/>
          <w14:ligatures w14:val="none"/>
        </w:rPr>
        <w:t>.</w:t>
      </w:r>
    </w:p>
    <w:p w14:paraId="3C80CB6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This is consistent with the nature of Egyptian constitutional review of regulations, under which the Supreme Constitutional Court exercises constitutional review over laws and regulations through the mechanisms established by the Supreme Constitutional Court Law.</w:t>
      </w:r>
    </w:p>
    <w:p w14:paraId="3409376B" w14:textId="77777777" w:rsidR="00386AE3" w:rsidRPr="009F2F4E" w:rsidRDefault="00000000" w:rsidP="00386AE3">
      <w:pPr>
        <w:spacing w:before="0" w:after="0" w:line="240" w:lineRule="auto"/>
        <w:ind w:firstLine="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631DDE8">
          <v:rect id="_x0000_i1049" style="width:0;height:1.5pt" o:hralign="center" o:hrstd="t" o:hr="t" fillcolor="#a0a0a0" stroked="f"/>
        </w:pict>
      </w:r>
    </w:p>
    <w:p w14:paraId="609FD265"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lastRenderedPageBreak/>
        <w:t>6. Proposed Legislative Amendment</w:t>
      </w:r>
    </w:p>
    <w:p w14:paraId="6E575451"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Because I consider the provision to contain a </w:t>
      </w:r>
      <w:r w:rsidRPr="009F2F4E">
        <w:rPr>
          <w:rFonts w:ascii="Times New Roman" w:eastAsia="Times New Roman" w:hAnsi="Times New Roman" w:cs="Times New Roman"/>
          <w:b/>
          <w:bCs/>
          <w:kern w:val="0"/>
          <w14:ligatures w14:val="none"/>
        </w:rPr>
        <w:t>material procedural gap</w:t>
      </w:r>
      <w:r w:rsidRPr="009F2F4E">
        <w:rPr>
          <w:rFonts w:ascii="Times New Roman" w:eastAsia="Times New Roman" w:hAnsi="Times New Roman" w:cs="Times New Roman"/>
          <w:kern w:val="0"/>
          <w14:ligatures w14:val="none"/>
        </w:rPr>
        <w:t>, a limited amendment would be appropriate, without altering the fundamental structure of the provision.</w:t>
      </w:r>
    </w:p>
    <w:p w14:paraId="274A8949"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amendment should not require a full disciplinary investigation, because that could transform the mechanism from one concerning termination of service as a result of absence into a disciplinary sanction regime.</w:t>
      </w:r>
    </w:p>
    <w:p w14:paraId="718171A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Instead, it would be sufficient to guarantee:</w:t>
      </w:r>
    </w:p>
    <w:p w14:paraId="0DF3414F" w14:textId="77777777" w:rsidR="00386AE3" w:rsidRPr="009F2F4E" w:rsidRDefault="00386AE3" w:rsidP="00386AE3">
      <w:pPr>
        <w:numPr>
          <w:ilvl w:val="0"/>
          <w:numId w:val="37"/>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notification of the employee;</w:t>
      </w:r>
    </w:p>
    <w:p w14:paraId="481D3B8E" w14:textId="77777777" w:rsidR="00386AE3" w:rsidRPr="009F2F4E" w:rsidRDefault="00386AE3" w:rsidP="00386AE3">
      <w:pPr>
        <w:numPr>
          <w:ilvl w:val="0"/>
          <w:numId w:val="37"/>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enabling him to present his </w:t>
      </w:r>
      <w:proofErr w:type="spellStart"/>
      <w:r w:rsidRPr="009F2F4E">
        <w:rPr>
          <w:rFonts w:ascii="Times New Roman" w:eastAsia="Times New Roman" w:hAnsi="Times New Roman" w:cs="Times New Roman"/>
          <w:kern w:val="0"/>
          <w14:ligatures w14:val="none"/>
        </w:rPr>
        <w:t>defence</w:t>
      </w:r>
      <w:proofErr w:type="spellEnd"/>
      <w:r w:rsidRPr="009F2F4E">
        <w:rPr>
          <w:rFonts w:ascii="Times New Roman" w:eastAsia="Times New Roman" w:hAnsi="Times New Roman" w:cs="Times New Roman"/>
          <w:kern w:val="0"/>
          <w14:ligatures w14:val="none"/>
        </w:rPr>
        <w:t xml:space="preserve"> and supporting documents; and</w:t>
      </w:r>
    </w:p>
    <w:p w14:paraId="248297D8" w14:textId="77777777" w:rsidR="00386AE3" w:rsidRPr="009F2F4E" w:rsidRDefault="00386AE3" w:rsidP="00386AE3">
      <w:pPr>
        <w:numPr>
          <w:ilvl w:val="0"/>
          <w:numId w:val="37"/>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requiring reasons for the decision rejecting the excuse.</w:t>
      </w:r>
    </w:p>
    <w:p w14:paraId="41080A77"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proposed wording is as follows:</w:t>
      </w:r>
    </w:p>
    <w:p w14:paraId="6C865EA1"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Proposed Amendment to Paragraph (1) of Article (108)</w:t>
      </w:r>
    </w:p>
    <w:p w14:paraId="79E939CD"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The employee shall be deemed to have submitted his resignation in the following cases:</w:t>
      </w:r>
    </w:p>
    <w:p w14:paraId="035B5C4C"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1- If he is absent from work without authorization for more than thirty consecutive days, unless, during the following fifteen days, he submits evidence establishing that his absence was beyond his control and was based on an acceptable excuse. In such case, the competent authority may decide not to deprive him of his remuneration for the period of absence if he has a leave balance sufficient to cover such period; otherwise, he shall be deprived of his remuneration for that period.</w:t>
      </w:r>
    </w:p>
    <w:p w14:paraId="62F07599"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 xml:space="preserve">The competent authority shall notify the employee in writing of his absence and of the consequences arising therefrom and shall enable him to submit his </w:t>
      </w:r>
      <w:proofErr w:type="spellStart"/>
      <w:r w:rsidRPr="009F2F4E">
        <w:rPr>
          <w:rFonts w:ascii="Times New Roman" w:eastAsia="Times New Roman" w:hAnsi="Times New Roman" w:cs="Times New Roman"/>
          <w:b/>
          <w:bCs/>
          <w:kern w:val="0"/>
          <w14:ligatures w14:val="none"/>
        </w:rPr>
        <w:t>defence</w:t>
      </w:r>
      <w:proofErr w:type="spellEnd"/>
      <w:r w:rsidRPr="009F2F4E">
        <w:rPr>
          <w:rFonts w:ascii="Times New Roman" w:eastAsia="Times New Roman" w:hAnsi="Times New Roman" w:cs="Times New Roman"/>
          <w:b/>
          <w:bCs/>
          <w:kern w:val="0"/>
          <w14:ligatures w14:val="none"/>
        </w:rPr>
        <w:t xml:space="preserve"> and the documents supporting it within the aforementioned period. If the employee fails to submit reasons justifying his absence, or submits such reasons and the competent authority rejects them, the decision rejecting the reasons shall be reasoned, and in such case his service shall be deemed terminated as of the date on which his absence commenced.</w:t>
      </w:r>
    </w:p>
    <w:p w14:paraId="3DDC4BF1"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7. Confidence and Limitations</w:t>
      </w:r>
    </w:p>
    <w:p w14:paraId="475A42D4"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Overall conclusion</w:t>
      </w:r>
    </w:p>
    <w:p w14:paraId="6CC29688"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The provision does not reveal an apparent constitutional defect in the basic rule that prolonged unauthorized absence may constitute a ground for termination of service. However, it does reveal a material procedural gap, principally consisting of the absence of detailed regulation of the procedures preceding rejection of the employee’s excuse and the resulting termination of service.</w:t>
      </w:r>
    </w:p>
    <w:p w14:paraId="0015BF3E"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Accordingly, my final classification is:</w:t>
      </w:r>
    </w:p>
    <w:p w14:paraId="5D566D49"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lastRenderedPageBreak/>
        <w:t>Material legislative gap — a material legislative gap, with a debatable constitutional dimension, rather than a conclusively established constitutionally significant legislative omission.</w:t>
      </w:r>
    </w:p>
    <w:p w14:paraId="57AB7976"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The strongest argument supporting this conclusion</w:t>
      </w:r>
    </w:p>
    <w:p w14:paraId="685F9994"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provision imposes </w:t>
      </w:r>
      <w:r w:rsidRPr="009F2F4E">
        <w:rPr>
          <w:rFonts w:ascii="Times New Roman" w:eastAsia="Times New Roman" w:hAnsi="Times New Roman" w:cs="Times New Roman"/>
          <w:b/>
          <w:bCs/>
          <w:kern w:val="0"/>
          <w14:ligatures w14:val="none"/>
        </w:rPr>
        <w:t>one of the most serious possible employment consequences—termination of service with effect from the date of absence—on the basis of a decision rejecting the employee’s excuse</w:t>
      </w:r>
      <w:r w:rsidRPr="009F2F4E">
        <w:rPr>
          <w:rFonts w:ascii="Times New Roman" w:eastAsia="Times New Roman" w:hAnsi="Times New Roman" w:cs="Times New Roman"/>
          <w:kern w:val="0"/>
          <w14:ligatures w14:val="none"/>
        </w:rPr>
        <w:t xml:space="preserve">, without expressly regulating notification of the employee, the manner in which his </w:t>
      </w:r>
      <w:proofErr w:type="spellStart"/>
      <w:r w:rsidRPr="009F2F4E">
        <w:rPr>
          <w:rFonts w:ascii="Times New Roman" w:eastAsia="Times New Roman" w:hAnsi="Times New Roman" w:cs="Times New Roman"/>
          <w:kern w:val="0"/>
          <w14:ligatures w14:val="none"/>
        </w:rPr>
        <w:t>defence</w:t>
      </w:r>
      <w:proofErr w:type="spellEnd"/>
      <w:r w:rsidRPr="009F2F4E">
        <w:rPr>
          <w:rFonts w:ascii="Times New Roman" w:eastAsia="Times New Roman" w:hAnsi="Times New Roman" w:cs="Times New Roman"/>
          <w:kern w:val="0"/>
          <w14:ligatures w14:val="none"/>
        </w:rPr>
        <w:t xml:space="preserve"> is to be examined, or the requirement that the rejection be reasoned.</w:t>
      </w:r>
    </w:p>
    <w:p w14:paraId="3693AA51"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The strongest argument against this conclusion</w:t>
      </w:r>
    </w:p>
    <w:p w14:paraId="59F9C050"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provision already grants the employee </w:t>
      </w:r>
      <w:r w:rsidRPr="009F2F4E">
        <w:rPr>
          <w:rFonts w:ascii="Times New Roman" w:eastAsia="Times New Roman" w:hAnsi="Times New Roman" w:cs="Times New Roman"/>
          <w:b/>
          <w:bCs/>
          <w:kern w:val="0"/>
          <w14:ligatures w14:val="none"/>
        </w:rPr>
        <w:t>fifteen additional days</w:t>
      </w:r>
      <w:r w:rsidRPr="009F2F4E">
        <w:rPr>
          <w:rFonts w:ascii="Times New Roman" w:eastAsia="Times New Roman" w:hAnsi="Times New Roman" w:cs="Times New Roman"/>
          <w:kern w:val="0"/>
          <w14:ligatures w14:val="none"/>
        </w:rPr>
        <w:t xml:space="preserve"> to submit evidence that his absence was beyond his control and based on an acceptable excuse. It also does not immunize the competent authority’s decision from judicial review.</w:t>
      </w:r>
    </w:p>
    <w:p w14:paraId="5D53A390"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Accordingly, the procedural details not expressly stated in the provision may be regarded as matters capable of being supplemented by general legal rules rather than as a deficiency that necessarily amounts to a constitutional defect.</w:t>
      </w:r>
    </w:p>
    <w:p w14:paraId="6CB6B7BB"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Principal limitations of the analysis</w:t>
      </w:r>
    </w:p>
    <w:p w14:paraId="38B37AC5"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Three matters prevent a more definitive conclusion:</w:t>
      </w:r>
    </w:p>
    <w:p w14:paraId="58799887" w14:textId="77777777" w:rsidR="00386AE3" w:rsidRPr="009F2F4E" w:rsidRDefault="00386AE3" w:rsidP="00386AE3">
      <w:pPr>
        <w:numPr>
          <w:ilvl w:val="0"/>
          <w:numId w:val="38"/>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The provision supplied concerns the National Postal Authority, not universities or academic staff.</w:t>
      </w:r>
      <w:r w:rsidRPr="009F2F4E">
        <w:rPr>
          <w:rFonts w:ascii="Times New Roman" w:eastAsia="Times New Roman" w:hAnsi="Times New Roman" w:cs="Times New Roman"/>
          <w:kern w:val="0"/>
          <w14:ligatures w14:val="none"/>
        </w:rPr>
        <w:t xml:space="preserve"> It would therefore be inappropriate to apply rules specifically governing academic staff to this provision without a legal text establishing such a connection. </w:t>
      </w:r>
    </w:p>
    <w:p w14:paraId="4BDD5F64" w14:textId="77777777" w:rsidR="00386AE3" w:rsidRPr="009F2F4E" w:rsidRDefault="00386AE3" w:rsidP="00386AE3">
      <w:pPr>
        <w:numPr>
          <w:ilvl w:val="0"/>
          <w:numId w:val="38"/>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I have not relied on any specific judicial decision holding this particular provision constitutional or unconstitutional. Accordingly, no specific judicial position should be attributed to the provision. </w:t>
      </w:r>
    </w:p>
    <w:p w14:paraId="06A14BD5" w14:textId="77777777" w:rsidR="00386AE3" w:rsidRPr="009F2F4E" w:rsidRDefault="00386AE3" w:rsidP="00386AE3">
      <w:pPr>
        <w:numPr>
          <w:ilvl w:val="0"/>
          <w:numId w:val="38"/>
        </w:numPr>
        <w:spacing w:before="100" w:beforeAutospacing="1" w:after="100" w:afterAutospacing="1" w:line="240" w:lineRule="auto"/>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kern w:val="0"/>
          <w14:ligatures w14:val="none"/>
        </w:rPr>
        <w:t xml:space="preserve">The complete legislative and regulatory framework surrounding Article 108 has not been supplied. Some of the safeguards that appear to be absent from Article 108 itself may be established in other provisions. This issue is particularly important in determining whether the omission constitutes a </w:t>
      </w:r>
      <w:r w:rsidRPr="009F2F4E">
        <w:rPr>
          <w:rFonts w:ascii="Times New Roman" w:eastAsia="Times New Roman" w:hAnsi="Times New Roman" w:cs="Times New Roman"/>
          <w:b/>
          <w:bCs/>
          <w:kern w:val="0"/>
          <w14:ligatures w14:val="none"/>
        </w:rPr>
        <w:t>genuine legislative gap</w:t>
      </w:r>
      <w:r w:rsidRPr="009F2F4E">
        <w:rPr>
          <w:rFonts w:ascii="Times New Roman" w:eastAsia="Times New Roman" w:hAnsi="Times New Roman" w:cs="Times New Roman"/>
          <w:kern w:val="0"/>
          <w14:ligatures w14:val="none"/>
        </w:rPr>
        <w:t xml:space="preserve"> or merely an </w:t>
      </w:r>
      <w:r w:rsidRPr="009F2F4E">
        <w:rPr>
          <w:rFonts w:ascii="Times New Roman" w:eastAsia="Times New Roman" w:hAnsi="Times New Roman" w:cs="Times New Roman"/>
          <w:b/>
          <w:bCs/>
          <w:kern w:val="0"/>
          <w14:ligatures w14:val="none"/>
        </w:rPr>
        <w:t>omission from one provision within a broader regulatory framework</w:t>
      </w:r>
      <w:r w:rsidRPr="009F2F4E">
        <w:rPr>
          <w:rFonts w:ascii="Times New Roman" w:eastAsia="Times New Roman" w:hAnsi="Times New Roman" w:cs="Times New Roman"/>
          <w:kern w:val="0"/>
          <w14:ligatures w14:val="none"/>
        </w:rPr>
        <w:t xml:space="preserve">. </w:t>
      </w:r>
    </w:p>
    <w:p w14:paraId="74E6EF4F" w14:textId="77777777" w:rsidR="00386AE3" w:rsidRPr="009F2F4E"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9F2F4E">
        <w:rPr>
          <w:rFonts w:ascii="Times New Roman" w:eastAsia="Times New Roman" w:hAnsi="Times New Roman" w:cs="Times New Roman"/>
          <w:b/>
          <w:bCs/>
          <w:kern w:val="0"/>
          <w14:ligatures w14:val="none"/>
        </w:rPr>
        <w:t>Accordingly, if the purpose of the empirical study is to test a model’s ability to identify a “legislative gap,” the most methodologically appropriate answer is not to state directly that the provision is “unconstitutional.” Rather, the appropriate distinction is between the existence of an identifiable procedural deficiency and the establishment that such deficiency reaches the level of a constitutional violation.</w:t>
      </w:r>
      <w:r w:rsidRPr="009F2F4E">
        <w:rPr>
          <w:rFonts w:ascii="Times New Roman" w:eastAsia="Times New Roman" w:hAnsi="Times New Roman" w:cs="Times New Roman"/>
          <w:kern w:val="0"/>
          <w14:ligatures w14:val="none"/>
        </w:rPr>
        <w:t xml:space="preserve"> In my assessment, this is the more cautious conclusion and the one most consistent with the text itself.</w:t>
      </w:r>
      <w:r w:rsidRPr="009F2F4E">
        <w:rPr>
          <w:rFonts w:ascii="Times New Roman" w:eastAsia="Times New Roman" w:hAnsi="Times New Roman" w:cs="Times New Roman"/>
          <w:kern w:val="0"/>
          <w14:ligatures w14:val="none"/>
        </w:rPr>
        <w:br/>
        <w:t>:::</w:t>
      </w:r>
    </w:p>
    <w:p w14:paraId="5A77AE19" w14:textId="77777777" w:rsidR="00386AE3" w:rsidRDefault="00386AE3" w:rsidP="00386AE3">
      <w:pPr>
        <w:bidi/>
        <w:jc w:val="both"/>
        <w:rPr>
          <w:lang w:bidi="ar-EG"/>
        </w:rPr>
      </w:pPr>
      <w:r>
        <w:rPr>
          <w:lang w:bidi="ar-EG"/>
        </w:rPr>
        <w:lastRenderedPageBreak/>
        <w:br w:type="page"/>
      </w:r>
    </w:p>
    <w:p w14:paraId="3C5ECD6C" w14:textId="02ED7E0E" w:rsidR="00386AE3" w:rsidRPr="00797A5A" w:rsidRDefault="00386AE3" w:rsidP="00797A5A">
      <w:pPr>
        <w:pStyle w:val="2"/>
        <w:rPr>
          <w:rFonts w:asciiTheme="majorBidi" w:hAnsiTheme="majorBidi" w:cstheme="majorBidi"/>
        </w:rPr>
      </w:pPr>
      <w:r w:rsidRPr="00797A5A">
        <w:rPr>
          <w:rFonts w:asciiTheme="majorBidi" w:hAnsiTheme="majorBidi" w:cstheme="majorBidi"/>
        </w:rPr>
        <w:lastRenderedPageBreak/>
        <w:t xml:space="preserve">Gemini </w:t>
      </w:r>
      <w:r w:rsidR="00797A5A" w:rsidRPr="00797A5A">
        <w:rPr>
          <w:rFonts w:asciiTheme="majorBidi" w:hAnsiTheme="majorBidi" w:cstheme="majorBidi"/>
        </w:rPr>
        <w:t>Output</w:t>
      </w:r>
    </w:p>
    <w:p w14:paraId="1BFB87FF"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1. Statutory Structure</w:t>
      </w:r>
    </w:p>
    <w:p w14:paraId="1B9CFA5C" w14:textId="77777777" w:rsidR="00386AE3" w:rsidRPr="008A1125"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kern w:val="0"/>
          <w14:ligatures w14:val="none"/>
        </w:rPr>
        <w:t xml:space="preserve">Article 108(1) of the regulations of the National Postal Authority Employees System establishes a legal mechanism of </w:t>
      </w:r>
      <w:r w:rsidRPr="008A1125">
        <w:rPr>
          <w:rFonts w:ascii="Times New Roman" w:eastAsia="Times New Roman" w:hAnsi="Times New Roman" w:cs="Times New Roman"/>
          <w:b/>
          <w:bCs/>
          <w:kern w:val="0"/>
          <w14:ligatures w14:val="none"/>
        </w:rPr>
        <w:t>deemed resignation (</w:t>
      </w:r>
      <w:r w:rsidRPr="008A1125">
        <w:rPr>
          <w:rFonts w:ascii="Times New Roman" w:eastAsia="Times New Roman" w:hAnsi="Times New Roman" w:cs="Times New Roman"/>
          <w:b/>
          <w:bCs/>
          <w:kern w:val="0"/>
          <w:rtl/>
          <w14:ligatures w14:val="none"/>
        </w:rPr>
        <w:t>الاستقالة الضمنية</w:t>
      </w:r>
      <w:r w:rsidRPr="008A1125">
        <w:rPr>
          <w:rFonts w:ascii="Times New Roman" w:eastAsia="Times New Roman" w:hAnsi="Times New Roman" w:cs="Times New Roman"/>
          <w:b/>
          <w:bCs/>
          <w:kern w:val="0"/>
          <w14:ligatures w14:val="none"/>
        </w:rPr>
        <w:t>)</w:t>
      </w:r>
      <w:r w:rsidRPr="008A1125">
        <w:rPr>
          <w:rFonts w:ascii="Times New Roman" w:eastAsia="Times New Roman" w:hAnsi="Times New Roman" w:cs="Times New Roman"/>
          <w:kern w:val="0"/>
          <w14:ligatures w14:val="none"/>
        </w:rPr>
        <w:t xml:space="preserve"> arising from unauthorized absence.</w:t>
      </w:r>
    </w:p>
    <w:p w14:paraId="703D6227" w14:textId="77777777" w:rsidR="00386AE3" w:rsidRPr="008A1125" w:rsidRDefault="00386AE3" w:rsidP="00386AE3">
      <w:pPr>
        <w:numPr>
          <w:ilvl w:val="0"/>
          <w:numId w:val="39"/>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Triggering Event:</w:t>
      </w:r>
      <w:r w:rsidRPr="008A1125">
        <w:rPr>
          <w:rFonts w:ascii="Times New Roman" w:eastAsia="Times New Roman" w:hAnsi="Times New Roman" w:cs="Times New Roman"/>
          <w:kern w:val="0"/>
          <w14:ligatures w14:val="none"/>
        </w:rPr>
        <w:t xml:space="preserve"> An employee's unauthorized absence from work without permission.</w:t>
      </w:r>
    </w:p>
    <w:p w14:paraId="7DEB5DFD" w14:textId="77777777" w:rsidR="00386AE3" w:rsidRPr="008A1125" w:rsidRDefault="00386AE3" w:rsidP="00386AE3">
      <w:pPr>
        <w:numPr>
          <w:ilvl w:val="0"/>
          <w:numId w:val="39"/>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Statutory Period:</w:t>
      </w:r>
      <w:r w:rsidRPr="008A1125">
        <w:rPr>
          <w:rFonts w:ascii="Times New Roman" w:eastAsia="Times New Roman" w:hAnsi="Times New Roman" w:cs="Times New Roman"/>
          <w:kern w:val="0"/>
          <w14:ligatures w14:val="none"/>
        </w:rPr>
        <w:t xml:space="preserve"> A continuous absence exceeding thirty (30) days, followed by a subsequent fifteen-day (15) grace period for the employee to submit justifications.</w:t>
      </w:r>
    </w:p>
    <w:p w14:paraId="49819B6F" w14:textId="77777777" w:rsidR="00386AE3" w:rsidRPr="008A1125" w:rsidRDefault="00386AE3" w:rsidP="00386AE3">
      <w:pPr>
        <w:numPr>
          <w:ilvl w:val="0"/>
          <w:numId w:val="39"/>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Legal Consequence:</w:t>
      </w:r>
      <w:r w:rsidRPr="008A1125">
        <w:rPr>
          <w:rFonts w:ascii="Times New Roman" w:eastAsia="Times New Roman" w:hAnsi="Times New Roman" w:cs="Times New Roman"/>
          <w:kern w:val="0"/>
          <w14:ligatures w14:val="none"/>
        </w:rPr>
        <w:t xml:space="preserve"> The termination of the employee's service, deemed effective retroactively from the initial date of the work stoppage.</w:t>
      </w:r>
    </w:p>
    <w:p w14:paraId="0C34DA27" w14:textId="77777777" w:rsidR="00386AE3" w:rsidRPr="008A1125" w:rsidRDefault="00386AE3" w:rsidP="00386AE3">
      <w:pPr>
        <w:numPr>
          <w:ilvl w:val="0"/>
          <w:numId w:val="39"/>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Possibility of Returning within the Prescribed Period:</w:t>
      </w:r>
      <w:r w:rsidRPr="008A1125">
        <w:rPr>
          <w:rFonts w:ascii="Times New Roman" w:eastAsia="Times New Roman" w:hAnsi="Times New Roman" w:cs="Times New Roman"/>
          <w:kern w:val="0"/>
          <w14:ligatures w14:val="none"/>
        </w:rPr>
        <w:t xml:space="preserve"> The employee may submit proof within fifteen days following the thirty-day period showing that the absence was involuntary and due to an accepted excuse. If accepted, the competent authority may excuse the absence and permit the payment of wages if accrued leave balances allow, or mandate wage deprivation otherwise.</w:t>
      </w:r>
    </w:p>
    <w:p w14:paraId="62A1C210" w14:textId="77777777" w:rsidR="00386AE3" w:rsidRPr="008A1125" w:rsidRDefault="00386AE3" w:rsidP="00386AE3">
      <w:pPr>
        <w:numPr>
          <w:ilvl w:val="0"/>
          <w:numId w:val="39"/>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Role of Competent Authorities:</w:t>
      </w:r>
      <w:r w:rsidRPr="008A1125">
        <w:rPr>
          <w:rFonts w:ascii="Times New Roman" w:eastAsia="Times New Roman" w:hAnsi="Times New Roman" w:cs="Times New Roman"/>
          <w:kern w:val="0"/>
          <w14:ligatures w14:val="none"/>
        </w:rPr>
        <w:t xml:space="preserve"> The "competent authority" (</w:t>
      </w:r>
      <w:r w:rsidRPr="008A1125">
        <w:rPr>
          <w:rFonts w:ascii="Times New Roman" w:eastAsia="Times New Roman" w:hAnsi="Times New Roman" w:cs="Times New Roman"/>
          <w:kern w:val="0"/>
          <w:rtl/>
          <w14:ligatures w14:val="none"/>
        </w:rPr>
        <w:t>السلطة المختصة</w:t>
      </w:r>
      <w:r w:rsidRPr="008A1125">
        <w:rPr>
          <w:rFonts w:ascii="Times New Roman" w:eastAsia="Times New Roman" w:hAnsi="Times New Roman" w:cs="Times New Roman"/>
          <w:kern w:val="0"/>
          <w14:ligatures w14:val="none"/>
        </w:rPr>
        <w:t xml:space="preserve">) holds discretionary power to evaluate the presented excuses, decide whether to withhold wages, and ultimately register the termination of service if excuses are omitted or rejected. </w:t>
      </w:r>
      <w:r w:rsidRPr="008A1125">
        <w:rPr>
          <w:rFonts w:ascii="Times New Roman" w:eastAsia="Times New Roman" w:hAnsi="Times New Roman" w:cs="Times New Roman"/>
          <w:i/>
          <w:iCs/>
          <w:kern w:val="0"/>
          <w14:ligatures w14:val="none"/>
        </w:rPr>
        <w:t>(Note: While the prompt references university bodies due to comparative template framing, under this specific postal regulation, the operational authority rests with the administrative head or competent minister/board of the National Postal Authority).</w:t>
      </w:r>
    </w:p>
    <w:p w14:paraId="729ECCFB" w14:textId="77777777" w:rsidR="00386AE3" w:rsidRPr="008A1125" w:rsidRDefault="00386AE3" w:rsidP="00386AE3">
      <w:pPr>
        <w:numPr>
          <w:ilvl w:val="0"/>
          <w:numId w:val="39"/>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Procedural Safeguards Expressly Included:</w:t>
      </w:r>
      <w:r w:rsidRPr="008A1125">
        <w:rPr>
          <w:rFonts w:ascii="Times New Roman" w:eastAsia="Times New Roman" w:hAnsi="Times New Roman" w:cs="Times New Roman"/>
          <w:kern w:val="0"/>
          <w14:ligatures w14:val="none"/>
        </w:rPr>
        <w:t xml:space="preserve"> A statutory grace period of fifteen days post-absence to present an excuse, and a requirement for a formal evaluation/rejection of said reasons by the competent authority before the termination takes effect.</w:t>
      </w:r>
    </w:p>
    <w:p w14:paraId="512AABF9"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2. Potential Legislative Omissions</w:t>
      </w:r>
    </w:p>
    <w:p w14:paraId="6D1453C9" w14:textId="77777777" w:rsidR="00386AE3" w:rsidRPr="008A1125" w:rsidRDefault="00386AE3" w:rsidP="00386AE3">
      <w:pPr>
        <w:numPr>
          <w:ilvl w:val="0"/>
          <w:numId w:val="40"/>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What is absent:</w:t>
      </w:r>
      <w:r w:rsidRPr="008A1125">
        <w:rPr>
          <w:rFonts w:ascii="Times New Roman" w:eastAsia="Times New Roman" w:hAnsi="Times New Roman" w:cs="Times New Roman"/>
          <w:kern w:val="0"/>
          <w14:ligatures w14:val="none"/>
        </w:rPr>
        <w:t xml:space="preserve"> The provision lacks an explicit, mandatory requirement for prior written notice, a formal administrative investigation, or a hearing before the termination decision is finalized and backdated.</w:t>
      </w:r>
    </w:p>
    <w:p w14:paraId="3FDF282D" w14:textId="77777777" w:rsidR="00386AE3" w:rsidRPr="008A1125" w:rsidRDefault="00386AE3" w:rsidP="00386AE3">
      <w:pPr>
        <w:numPr>
          <w:ilvl w:val="0"/>
          <w:numId w:val="40"/>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Why it might matter legally:</w:t>
      </w:r>
      <w:r w:rsidRPr="008A1125">
        <w:rPr>
          <w:rFonts w:ascii="Times New Roman" w:eastAsia="Times New Roman" w:hAnsi="Times New Roman" w:cs="Times New Roman"/>
          <w:kern w:val="0"/>
          <w14:ligatures w14:val="none"/>
        </w:rPr>
        <w:t xml:space="preserve"> Retroactive termination resulting from an administrative determination of "deemed resignation" strips the employee of employment status without a guaranteed adversarial hearing, impacting their livelihood.</w:t>
      </w:r>
    </w:p>
    <w:p w14:paraId="6F151E63" w14:textId="77777777" w:rsidR="00386AE3" w:rsidRPr="008A1125" w:rsidRDefault="00386AE3" w:rsidP="00386AE3">
      <w:pPr>
        <w:numPr>
          <w:ilvl w:val="0"/>
          <w:numId w:val="40"/>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Material or Incidental:</w:t>
      </w:r>
      <w:r w:rsidRPr="008A1125">
        <w:rPr>
          <w:rFonts w:ascii="Times New Roman" w:eastAsia="Times New Roman" w:hAnsi="Times New Roman" w:cs="Times New Roman"/>
          <w:kern w:val="0"/>
          <w14:ligatures w14:val="none"/>
        </w:rPr>
        <w:t xml:space="preserve"> It is a material element concerning administrative due process and procedural guarantees in employment law.</w:t>
      </w:r>
    </w:p>
    <w:p w14:paraId="183BA637" w14:textId="77777777" w:rsidR="00386AE3" w:rsidRPr="008A1125" w:rsidRDefault="00386AE3" w:rsidP="00386AE3">
      <w:pPr>
        <w:numPr>
          <w:ilvl w:val="0"/>
          <w:numId w:val="40"/>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Legislative Intent:</w:t>
      </w:r>
      <w:r w:rsidRPr="008A1125">
        <w:rPr>
          <w:rFonts w:ascii="Times New Roman" w:eastAsia="Times New Roman" w:hAnsi="Times New Roman" w:cs="Times New Roman"/>
          <w:kern w:val="0"/>
          <w14:ligatures w14:val="none"/>
        </w:rPr>
        <w:t xml:space="preserve"> The legislature likely intended to create a swift, self-executing administrative mechanism to deal with job abandonment without bogging down the postal authority in lengthy disciplinary tribunals for employees who have ostensibly deserted their posts.</w:t>
      </w:r>
    </w:p>
    <w:p w14:paraId="43645556"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3. Constitutional Assessment</w:t>
      </w:r>
    </w:p>
    <w:p w14:paraId="7B2A9769" w14:textId="77777777" w:rsidR="00386AE3" w:rsidRPr="008A1125"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kern w:val="0"/>
          <w14:ligatures w14:val="none"/>
        </w:rPr>
        <w:lastRenderedPageBreak/>
        <w:t>Within the framework of Egyptian constitutional law—specifically under principles protecting public employment, the right to work, and due process (often derived from general principles of the rule of law and Article 53/Article 14 of the Egyptian Constitution)—the lack of a mandatory investigation raises administrative justice concerns.</w:t>
      </w:r>
    </w:p>
    <w:p w14:paraId="2BFF88D0" w14:textId="77777777" w:rsidR="00386AE3" w:rsidRPr="008A1125" w:rsidRDefault="00386AE3" w:rsidP="00386AE3">
      <w:pPr>
        <w:numPr>
          <w:ilvl w:val="0"/>
          <w:numId w:val="41"/>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A. Argument that the omission is constitutionally problematic:</w:t>
      </w:r>
      <w:r w:rsidRPr="008A1125">
        <w:rPr>
          <w:rFonts w:ascii="Times New Roman" w:eastAsia="Times New Roman" w:hAnsi="Times New Roman" w:cs="Times New Roman"/>
          <w:kern w:val="0"/>
          <w14:ligatures w14:val="none"/>
        </w:rPr>
        <w:t xml:space="preserve"> The absence of a formal investigative proceeding prior to executing a deemed resignation can infringe upon the right to defense and procedural due process. Because the termination is backdated to the </w:t>
      </w:r>
      <w:r w:rsidRPr="008A1125">
        <w:rPr>
          <w:rFonts w:ascii="Times New Roman" w:eastAsia="Times New Roman" w:hAnsi="Times New Roman" w:cs="Times New Roman"/>
          <w:i/>
          <w:iCs/>
          <w:kern w:val="0"/>
          <w14:ligatures w14:val="none"/>
        </w:rPr>
        <w:t>first day</w:t>
      </w:r>
      <w:r w:rsidRPr="008A1125">
        <w:rPr>
          <w:rFonts w:ascii="Times New Roman" w:eastAsia="Times New Roman" w:hAnsi="Times New Roman" w:cs="Times New Roman"/>
          <w:kern w:val="0"/>
          <w14:ligatures w14:val="none"/>
        </w:rPr>
        <w:t xml:space="preserve"> of absence, it carries punitive characteristics without affording the employee a guaranteed opportunity to be heard viva voce.</w:t>
      </w:r>
    </w:p>
    <w:p w14:paraId="05305C2C" w14:textId="77777777" w:rsidR="00386AE3" w:rsidRPr="008A1125" w:rsidRDefault="00386AE3" w:rsidP="00386AE3">
      <w:pPr>
        <w:numPr>
          <w:ilvl w:val="0"/>
          <w:numId w:val="41"/>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B. Counterargument that the omission is a permissible legislative choice:</w:t>
      </w:r>
      <w:r w:rsidRPr="008A1125">
        <w:rPr>
          <w:rFonts w:ascii="Times New Roman" w:eastAsia="Times New Roman" w:hAnsi="Times New Roman" w:cs="Times New Roman"/>
          <w:kern w:val="0"/>
          <w14:ligatures w14:val="none"/>
        </w:rPr>
        <w:t xml:space="preserve"> The provision does not impose a silent dismissal; it grants a 15-day grace period for the employee to proactively provide an excuse. Job abandonment constitutes a clear, voluntary severance of the employment relationship by the employee's own conduct. Therefore, the legislature has broad discretion to streamline administrative separations for structural efficiency without triggering full disciplinary trial safeguards.</w:t>
      </w:r>
    </w:p>
    <w:p w14:paraId="2B4CB7D6"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4. Legislative-Gap Classification</w:t>
      </w:r>
    </w:p>
    <w:p w14:paraId="39355AE5" w14:textId="77777777" w:rsidR="00386AE3" w:rsidRPr="008A1125" w:rsidRDefault="00386AE3" w:rsidP="00386AE3">
      <w:pPr>
        <w:numPr>
          <w:ilvl w:val="0"/>
          <w:numId w:val="42"/>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Classification:</w:t>
      </w:r>
      <w:r w:rsidRPr="008A1125">
        <w:rPr>
          <w:rFonts w:ascii="Times New Roman" w:eastAsia="Times New Roman" w:hAnsi="Times New Roman" w:cs="Times New Roman"/>
          <w:kern w:val="0"/>
          <w14:ligatures w14:val="none"/>
        </w:rPr>
        <w:t xml:space="preserve"> </w:t>
      </w:r>
      <w:r w:rsidRPr="008A1125">
        <w:rPr>
          <w:rFonts w:ascii="Times New Roman" w:eastAsia="Times New Roman" w:hAnsi="Times New Roman" w:cs="Times New Roman"/>
          <w:b/>
          <w:bCs/>
          <w:kern w:val="0"/>
          <w14:ligatures w14:val="none"/>
        </w:rPr>
        <w:t>Textual omission without constitutional significance</w:t>
      </w:r>
      <w:r w:rsidRPr="008A1125">
        <w:rPr>
          <w:rFonts w:ascii="Times New Roman" w:eastAsia="Times New Roman" w:hAnsi="Times New Roman" w:cs="Times New Roman"/>
          <w:kern w:val="0"/>
          <w14:ligatures w14:val="none"/>
        </w:rPr>
        <w:t xml:space="preserve"> (or a matter of deliberate legislative policy/discretion).</w:t>
      </w:r>
    </w:p>
    <w:p w14:paraId="4EECC7FA" w14:textId="77777777" w:rsidR="00386AE3" w:rsidRPr="008A1125" w:rsidRDefault="00386AE3" w:rsidP="00386AE3">
      <w:pPr>
        <w:numPr>
          <w:ilvl w:val="0"/>
          <w:numId w:val="42"/>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Explanation:</w:t>
      </w:r>
      <w:r w:rsidRPr="008A1125">
        <w:rPr>
          <w:rFonts w:ascii="Times New Roman" w:eastAsia="Times New Roman" w:hAnsi="Times New Roman" w:cs="Times New Roman"/>
          <w:kern w:val="0"/>
          <w14:ligatures w14:val="none"/>
        </w:rPr>
        <w:t xml:space="preserve"> While a procedural hearing is a standard feature of formal disciplinary dismissals, "deemed resignation" provisions for extended unauthorized absence operate as a legal fiction acknowledging a de facto abandonment of work. The inclusion of a 15-day grace period balances administrative necessity with a fair opportunity to cure, falling safely within the constitutional discretion of the Egyptian legislature.</w:t>
      </w:r>
    </w:p>
    <w:p w14:paraId="6CC091EB"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5. Judicial-Review Perspective</w:t>
      </w:r>
    </w:p>
    <w:p w14:paraId="32AAC4E1" w14:textId="77777777" w:rsidR="00386AE3" w:rsidRPr="008A1125" w:rsidRDefault="00386AE3" w:rsidP="00386AE3">
      <w:pPr>
        <w:spacing w:before="100" w:beforeAutospacing="1" w:after="100" w:afterAutospacing="1" w:line="240" w:lineRule="auto"/>
        <w:ind w:firstLine="0"/>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kern w:val="0"/>
          <w14:ligatures w14:val="none"/>
        </w:rPr>
        <w:t>If challenged before the Supreme Constitutional Court (SCC) of Egypt on due process grounds, the Court would weigh the employee's right to administrative guarantees against the state's or public authority's interest in maintaining workplace discipline and ensuring public service continuity.</w:t>
      </w:r>
    </w:p>
    <w:p w14:paraId="5C4FC3C7" w14:textId="77777777" w:rsidR="00386AE3" w:rsidRPr="008A1125" w:rsidRDefault="00386AE3" w:rsidP="00386AE3">
      <w:pPr>
        <w:numPr>
          <w:ilvl w:val="0"/>
          <w:numId w:val="43"/>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Competing Considerations:</w:t>
      </w:r>
      <w:r w:rsidRPr="008A1125">
        <w:rPr>
          <w:rFonts w:ascii="Times New Roman" w:eastAsia="Times New Roman" w:hAnsi="Times New Roman" w:cs="Times New Roman"/>
          <w:kern w:val="0"/>
          <w14:ligatures w14:val="none"/>
        </w:rPr>
        <w:t xml:space="preserve"> The Court frequently upholds statutory mechanisms of "deemed resignation" provided the employee is given a realistic window to prove force majeure or a valid excuse. Requiring exhaustive judicial-style investigations for a worker who has vanished for over a month would paralyze public administration.</w:t>
      </w:r>
    </w:p>
    <w:p w14:paraId="7B16938A" w14:textId="77777777" w:rsidR="00386AE3" w:rsidRPr="008A1125" w:rsidRDefault="00386AE3" w:rsidP="00386AE3">
      <w:pPr>
        <w:numPr>
          <w:ilvl w:val="0"/>
          <w:numId w:val="43"/>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Legally Stronger Interpretation:</w:t>
      </w:r>
      <w:r w:rsidRPr="008A1125">
        <w:rPr>
          <w:rFonts w:ascii="Times New Roman" w:eastAsia="Times New Roman" w:hAnsi="Times New Roman" w:cs="Times New Roman"/>
          <w:kern w:val="0"/>
          <w14:ligatures w14:val="none"/>
        </w:rPr>
        <w:t xml:space="preserve"> The interpretation supporting the constitutionality of the provision is stronger. The Egyptian State Council (Majlis Al-</w:t>
      </w:r>
      <w:proofErr w:type="spellStart"/>
      <w:r w:rsidRPr="008A1125">
        <w:rPr>
          <w:rFonts w:ascii="Times New Roman" w:eastAsia="Times New Roman" w:hAnsi="Times New Roman" w:cs="Times New Roman"/>
          <w:kern w:val="0"/>
          <w14:ligatures w14:val="none"/>
        </w:rPr>
        <w:t>Dawla</w:t>
      </w:r>
      <w:proofErr w:type="spellEnd"/>
      <w:r w:rsidRPr="008A1125">
        <w:rPr>
          <w:rFonts w:ascii="Times New Roman" w:eastAsia="Times New Roman" w:hAnsi="Times New Roman" w:cs="Times New Roman"/>
          <w:kern w:val="0"/>
          <w14:ligatures w14:val="none"/>
        </w:rPr>
        <w:t>) jurisprudence generally accepts that extended unauthorized absence severs the employment bond by operation of law, provided the statutory notice/grace periods are strictly observed by the administration.</w:t>
      </w:r>
    </w:p>
    <w:p w14:paraId="2C2704B4"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6. Proposed Legislative Amendment</w:t>
      </w:r>
    </w:p>
    <w:p w14:paraId="6FEC32B2" w14:textId="77777777" w:rsidR="00386AE3" w:rsidRPr="008A1125" w:rsidRDefault="00386AE3" w:rsidP="00386AE3">
      <w:pPr>
        <w:numPr>
          <w:ilvl w:val="0"/>
          <w:numId w:val="44"/>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lastRenderedPageBreak/>
        <w:t>Conclusion on Necessity:</w:t>
      </w:r>
      <w:r w:rsidRPr="008A1125">
        <w:rPr>
          <w:rFonts w:ascii="Times New Roman" w:eastAsia="Times New Roman" w:hAnsi="Times New Roman" w:cs="Times New Roman"/>
          <w:kern w:val="0"/>
          <w14:ligatures w14:val="none"/>
        </w:rPr>
        <w:t xml:space="preserve"> No legislative amendment is strictly necessary to cure a constitutional defect, as the existing text provides an adequate structural balance through the 15-day curative window.</w:t>
      </w:r>
    </w:p>
    <w:p w14:paraId="5361D78A" w14:textId="77777777" w:rsidR="00386AE3" w:rsidRPr="008A1125" w:rsidRDefault="00386AE3" w:rsidP="00386AE3">
      <w:pPr>
        <w:numPr>
          <w:ilvl w:val="0"/>
          <w:numId w:val="44"/>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i/>
          <w:iCs/>
          <w:kern w:val="0"/>
          <w14:ligatures w14:val="none"/>
        </w:rPr>
        <w:t>Alternative Refinement (if policy enhancement is desired):</w:t>
      </w:r>
      <w:r w:rsidRPr="008A1125">
        <w:rPr>
          <w:rFonts w:ascii="Times New Roman" w:eastAsia="Times New Roman" w:hAnsi="Times New Roman" w:cs="Times New Roman"/>
          <w:kern w:val="0"/>
          <w14:ligatures w14:val="none"/>
        </w:rPr>
        <w:t xml:space="preserve"> If the legislature wished to minimize wrongful terminations caused by postal delays in delivering notices, it could explicitly mandate that the 15-day period runs from the date of </w:t>
      </w:r>
      <w:r w:rsidRPr="008A1125">
        <w:rPr>
          <w:rFonts w:ascii="Times New Roman" w:eastAsia="Times New Roman" w:hAnsi="Times New Roman" w:cs="Times New Roman"/>
          <w:i/>
          <w:iCs/>
          <w:kern w:val="0"/>
          <w14:ligatures w14:val="none"/>
        </w:rPr>
        <w:t>actual receipt</w:t>
      </w:r>
      <w:r w:rsidRPr="008A1125">
        <w:rPr>
          <w:rFonts w:ascii="Times New Roman" w:eastAsia="Times New Roman" w:hAnsi="Times New Roman" w:cs="Times New Roman"/>
          <w:kern w:val="0"/>
          <w14:ligatures w14:val="none"/>
        </w:rPr>
        <w:t xml:space="preserve"> of notification rather than strictly from the lapse of the 30 days. However, since the text as written does not mandate an affirmative notice requirement, the current provision remains legally functional under Egyptian administrative rules. No artificial amendment is proposed.</w:t>
      </w:r>
    </w:p>
    <w:p w14:paraId="6B96B327"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7. Confidence and Limitations</w:t>
      </w:r>
    </w:p>
    <w:p w14:paraId="0F63E033" w14:textId="77777777" w:rsidR="00386AE3" w:rsidRPr="008A1125" w:rsidRDefault="00386AE3" w:rsidP="00386AE3">
      <w:pPr>
        <w:numPr>
          <w:ilvl w:val="0"/>
          <w:numId w:val="45"/>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Overall Conclusion:</w:t>
      </w:r>
      <w:r w:rsidRPr="008A1125">
        <w:rPr>
          <w:rFonts w:ascii="Times New Roman" w:eastAsia="Times New Roman" w:hAnsi="Times New Roman" w:cs="Times New Roman"/>
          <w:kern w:val="0"/>
          <w14:ligatures w14:val="none"/>
        </w:rPr>
        <w:t xml:space="preserve"> Article 108(1) is a valid, enforceable statutory rule establishing a deemed resignation mechanism that balances administrative efficiency with a reasonable grace period for employees to justify absences.</w:t>
      </w:r>
    </w:p>
    <w:p w14:paraId="059CAFEA" w14:textId="77777777" w:rsidR="00386AE3" w:rsidRPr="008A1125" w:rsidRDefault="00386AE3" w:rsidP="00386AE3">
      <w:pPr>
        <w:numPr>
          <w:ilvl w:val="0"/>
          <w:numId w:val="45"/>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Strongest Argument Supporting Conclusion:</w:t>
      </w:r>
      <w:r w:rsidRPr="008A1125">
        <w:rPr>
          <w:rFonts w:ascii="Times New Roman" w:eastAsia="Times New Roman" w:hAnsi="Times New Roman" w:cs="Times New Roman"/>
          <w:kern w:val="0"/>
          <w14:ligatures w14:val="none"/>
        </w:rPr>
        <w:t xml:space="preserve"> The provision explicitly allows the employee a 15-day window to present an excuse, preventing arbitrary instantaneous dismissals.</w:t>
      </w:r>
    </w:p>
    <w:p w14:paraId="67155E00" w14:textId="77777777" w:rsidR="00386AE3" w:rsidRPr="008A1125" w:rsidRDefault="00386AE3" w:rsidP="00386AE3">
      <w:pPr>
        <w:numPr>
          <w:ilvl w:val="0"/>
          <w:numId w:val="45"/>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Strongest Argument Against It:</w:t>
      </w:r>
      <w:r w:rsidRPr="008A1125">
        <w:rPr>
          <w:rFonts w:ascii="Times New Roman" w:eastAsia="Times New Roman" w:hAnsi="Times New Roman" w:cs="Times New Roman"/>
          <w:kern w:val="0"/>
          <w14:ligatures w14:val="none"/>
        </w:rPr>
        <w:t xml:space="preserve"> The lack of a mandatory prior notification letter or formal investigation before the clock starts ticking can place a heavy evidentiary burden on the employee.</w:t>
      </w:r>
    </w:p>
    <w:p w14:paraId="39C41678" w14:textId="77777777" w:rsidR="00386AE3" w:rsidRPr="008A1125" w:rsidRDefault="00386AE3" w:rsidP="00386AE3">
      <w:pPr>
        <w:numPr>
          <w:ilvl w:val="0"/>
          <w:numId w:val="45"/>
        </w:numPr>
        <w:spacing w:before="100" w:beforeAutospacing="1" w:after="100" w:afterAutospacing="1" w:line="240" w:lineRule="auto"/>
        <w:jc w:val="both"/>
        <w:rPr>
          <w:rFonts w:ascii="Times New Roman" w:eastAsia="Times New Roman" w:hAnsi="Times New Roman" w:cs="Times New Roman"/>
          <w:kern w:val="0"/>
          <w14:ligatures w14:val="none"/>
        </w:rPr>
      </w:pPr>
      <w:r w:rsidRPr="008A1125">
        <w:rPr>
          <w:rFonts w:ascii="Times New Roman" w:eastAsia="Times New Roman" w:hAnsi="Times New Roman" w:cs="Times New Roman"/>
          <w:b/>
          <w:bCs/>
          <w:kern w:val="0"/>
          <w14:ligatures w14:val="none"/>
        </w:rPr>
        <w:t>Uncertainties:</w:t>
      </w:r>
      <w:r w:rsidRPr="008A1125">
        <w:rPr>
          <w:rFonts w:ascii="Times New Roman" w:eastAsia="Times New Roman" w:hAnsi="Times New Roman" w:cs="Times New Roman"/>
          <w:kern w:val="0"/>
          <w14:ligatures w14:val="none"/>
        </w:rPr>
        <w:t xml:space="preserve"> The analysis relies strictly on the provided statutory text and general principles of Egyptian administrative law; the absence of specific internal service records or administrative circulars regarding how notice is served introduces minor operational uncertainties, but these do not invalidate the core constitutional standing of the provision.</w:t>
      </w:r>
    </w:p>
    <w:p w14:paraId="329EC5B9" w14:textId="77777777" w:rsidR="00386AE3" w:rsidRDefault="00386AE3" w:rsidP="00386AE3">
      <w:pPr>
        <w:jc w:val="both"/>
        <w:rPr>
          <w:rtl/>
          <w:lang w:bidi="ar-EG"/>
        </w:rPr>
      </w:pPr>
      <w:r>
        <w:rPr>
          <w:lang w:bidi="ar-EG"/>
        </w:rPr>
        <w:br w:type="page"/>
      </w:r>
    </w:p>
    <w:p w14:paraId="101412AA" w14:textId="23564333" w:rsidR="00386AE3" w:rsidRPr="00797A5A" w:rsidRDefault="00386AE3" w:rsidP="00797A5A">
      <w:pPr>
        <w:pStyle w:val="2"/>
        <w:rPr>
          <w:rFonts w:asciiTheme="majorBidi" w:hAnsiTheme="majorBidi" w:cstheme="majorBidi"/>
        </w:rPr>
      </w:pPr>
      <w:proofErr w:type="spellStart"/>
      <w:r w:rsidRPr="00797A5A">
        <w:rPr>
          <w:rFonts w:asciiTheme="majorBidi" w:hAnsiTheme="majorBidi" w:cstheme="majorBidi"/>
        </w:rPr>
        <w:lastRenderedPageBreak/>
        <w:t>DeepSeek</w:t>
      </w:r>
      <w:proofErr w:type="spellEnd"/>
      <w:r w:rsidRPr="00797A5A">
        <w:rPr>
          <w:rFonts w:asciiTheme="majorBidi" w:hAnsiTheme="majorBidi" w:cstheme="majorBidi"/>
        </w:rPr>
        <w:t xml:space="preserve"> </w:t>
      </w:r>
      <w:r w:rsidR="00797A5A" w:rsidRPr="00797A5A">
        <w:rPr>
          <w:rFonts w:asciiTheme="majorBidi" w:hAnsiTheme="majorBidi" w:cstheme="majorBidi"/>
        </w:rPr>
        <w:t>Output</w:t>
      </w:r>
    </w:p>
    <w:p w14:paraId="6D1CD008"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1. Statutory Structure</w:t>
      </w:r>
    </w:p>
    <w:p w14:paraId="0565BFAA"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Legal Mechanism Established by Article 108(1)</w:t>
      </w:r>
    </w:p>
    <w:p w14:paraId="2B76A0DF"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provision establishes a </w:t>
      </w:r>
      <w:r w:rsidRPr="008A1125">
        <w:rPr>
          <w:rFonts w:ascii="Segoe UI" w:eastAsia="Times New Roman" w:hAnsi="Segoe UI" w:cs="Segoe UI"/>
          <w:b/>
          <w:bCs/>
          <w:color w:val="0F1115"/>
          <w:kern w:val="0"/>
          <w14:ligatures w14:val="none"/>
        </w:rPr>
        <w:t>deemed resignation mechanism</w:t>
      </w:r>
      <w:r w:rsidRPr="008A1125">
        <w:rPr>
          <w:rFonts w:ascii="Segoe UI" w:eastAsia="Times New Roman" w:hAnsi="Segoe UI" w:cs="Segoe UI"/>
          <w:color w:val="0F1115"/>
          <w:kern w:val="0"/>
          <w14:ligatures w14:val="none"/>
        </w:rPr>
        <w:t> for employees of the National Postal Authority who abandon their posts under specific circumstances. The legal structure operates as follows:</w:t>
      </w:r>
    </w:p>
    <w:p w14:paraId="010642C3"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Triggering Event:</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Unauthorized absence from work for more than thirty (30) consecutive days without prior permission.</w:t>
      </w:r>
    </w:p>
    <w:p w14:paraId="683BEBB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Statutory Periods:</w:t>
      </w:r>
    </w:p>
    <w:p w14:paraId="5DCE79C9" w14:textId="77777777" w:rsidR="00386AE3" w:rsidRPr="008A1125" w:rsidRDefault="00386AE3" w:rsidP="00386AE3">
      <w:pPr>
        <w:numPr>
          <w:ilvl w:val="0"/>
          <w:numId w:val="46"/>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Primary period:</w:t>
      </w:r>
      <w:r w:rsidRPr="008A1125">
        <w:rPr>
          <w:rFonts w:ascii="Segoe UI" w:eastAsia="Times New Roman" w:hAnsi="Segoe UI" w:cs="Segoe UI"/>
          <w:color w:val="0F1115"/>
          <w:kern w:val="0"/>
          <w14:ligatures w14:val="none"/>
        </w:rPr>
        <w:t> 30 consecutive days of unauthorized absence (triggering the presumption of resignation).</w:t>
      </w:r>
    </w:p>
    <w:p w14:paraId="55230310" w14:textId="77777777" w:rsidR="00386AE3" w:rsidRPr="008A1125" w:rsidRDefault="00386AE3" w:rsidP="00386AE3">
      <w:pPr>
        <w:numPr>
          <w:ilvl w:val="0"/>
          <w:numId w:val="46"/>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Grace/rebuttal period:</w:t>
      </w:r>
      <w:r w:rsidRPr="008A1125">
        <w:rPr>
          <w:rFonts w:ascii="Segoe UI" w:eastAsia="Times New Roman" w:hAnsi="Segoe UI" w:cs="Segoe UI"/>
          <w:color w:val="0F1115"/>
          <w:kern w:val="0"/>
          <w14:ligatures w14:val="none"/>
        </w:rPr>
        <w:t> 15 days following the 30-day absence period, during which the employee may submit evidence demonstrating that the absence was involuntary and excusable.</w:t>
      </w:r>
    </w:p>
    <w:p w14:paraId="3B395DFF"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Legal Consequence:</w:t>
      </w:r>
    </w:p>
    <w:p w14:paraId="22D7C9AB" w14:textId="77777777" w:rsidR="00386AE3" w:rsidRPr="008A1125" w:rsidRDefault="00386AE3" w:rsidP="00386AE3">
      <w:pPr>
        <w:numPr>
          <w:ilvl w:val="0"/>
          <w:numId w:val="47"/>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If the employee fails to provide justifying reasons within the 15-day period, or provides reasons that are rejected, their service is deemed terminated retroactively from the date of their absence (ab initio).</w:t>
      </w:r>
    </w:p>
    <w:p w14:paraId="4B606A48" w14:textId="77777777" w:rsidR="00386AE3" w:rsidRPr="008A1125" w:rsidRDefault="00386AE3" w:rsidP="00386AE3">
      <w:pPr>
        <w:numPr>
          <w:ilvl w:val="0"/>
          <w:numId w:val="47"/>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employee's service is considered ended as a matter of law without the need for a formal resignation declaration or disciplinary procedure.</w:t>
      </w:r>
    </w:p>
    <w:p w14:paraId="4CDA18BC"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Possibility of Return:</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employee may "return" procedurally only by submitting acceptable justification within the 15-day rebuttal period. The provision does not contemplate return through any other mechanism once the period expires or justification is rejected.</w:t>
      </w:r>
    </w:p>
    <w:p w14:paraId="65F3B032"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Role of Competent Authority:</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"competent authority" (</w:t>
      </w:r>
      <w:r w:rsidRPr="008A1125">
        <w:rPr>
          <w:rFonts w:ascii="Segoe UI" w:eastAsia="Times New Roman" w:hAnsi="Segoe UI" w:cs="Segoe UI"/>
          <w:color w:val="0F1115"/>
          <w:kern w:val="0"/>
          <w:rtl/>
          <w14:ligatures w14:val="none"/>
        </w:rPr>
        <w:t>السلطة المختصة</w:t>
      </w:r>
      <w:r w:rsidRPr="008A1125">
        <w:rPr>
          <w:rFonts w:ascii="Segoe UI" w:eastAsia="Times New Roman" w:hAnsi="Segoe UI" w:cs="Segoe UI"/>
          <w:color w:val="0F1115"/>
          <w:kern w:val="0"/>
          <w14:ligatures w14:val="none"/>
        </w:rPr>
        <w:t>) exercises two explicit functions:</w:t>
      </w:r>
    </w:p>
    <w:p w14:paraId="50BB6E71" w14:textId="77777777" w:rsidR="00386AE3" w:rsidRPr="008A1125" w:rsidRDefault="00386AE3" w:rsidP="00386AE3">
      <w:pPr>
        <w:numPr>
          <w:ilvl w:val="0"/>
          <w:numId w:val="48"/>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Evaluating the submitted evidence to determine whether the absence was involuntary and excusable; and</w:t>
      </w:r>
    </w:p>
    <w:p w14:paraId="4188BDB1" w14:textId="77777777" w:rsidR="00386AE3" w:rsidRPr="008A1125" w:rsidRDefault="00386AE3" w:rsidP="00386AE3">
      <w:pPr>
        <w:numPr>
          <w:ilvl w:val="0"/>
          <w:numId w:val="48"/>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Deciding on the employee's entitlement to salary during the absence period, conditional on whether the employee has sufficient accrued leave balance.</w:t>
      </w:r>
    </w:p>
    <w:p w14:paraId="35E20492"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Express Procedural Safeguards:</w:t>
      </w:r>
    </w:p>
    <w:p w14:paraId="3AD623A4" w14:textId="77777777" w:rsidR="00386AE3" w:rsidRPr="008A1125" w:rsidRDefault="00386AE3" w:rsidP="00386AE3">
      <w:pPr>
        <w:numPr>
          <w:ilvl w:val="0"/>
          <w:numId w:val="49"/>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w:t>
      </w:r>
      <w:r w:rsidRPr="008A1125">
        <w:rPr>
          <w:rFonts w:ascii="Segoe UI" w:eastAsia="Times New Roman" w:hAnsi="Segoe UI" w:cs="Segoe UI"/>
          <w:b/>
          <w:bCs/>
          <w:color w:val="0F1115"/>
          <w:kern w:val="0"/>
          <w14:ligatures w14:val="none"/>
        </w:rPr>
        <w:t>rebuttal opportunity</w:t>
      </w:r>
      <w:r w:rsidRPr="008A1125">
        <w:rPr>
          <w:rFonts w:ascii="Segoe UI" w:eastAsia="Times New Roman" w:hAnsi="Segoe UI" w:cs="Segoe UI"/>
          <w:color w:val="0F1115"/>
          <w:kern w:val="0"/>
          <w14:ligatures w14:val="none"/>
        </w:rPr>
        <w:t> – the employee has 15 days to present exculpatory evidence.</w:t>
      </w:r>
    </w:p>
    <w:p w14:paraId="442212CF" w14:textId="77777777" w:rsidR="00386AE3" w:rsidRPr="008A1125" w:rsidRDefault="00386AE3" w:rsidP="00386AE3">
      <w:pPr>
        <w:numPr>
          <w:ilvl w:val="0"/>
          <w:numId w:val="49"/>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lastRenderedPageBreak/>
        <w:t>A </w:t>
      </w:r>
      <w:r w:rsidRPr="008A1125">
        <w:rPr>
          <w:rFonts w:ascii="Segoe UI" w:eastAsia="Times New Roman" w:hAnsi="Segoe UI" w:cs="Segoe UI"/>
          <w:b/>
          <w:bCs/>
          <w:color w:val="0F1115"/>
          <w:kern w:val="0"/>
          <w14:ligatures w14:val="none"/>
        </w:rPr>
        <w:t>substantive standard</w:t>
      </w:r>
      <w:r w:rsidRPr="008A1125">
        <w:rPr>
          <w:rFonts w:ascii="Segoe UI" w:eastAsia="Times New Roman" w:hAnsi="Segoe UI" w:cs="Segoe UI"/>
          <w:color w:val="0F1115"/>
          <w:kern w:val="0"/>
          <w14:ligatures w14:val="none"/>
        </w:rPr>
        <w:t> – the authority must consider whether the absence was "outside the employee's will" (</w:t>
      </w:r>
      <w:r w:rsidRPr="008A1125">
        <w:rPr>
          <w:rFonts w:ascii="Segoe UI" w:eastAsia="Times New Roman" w:hAnsi="Segoe UI" w:cs="Segoe UI"/>
          <w:color w:val="0F1115"/>
          <w:kern w:val="0"/>
          <w:rtl/>
          <w14:ligatures w14:val="none"/>
        </w:rPr>
        <w:t>خارجاً عن إرادته</w:t>
      </w:r>
      <w:r w:rsidRPr="008A1125">
        <w:rPr>
          <w:rFonts w:ascii="Segoe UI" w:eastAsia="Times New Roman" w:hAnsi="Segoe UI" w:cs="Segoe UI"/>
          <w:color w:val="0F1115"/>
          <w:kern w:val="0"/>
          <w14:ligatures w14:val="none"/>
        </w:rPr>
        <w:t>) and with an "acceptable excuse" (</w:t>
      </w:r>
      <w:r w:rsidRPr="008A1125">
        <w:rPr>
          <w:rFonts w:ascii="Segoe UI" w:eastAsia="Times New Roman" w:hAnsi="Segoe UI" w:cs="Segoe UI"/>
          <w:color w:val="0F1115"/>
          <w:kern w:val="0"/>
          <w:rtl/>
          <w14:ligatures w14:val="none"/>
        </w:rPr>
        <w:t>بعذر مقبول</w:t>
      </w:r>
      <w:r w:rsidRPr="008A1125">
        <w:rPr>
          <w:rFonts w:ascii="Segoe UI" w:eastAsia="Times New Roman" w:hAnsi="Segoe UI" w:cs="Segoe UI"/>
          <w:color w:val="0F1115"/>
          <w:kern w:val="0"/>
          <w14:ligatures w14:val="none"/>
        </w:rPr>
        <w:t>).</w:t>
      </w:r>
    </w:p>
    <w:p w14:paraId="6A386CEF" w14:textId="77777777" w:rsidR="00386AE3" w:rsidRPr="008A1125" w:rsidRDefault="00386AE3" w:rsidP="00386AE3">
      <w:pPr>
        <w:numPr>
          <w:ilvl w:val="0"/>
          <w:numId w:val="49"/>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w:t>
      </w:r>
      <w:r w:rsidRPr="008A1125">
        <w:rPr>
          <w:rFonts w:ascii="Segoe UI" w:eastAsia="Times New Roman" w:hAnsi="Segoe UI" w:cs="Segoe UI"/>
          <w:b/>
          <w:bCs/>
          <w:color w:val="0F1115"/>
          <w:kern w:val="0"/>
          <w14:ligatures w14:val="none"/>
        </w:rPr>
        <w:t>salary protection mechanism</w:t>
      </w:r>
      <w:r w:rsidRPr="008A1125">
        <w:rPr>
          <w:rFonts w:ascii="Segoe UI" w:eastAsia="Times New Roman" w:hAnsi="Segoe UI" w:cs="Segoe UI"/>
          <w:color w:val="0F1115"/>
          <w:kern w:val="0"/>
          <w14:ligatures w14:val="none"/>
        </w:rPr>
        <w:t> – if the absence is excused and the employee has leave credits, the authority may award salary for the absence period.</w:t>
      </w:r>
    </w:p>
    <w:p w14:paraId="11B7EF95" w14:textId="77777777" w:rsidR="00386AE3" w:rsidRPr="008A1125" w:rsidRDefault="00386AE3" w:rsidP="00386AE3">
      <w:pPr>
        <w:numPr>
          <w:ilvl w:val="0"/>
          <w:numId w:val="49"/>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w:t>
      </w:r>
      <w:r w:rsidRPr="008A1125">
        <w:rPr>
          <w:rFonts w:ascii="Segoe UI" w:eastAsia="Times New Roman" w:hAnsi="Segoe UI" w:cs="Segoe UI"/>
          <w:b/>
          <w:bCs/>
          <w:color w:val="0F1115"/>
          <w:kern w:val="0"/>
          <w14:ligatures w14:val="none"/>
        </w:rPr>
        <w:t>written justification requirement</w:t>
      </w:r>
      <w:r w:rsidRPr="008A1125">
        <w:rPr>
          <w:rFonts w:ascii="Segoe UI" w:eastAsia="Times New Roman" w:hAnsi="Segoe UI" w:cs="Segoe UI"/>
          <w:color w:val="0F1115"/>
          <w:kern w:val="0"/>
          <w14:ligatures w14:val="none"/>
        </w:rPr>
        <w:t> – the employee must "present" (</w:t>
      </w:r>
      <w:r w:rsidRPr="008A1125">
        <w:rPr>
          <w:rFonts w:ascii="Segoe UI" w:eastAsia="Times New Roman" w:hAnsi="Segoe UI" w:cs="Segoe UI"/>
          <w:color w:val="0F1115"/>
          <w:kern w:val="0"/>
          <w:rtl/>
          <w14:ligatures w14:val="none"/>
        </w:rPr>
        <w:t>يقدم</w:t>
      </w:r>
      <w:r w:rsidRPr="008A1125">
        <w:rPr>
          <w:rFonts w:ascii="Segoe UI" w:eastAsia="Times New Roman" w:hAnsi="Segoe UI" w:cs="Segoe UI"/>
          <w:color w:val="0F1115"/>
          <w:kern w:val="0"/>
          <w14:ligatures w14:val="none"/>
        </w:rPr>
        <w:t>) reasons; the provision implies a documentary submission.</w:t>
      </w:r>
    </w:p>
    <w:p w14:paraId="586EEA0A"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321AE8EB">
          <v:rect id="_x0000_i1050" style="width:0;height:.75pt" o:hralign="center" o:hrstd="t" o:hr="t" fillcolor="#a0a0a0" stroked="f"/>
        </w:pict>
      </w:r>
    </w:p>
    <w:p w14:paraId="32156357"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2. Potential Legislative Omissions</w:t>
      </w:r>
    </w:p>
    <w:p w14:paraId="7990D50C"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Omission 1: Procedural Safeguards for Evaluating and Rejecting Justifications</w:t>
      </w:r>
    </w:p>
    <w:p w14:paraId="444A2266"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What is absent:</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provision does not specify:</w:t>
      </w:r>
    </w:p>
    <w:p w14:paraId="6B167267" w14:textId="77777777" w:rsidR="00386AE3" w:rsidRPr="008A1125" w:rsidRDefault="00386AE3" w:rsidP="00386AE3">
      <w:pPr>
        <w:numPr>
          <w:ilvl w:val="0"/>
          <w:numId w:val="5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procedure for notifying the employee of the rejection of their justification;</w:t>
      </w:r>
    </w:p>
    <w:p w14:paraId="572FC0F8" w14:textId="77777777" w:rsidR="00386AE3" w:rsidRPr="008A1125" w:rsidRDefault="00386AE3" w:rsidP="00386AE3">
      <w:pPr>
        <w:numPr>
          <w:ilvl w:val="0"/>
          <w:numId w:val="5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timeline within which the competent authority must decide on the submitted justification;</w:t>
      </w:r>
    </w:p>
    <w:p w14:paraId="5E0AC521" w14:textId="77777777" w:rsidR="00386AE3" w:rsidRPr="008A1125" w:rsidRDefault="00386AE3" w:rsidP="00386AE3">
      <w:pPr>
        <w:numPr>
          <w:ilvl w:val="0"/>
          <w:numId w:val="5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Whether the employee has a right to respond to the rejection or contest the grounds for rejection;</w:t>
      </w:r>
    </w:p>
    <w:p w14:paraId="5E39776D" w14:textId="77777777" w:rsidR="00386AE3" w:rsidRPr="008A1125" w:rsidRDefault="00386AE3" w:rsidP="00386AE3">
      <w:pPr>
        <w:numPr>
          <w:ilvl w:val="0"/>
          <w:numId w:val="5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Whether the employee is entitled to be heard (orally or in writing) before a final rejection decision is made;</w:t>
      </w:r>
    </w:p>
    <w:p w14:paraId="5DA774C6" w14:textId="77777777" w:rsidR="00386AE3" w:rsidRPr="008A1125" w:rsidRDefault="00386AE3" w:rsidP="00386AE3">
      <w:pPr>
        <w:numPr>
          <w:ilvl w:val="0"/>
          <w:numId w:val="5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evidentiary standards or burden of proof applicable to the assessment of "acceptable excuse."</w:t>
      </w:r>
    </w:p>
    <w:p w14:paraId="7C37CA82" w14:textId="77777777" w:rsidR="00386AE3"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Why it might matter legally:</w:t>
      </w:r>
    </w:p>
    <w:p w14:paraId="0360E3BA"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rejection of an employee's justification is the pivotal act that terminates service retroactively. Without procedural safeguards at this stage, the employee may face termination without meaningful participation in the decision-making process, potentially violating principles of due process and fair hearing.</w:t>
      </w:r>
    </w:p>
    <w:p w14:paraId="370D0BD8"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Materiality assessment:</w:t>
      </w:r>
      <w:r>
        <w:rPr>
          <w:rFonts w:ascii="Segoe UI" w:eastAsia="Times New Roman" w:hAnsi="Segoe UI" w:cs="Segoe UI"/>
          <w:color w:val="0F1115"/>
          <w:kern w:val="0"/>
          <w14:ligatures w14:val="none"/>
        </w:rPr>
        <w:t xml:space="preserve"> </w:t>
      </w:r>
      <w:r w:rsidRPr="008A1125">
        <w:rPr>
          <w:rFonts w:ascii="Segoe UI" w:eastAsia="Times New Roman" w:hAnsi="Segoe UI" w:cs="Segoe UI"/>
          <w:b/>
          <w:bCs/>
          <w:color w:val="0F1115"/>
          <w:kern w:val="0"/>
          <w14:ligatures w14:val="none"/>
        </w:rPr>
        <w:t>Material.</w:t>
      </w:r>
      <w:r w:rsidRPr="008A1125">
        <w:rPr>
          <w:rFonts w:ascii="Segoe UI" w:eastAsia="Times New Roman" w:hAnsi="Segoe UI" w:cs="Segoe UI"/>
          <w:color w:val="0F1115"/>
          <w:kern w:val="0"/>
          <w14:ligatures w14:val="none"/>
        </w:rPr>
        <w:t> The absence of procedural rules at the rejection stage goes to the core of the decision that terminates employment. The provision contains a procedural safeguard for </w:t>
      </w:r>
      <w:r w:rsidRPr="008A1125">
        <w:rPr>
          <w:rFonts w:ascii="Segoe UI" w:eastAsia="Times New Roman" w:hAnsi="Segoe UI" w:cs="Segoe UI"/>
          <w:i/>
          <w:iCs/>
          <w:color w:val="0F1115"/>
          <w:kern w:val="0"/>
          <w14:ligatures w14:val="none"/>
        </w:rPr>
        <w:t>submitting</w:t>
      </w:r>
      <w:r w:rsidRPr="008A1125">
        <w:rPr>
          <w:rFonts w:ascii="Segoe UI" w:eastAsia="Times New Roman" w:hAnsi="Segoe UI" w:cs="Segoe UI"/>
          <w:color w:val="0F1115"/>
          <w:kern w:val="0"/>
          <w14:ligatures w14:val="none"/>
        </w:rPr>
        <w:t> justification (the 15-day period) but none for the </w:t>
      </w:r>
      <w:r w:rsidRPr="008A1125">
        <w:rPr>
          <w:rFonts w:ascii="Segoe UI" w:eastAsia="Times New Roman" w:hAnsi="Segoe UI" w:cs="Segoe UI"/>
          <w:i/>
          <w:iCs/>
          <w:color w:val="0F1115"/>
          <w:kern w:val="0"/>
          <w14:ligatures w14:val="none"/>
        </w:rPr>
        <w:t>evaluation and rejection</w:t>
      </w:r>
      <w:r w:rsidRPr="008A1125">
        <w:rPr>
          <w:rFonts w:ascii="Segoe UI" w:eastAsia="Times New Roman" w:hAnsi="Segoe UI" w:cs="Segoe UI"/>
          <w:color w:val="0F1115"/>
          <w:kern w:val="0"/>
          <w14:ligatures w14:val="none"/>
        </w:rPr>
        <w:t> of that justification. This is not merely incidental.</w:t>
      </w:r>
    </w:p>
    <w:p w14:paraId="0A8C3CEE"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Legislative intent:</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 xml:space="preserve">The legislature may reasonably have intended to leave the details of evaluation to internal administrative regulations or discretionary authority. However, the absence of even basic procedural contours (timelines, notice, hearing) </w:t>
      </w:r>
      <w:r w:rsidRPr="008A1125">
        <w:rPr>
          <w:rFonts w:ascii="Segoe UI" w:eastAsia="Times New Roman" w:hAnsi="Segoe UI" w:cs="Segoe UI"/>
          <w:color w:val="0F1115"/>
          <w:kern w:val="0"/>
          <w14:ligatures w14:val="none"/>
        </w:rPr>
        <w:lastRenderedPageBreak/>
        <w:t>suggests an omission rather than a deliberate choice to delegate, especially given the severe consequence (retroactive termination).</w:t>
      </w:r>
    </w:p>
    <w:p w14:paraId="410A39AC"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4D665ED4">
          <v:rect id="_x0000_i1051" style="width:0;height:.75pt" o:hralign="center" o:hrstd="t" o:hr="t" fillcolor="#a0a0a0" stroked="f"/>
        </w:pict>
      </w:r>
    </w:p>
    <w:p w14:paraId="405352B4" w14:textId="77777777" w:rsidR="00386AE3" w:rsidRPr="00AB2B5F" w:rsidRDefault="00386AE3" w:rsidP="00386AE3">
      <w:pPr>
        <w:ind w:firstLine="0"/>
        <w:rPr>
          <w:rFonts w:asciiTheme="majorBidi" w:hAnsiTheme="majorBidi" w:cstheme="majorBidi"/>
          <w:b/>
          <w:bCs/>
          <w:sz w:val="48"/>
          <w:szCs w:val="160"/>
        </w:rPr>
      </w:pPr>
      <w:r w:rsidRPr="00AB2B5F">
        <w:rPr>
          <w:rFonts w:asciiTheme="majorBidi" w:hAnsiTheme="majorBidi" w:cstheme="majorBidi"/>
          <w:b/>
          <w:bCs/>
          <w:sz w:val="48"/>
          <w:szCs w:val="160"/>
        </w:rPr>
        <w:t>Omission 2: Right to Appeal or Administrative Review</w:t>
      </w:r>
    </w:p>
    <w:p w14:paraId="57988759" w14:textId="77777777" w:rsidR="00386AE3"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What is absent:</w:t>
      </w:r>
    </w:p>
    <w:p w14:paraId="118D57DF"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provision does not provide for any right to appeal the competent authority's decision to reject the justification, nor does it establish an internal administrative review mechanism.</w:t>
      </w:r>
    </w:p>
    <w:p w14:paraId="7670C71F" w14:textId="77777777" w:rsidR="00386AE3"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Why it might matter legally:</w:t>
      </w:r>
    </w:p>
    <w:p w14:paraId="5F93EA8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decision to deem service terminated is final under the literal text. Without an appeal mechanism, the employee has no administrative recourse before resorting to litigation, which may be costly, time-consuming, and procedurally complex.</w:t>
      </w:r>
    </w:p>
    <w:p w14:paraId="4899C11E" w14:textId="77777777" w:rsidR="00386AE3"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Materiality assessment:</w:t>
      </w:r>
    </w:p>
    <w:p w14:paraId="4D9287F2"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Material but potentially within legislative discretion.</w:t>
      </w:r>
      <w:r w:rsidRPr="008A1125">
        <w:rPr>
          <w:rFonts w:ascii="Segoe UI" w:eastAsia="Times New Roman" w:hAnsi="Segoe UI" w:cs="Segoe UI"/>
          <w:color w:val="0F1115"/>
          <w:kern w:val="0"/>
          <w14:ligatures w14:val="none"/>
        </w:rPr>
        <w:t> While the absence of an internal appeal mechanism is significant, many Egyptian administrative regulations do not provide for internal appeals against deemed resignation decisions, leaving affected employees to challenge decisions before the administrative judiciary (State Council). The question is whether the specific nature of a "deemed resignation" – which operates automatically – makes an appeal mechanism constitutionally necessary.</w:t>
      </w:r>
    </w:p>
    <w:p w14:paraId="097625E9"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Legislative intent:</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legislature could reasonably have intended that the employee's only recourse is judicial review before the Administrative Court, consistent with the general framework of Egyptian administrative law. This may be a deliberate policy choice rather than a genuine omission.</w:t>
      </w:r>
    </w:p>
    <w:p w14:paraId="14990AB4"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6B50D496">
          <v:rect id="_x0000_i1052" style="width:0;height:.75pt" o:hralign="center" o:hrstd="t" o:hr="t" fillcolor="#a0a0a0" stroked="f"/>
        </w:pict>
      </w:r>
    </w:p>
    <w:p w14:paraId="4E3C5190"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Omission 3: Notice Requirement Before Termination Takes Effect</w:t>
      </w:r>
    </w:p>
    <w:p w14:paraId="7B11E7A9"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What is absent:</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There is no express requirement that the competent authority notify the employee of the termination decision or of the rejection of their justification.</w:t>
      </w:r>
    </w:p>
    <w:p w14:paraId="78F1433D"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lastRenderedPageBreak/>
        <w:t>Why it might matter legally:</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Under the provision, service terminates "from the date of the employee's absence" (</w:t>
      </w:r>
      <w:r w:rsidRPr="008A1125">
        <w:rPr>
          <w:rFonts w:ascii="Segoe UI" w:eastAsia="Times New Roman" w:hAnsi="Segoe UI" w:cs="Segoe UI"/>
          <w:color w:val="0F1115"/>
          <w:kern w:val="0"/>
          <w:rtl/>
          <w14:ligatures w14:val="none"/>
        </w:rPr>
        <w:t>من تاريخ انقطاعه عن العمل</w:t>
      </w:r>
      <w:r w:rsidRPr="008A1125">
        <w:rPr>
          <w:rFonts w:ascii="Segoe UI" w:eastAsia="Times New Roman" w:hAnsi="Segoe UI" w:cs="Segoe UI"/>
          <w:color w:val="0F1115"/>
          <w:kern w:val="0"/>
          <w14:ligatures w14:val="none"/>
        </w:rPr>
        <w:t>). This retroactive effect means the employee may be unaware that their service has been terminated for an extended period, depriving them of the opportunity to challenge the decision in a timely manner. Additionally, they may continue to believe they are employed, with adverse consequences for their legal status, pension rights, and social insurance coverage.</w:t>
      </w:r>
    </w:p>
    <w:p w14:paraId="5AAD7D4F"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Materiality assessment:</w:t>
      </w:r>
      <w:r>
        <w:rPr>
          <w:rFonts w:ascii="Segoe UI" w:eastAsia="Times New Roman" w:hAnsi="Segoe UI" w:cs="Segoe UI"/>
          <w:color w:val="0F1115"/>
          <w:kern w:val="0"/>
          <w14:ligatures w14:val="none"/>
        </w:rPr>
        <w:t xml:space="preserve"> </w:t>
      </w:r>
      <w:r w:rsidRPr="008A1125">
        <w:rPr>
          <w:rFonts w:ascii="Segoe UI" w:eastAsia="Times New Roman" w:hAnsi="Segoe UI" w:cs="Segoe UI"/>
          <w:b/>
          <w:bCs/>
          <w:color w:val="0F1115"/>
          <w:kern w:val="0"/>
          <w14:ligatures w14:val="none"/>
        </w:rPr>
        <w:t>Highly material.</w:t>
      </w:r>
      <w:r w:rsidRPr="008A1125">
        <w:rPr>
          <w:rFonts w:ascii="Segoe UI" w:eastAsia="Times New Roman" w:hAnsi="Segoe UI" w:cs="Segoe UI"/>
          <w:color w:val="0F1115"/>
          <w:kern w:val="0"/>
          <w14:ligatures w14:val="none"/>
        </w:rPr>
        <w:t> The retroactive termination combined with the absence of a notice requirement creates a significant risk of legal uncertainty and procedural unfairness. This is not an incidental omission; it affects the fundamental fairness of the process.</w:t>
      </w:r>
    </w:p>
    <w:p w14:paraId="4CAD2D2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Legislative intent:</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It is difficult to conclude that the legislature deliberately omitted a notice requirement. The provision focuses on the substantive conditions for deeming resignation but does not address the mechanics of implementing that decision. This is more likely a genuine omission than a deliberate choice.</w:t>
      </w:r>
    </w:p>
    <w:p w14:paraId="2AAAB2EC"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16F87C13">
          <v:rect id="_x0000_i1053" style="width:0;height:.75pt" o:hralign="center" o:hrstd="t" o:hr="t" fillcolor="#a0a0a0" stroked="f"/>
        </w:pict>
      </w:r>
    </w:p>
    <w:p w14:paraId="719EDB94"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Omission 4: Definition of "Acceptable Excuse" and "Involuntary Absence"</w:t>
      </w:r>
    </w:p>
    <w:p w14:paraId="765AA06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What is absent:</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provision does not define what constitutes an "acceptable excuse" (</w:t>
      </w:r>
      <w:r w:rsidRPr="008A1125">
        <w:rPr>
          <w:rFonts w:ascii="Segoe UI" w:eastAsia="Times New Roman" w:hAnsi="Segoe UI" w:cs="Segoe UI"/>
          <w:color w:val="0F1115"/>
          <w:kern w:val="0"/>
          <w:rtl/>
          <w14:ligatures w14:val="none"/>
        </w:rPr>
        <w:t>عذر مقبول</w:t>
      </w:r>
      <w:r w:rsidRPr="008A1125">
        <w:rPr>
          <w:rFonts w:ascii="Segoe UI" w:eastAsia="Times New Roman" w:hAnsi="Segoe UI" w:cs="Segoe UI"/>
          <w:color w:val="0F1115"/>
          <w:kern w:val="0"/>
          <w14:ligatures w14:val="none"/>
        </w:rPr>
        <w:t>) or an absence that is "outside the employee's will" (</w:t>
      </w:r>
      <w:r w:rsidRPr="008A1125">
        <w:rPr>
          <w:rFonts w:ascii="Segoe UI" w:eastAsia="Times New Roman" w:hAnsi="Segoe UI" w:cs="Segoe UI"/>
          <w:color w:val="0F1115"/>
          <w:kern w:val="0"/>
          <w:rtl/>
          <w14:ligatures w14:val="none"/>
        </w:rPr>
        <w:t>خارجاً عن إرادته</w:t>
      </w:r>
      <w:r w:rsidRPr="008A1125">
        <w:rPr>
          <w:rFonts w:ascii="Segoe UI" w:eastAsia="Times New Roman" w:hAnsi="Segoe UI" w:cs="Segoe UI"/>
          <w:color w:val="0F1115"/>
          <w:kern w:val="0"/>
          <w14:ligatures w14:val="none"/>
        </w:rPr>
        <w:t>).</w:t>
      </w:r>
    </w:p>
    <w:p w14:paraId="0DC91931"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Why it might matter legally:</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competent authority has unguided discretion to determine whether an excuse is acceptable. This may lead to arbitrary or inconsistent application, potentially violating the principle of equality and the right to a fair determination.</w:t>
      </w:r>
    </w:p>
    <w:p w14:paraId="76D82B10"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Materiality assessment:</w:t>
      </w:r>
      <w:r>
        <w:rPr>
          <w:rFonts w:ascii="Segoe UI" w:eastAsia="Times New Roman" w:hAnsi="Segoe UI" w:cs="Segoe UI"/>
          <w:color w:val="0F1115"/>
          <w:kern w:val="0"/>
          <w14:ligatures w14:val="none"/>
        </w:rPr>
        <w:t xml:space="preserve"> </w:t>
      </w:r>
      <w:r w:rsidRPr="008A1125">
        <w:rPr>
          <w:rFonts w:ascii="Segoe UI" w:eastAsia="Times New Roman" w:hAnsi="Segoe UI" w:cs="Segoe UI"/>
          <w:b/>
          <w:bCs/>
          <w:color w:val="0F1115"/>
          <w:kern w:val="0"/>
          <w14:ligatures w14:val="none"/>
        </w:rPr>
        <w:t>Incidental.</w:t>
      </w:r>
      <w:r w:rsidRPr="008A1125">
        <w:rPr>
          <w:rFonts w:ascii="Segoe UI" w:eastAsia="Times New Roman" w:hAnsi="Segoe UI" w:cs="Segoe UI"/>
          <w:color w:val="0F1115"/>
          <w:kern w:val="0"/>
          <w14:ligatures w14:val="none"/>
        </w:rPr>
        <w:t> While definitions are helpful, it is common in Egyptian administrative law for terms like "acceptable excuse" to be left to the discretion of the competent authority, subject to judicial review for abuse of discretion. The absence of a definition is a matter of legislative policy rather than a genuine gap, provided that judicial review is available to check arbitrariness.</w:t>
      </w:r>
    </w:p>
    <w:p w14:paraId="5DF902D7"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Legislative intent:</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legislature deliberately used broad language to allow flexibility in assessing the wide variety of circumstances that may justify absence. This is a permissible legislative choice.</w:t>
      </w:r>
    </w:p>
    <w:p w14:paraId="34EEE007"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55BCA8DC">
          <v:rect id="_x0000_i1054" style="width:0;height:.75pt" o:hralign="center" o:hrstd="t" o:hr="t" fillcolor="#a0a0a0" stroked="f"/>
        </w:pict>
      </w:r>
    </w:p>
    <w:p w14:paraId="4B1531ED"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lastRenderedPageBreak/>
        <w:t>Omission 5: Consideration of the Employee's Circumstances or Public Interest</w:t>
      </w:r>
    </w:p>
    <w:p w14:paraId="0729329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What is absent:</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provision does not require the competent authority to consider:</w:t>
      </w:r>
    </w:p>
    <w:p w14:paraId="52863DAB" w14:textId="77777777" w:rsidR="00386AE3" w:rsidRPr="008A1125" w:rsidRDefault="00386AE3" w:rsidP="00386AE3">
      <w:pPr>
        <w:numPr>
          <w:ilvl w:val="0"/>
          <w:numId w:val="51"/>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employee's length of service or disciplinary record;</w:t>
      </w:r>
    </w:p>
    <w:p w14:paraId="02F8A42A" w14:textId="77777777" w:rsidR="00386AE3" w:rsidRPr="008A1125" w:rsidRDefault="00386AE3" w:rsidP="00386AE3">
      <w:pPr>
        <w:numPr>
          <w:ilvl w:val="0"/>
          <w:numId w:val="51"/>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public interest in retaining the employee;</w:t>
      </w:r>
    </w:p>
    <w:p w14:paraId="17BE86F9" w14:textId="77777777" w:rsidR="00386AE3" w:rsidRPr="008A1125" w:rsidRDefault="00386AE3" w:rsidP="00386AE3">
      <w:pPr>
        <w:numPr>
          <w:ilvl w:val="0"/>
          <w:numId w:val="51"/>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Mitigating circumstances beyond the strict "involuntary absence" standard;</w:t>
      </w:r>
    </w:p>
    <w:p w14:paraId="034CBC47" w14:textId="77777777" w:rsidR="00386AE3" w:rsidRPr="008A1125" w:rsidRDefault="00386AE3" w:rsidP="00386AE3">
      <w:pPr>
        <w:numPr>
          <w:ilvl w:val="0"/>
          <w:numId w:val="51"/>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Whether termination is proportionate to the gravity of the absence.</w:t>
      </w:r>
    </w:p>
    <w:p w14:paraId="31DFB4A7" w14:textId="77777777" w:rsidR="00386AE3"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Why it might matter legally:</w:t>
      </w:r>
    </w:p>
    <w:p w14:paraId="6E2241BC"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This is relevant to the principle of proportionality, particularly if the absence was brief beyond the 30-day period or if the employee has a long and unblemished service record. The automatic nature of the termination (upon rejection of justification) does not permit a proportionality assessment.</w:t>
      </w:r>
    </w:p>
    <w:p w14:paraId="3340BCB0" w14:textId="77777777" w:rsidR="00386AE3"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Materiality assessment:</w:t>
      </w:r>
    </w:p>
    <w:p w14:paraId="55937B49"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Potentially material but constitutionally weak.</w:t>
      </w:r>
      <w:r w:rsidRPr="008A1125">
        <w:rPr>
          <w:rFonts w:ascii="Segoe UI" w:eastAsia="Times New Roman" w:hAnsi="Segoe UI" w:cs="Segoe UI"/>
          <w:color w:val="0F1115"/>
          <w:kern w:val="0"/>
          <w14:ligatures w14:val="none"/>
        </w:rPr>
        <w:t> The legislature set a clear 30-day threshold, and the automatic consequence is a deliberate policy choice to ensure administrative efficiency. While proportionality is a general principle of administrative law, it does not necessarily require the legislature to build proportionality assessments into every termination provision, especially where the employee has already been absent for over a month.</w:t>
      </w:r>
    </w:p>
    <w:p w14:paraId="15ED8713" w14:textId="77777777" w:rsidR="00386AE3"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Legislative intent:</w:t>
      </w:r>
    </w:p>
    <w:p w14:paraId="5463986D"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legislature deliberately chose an automatic consequence to create a strong deterrent against unauthorized absence and to ensure administrative continuity. This is a policy choice, not a gap.</w:t>
      </w:r>
    </w:p>
    <w:p w14:paraId="0BDB741A"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41A6F675">
          <v:rect id="_x0000_i1055" style="width:0;height:.75pt" o:hralign="center" o:hrstd="t" o:hr="t" fillcolor="#a0a0a0" stroked="f"/>
        </w:pict>
      </w:r>
    </w:p>
    <w:p w14:paraId="7D01CF80" w14:textId="77777777" w:rsidR="00386AE3" w:rsidRPr="005D414A" w:rsidRDefault="00386AE3" w:rsidP="00386AE3">
      <w:pPr>
        <w:ind w:firstLine="0"/>
        <w:rPr>
          <w:rFonts w:asciiTheme="majorBidi" w:hAnsiTheme="majorBidi" w:cstheme="majorBidi"/>
          <w:b/>
          <w:bCs/>
          <w:sz w:val="48"/>
          <w:szCs w:val="160"/>
        </w:rPr>
      </w:pPr>
      <w:r w:rsidRPr="005D414A">
        <w:rPr>
          <w:rFonts w:asciiTheme="majorBidi" w:hAnsiTheme="majorBidi" w:cstheme="majorBidi"/>
          <w:b/>
          <w:bCs/>
          <w:sz w:val="48"/>
          <w:szCs w:val="160"/>
        </w:rPr>
        <w:t>3. Constitutional Assessment</w:t>
      </w:r>
    </w:p>
    <w:p w14:paraId="49825B55"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Relevant Constitutional Principles (Egyptian Constitutional Framework)</w:t>
      </w:r>
    </w:p>
    <w:p w14:paraId="28F6B33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Under the Egyptian Constitution of 2014 (as amended), the following principles are relevant:</w:t>
      </w:r>
    </w:p>
    <w:p w14:paraId="1B45BE3D" w14:textId="77777777" w:rsidR="00386AE3" w:rsidRPr="008A1125" w:rsidRDefault="00386AE3" w:rsidP="00386AE3">
      <w:pPr>
        <w:numPr>
          <w:ilvl w:val="0"/>
          <w:numId w:val="52"/>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lastRenderedPageBreak/>
        <w:t>Right to Work (Article 12):</w:t>
      </w:r>
      <w:r w:rsidRPr="008A1125">
        <w:rPr>
          <w:rFonts w:ascii="Segoe UI" w:eastAsia="Times New Roman" w:hAnsi="Segoe UI" w:cs="Segoe UI"/>
          <w:color w:val="0F1115"/>
          <w:kern w:val="0"/>
          <w14:ligatures w14:val="none"/>
        </w:rPr>
        <w:t> "Work is a right, a duty, and an honor, guaranteed by the state." The right to work includes protection against arbitrary termination.</w:t>
      </w:r>
    </w:p>
    <w:p w14:paraId="5D9FF6A9" w14:textId="77777777" w:rsidR="00386AE3" w:rsidRPr="008A1125" w:rsidRDefault="00386AE3" w:rsidP="00386AE3">
      <w:pPr>
        <w:numPr>
          <w:ilvl w:val="0"/>
          <w:numId w:val="52"/>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Principle of Equality and Non-Discrimination (Article 53):</w:t>
      </w:r>
      <w:r w:rsidRPr="008A1125">
        <w:rPr>
          <w:rFonts w:ascii="Segoe UI" w:eastAsia="Times New Roman" w:hAnsi="Segoe UI" w:cs="Segoe UI"/>
          <w:color w:val="0F1115"/>
          <w:kern w:val="0"/>
          <w14:ligatures w14:val="none"/>
        </w:rPr>
        <w:t> All citizens are equal before the law, and no discrimination is permitted.</w:t>
      </w:r>
    </w:p>
    <w:p w14:paraId="5CC69CB1" w14:textId="77777777" w:rsidR="00386AE3" w:rsidRPr="008A1125" w:rsidRDefault="00386AE3" w:rsidP="00386AE3">
      <w:pPr>
        <w:numPr>
          <w:ilvl w:val="0"/>
          <w:numId w:val="52"/>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Rule of Law and Due Process (Articles 94, 97):</w:t>
      </w:r>
      <w:r w:rsidRPr="008A1125">
        <w:rPr>
          <w:rFonts w:ascii="Segoe UI" w:eastAsia="Times New Roman" w:hAnsi="Segoe UI" w:cs="Segoe UI"/>
          <w:color w:val="0F1115"/>
          <w:kern w:val="0"/>
          <w14:ligatures w14:val="none"/>
        </w:rPr>
        <w:t> The Constitution guarantees the right to litigation (</w:t>
      </w:r>
      <w:r w:rsidRPr="008A1125">
        <w:rPr>
          <w:rFonts w:ascii="Segoe UI" w:eastAsia="Times New Roman" w:hAnsi="Segoe UI" w:cs="Segoe UI"/>
          <w:color w:val="0F1115"/>
          <w:kern w:val="0"/>
          <w:rtl/>
          <w14:ligatures w14:val="none"/>
        </w:rPr>
        <w:t>حق التقاضي</w:t>
      </w:r>
      <w:r w:rsidRPr="008A1125">
        <w:rPr>
          <w:rFonts w:ascii="Segoe UI" w:eastAsia="Times New Roman" w:hAnsi="Segoe UI" w:cs="Segoe UI"/>
          <w:color w:val="0F1115"/>
          <w:kern w:val="0"/>
          <w14:ligatures w14:val="none"/>
        </w:rPr>
        <w:t>) and the right to a fair trial. While these provisions primarily address judicial proceedings, they also inform the broader principle of procedural fairness in administrative actions that significantly affect individual rights.</w:t>
      </w:r>
    </w:p>
    <w:p w14:paraId="4A761056" w14:textId="77777777" w:rsidR="00386AE3" w:rsidRPr="008A1125" w:rsidRDefault="00386AE3" w:rsidP="00386AE3">
      <w:pPr>
        <w:numPr>
          <w:ilvl w:val="0"/>
          <w:numId w:val="52"/>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Right to a Fair Trial (Article 97):</w:t>
      </w:r>
      <w:r w:rsidRPr="008A1125">
        <w:rPr>
          <w:rFonts w:ascii="Segoe UI" w:eastAsia="Times New Roman" w:hAnsi="Segoe UI" w:cs="Segoe UI"/>
          <w:color w:val="0F1115"/>
          <w:kern w:val="0"/>
          <w14:ligatures w14:val="none"/>
        </w:rPr>
        <w:t> "The right to litigation is inalienable and guaranteed for all." This implies that administrative decisions affecting rights must be subject to effective judicial review.</w:t>
      </w:r>
    </w:p>
    <w:p w14:paraId="2E5D8B82" w14:textId="77777777" w:rsidR="00386AE3" w:rsidRPr="008A1125" w:rsidRDefault="00386AE3" w:rsidP="00386AE3">
      <w:pPr>
        <w:numPr>
          <w:ilvl w:val="0"/>
          <w:numId w:val="52"/>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Principle of Legality (Article 94):</w:t>
      </w:r>
      <w:r w:rsidRPr="008A1125">
        <w:rPr>
          <w:rFonts w:ascii="Segoe UI" w:eastAsia="Times New Roman" w:hAnsi="Segoe UI" w:cs="Segoe UI"/>
          <w:color w:val="0F1115"/>
          <w:kern w:val="0"/>
          <w14:ligatures w14:val="none"/>
        </w:rPr>
        <w:t> "No crime or punishment may be established except by law." By extension, administrative actions affecting fundamental rights must be grounded in law and must comply with procedural requirements.</w:t>
      </w:r>
    </w:p>
    <w:p w14:paraId="55BDD304" w14:textId="77777777" w:rsidR="00386AE3" w:rsidRPr="008A1125" w:rsidRDefault="00386AE3" w:rsidP="00386AE3">
      <w:pPr>
        <w:numPr>
          <w:ilvl w:val="0"/>
          <w:numId w:val="52"/>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Protection of Private Property and Economic Rights:</w:t>
      </w:r>
      <w:r w:rsidRPr="008A1125">
        <w:rPr>
          <w:rFonts w:ascii="Segoe UI" w:eastAsia="Times New Roman" w:hAnsi="Segoe UI" w:cs="Segoe UI"/>
          <w:color w:val="0F1115"/>
          <w:kern w:val="0"/>
          <w14:ligatures w14:val="none"/>
        </w:rPr>
        <w:t> While not directly applicable, termination of employment affects the employee's economic interests, including salary, pension, and social insurance entitlements.</w:t>
      </w:r>
    </w:p>
    <w:p w14:paraId="6E5523A8"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3D49CDFB">
          <v:rect id="_x0000_i1056" style="width:0;height:.75pt" o:hralign="center" o:hrstd="t" o:hr="t" fillcolor="#a0a0a0" stroked="f"/>
        </w:pict>
      </w:r>
    </w:p>
    <w:p w14:paraId="5345D0C0"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A. Argument that the Omission is Constitutionally Problematic</w:t>
      </w:r>
    </w:p>
    <w:p w14:paraId="3866452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Omission 1 (Procedural safeguards at the rejection stage) raises the most significant constitutional concern.</w:t>
      </w:r>
    </w:p>
    <w:p w14:paraId="46786048"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Reasoning:</w:t>
      </w:r>
      <w:r w:rsidRPr="008A1125">
        <w:rPr>
          <w:rFonts w:ascii="Segoe UI" w:eastAsia="Times New Roman" w:hAnsi="Segoe UI" w:cs="Segoe UI"/>
          <w:color w:val="0F1115"/>
          <w:kern w:val="0"/>
          <w14:ligatures w14:val="none"/>
        </w:rPr>
        <w:br/>
        <w:t>The provision terminates an employee's service </w:t>
      </w:r>
      <w:r w:rsidRPr="008A1125">
        <w:rPr>
          <w:rFonts w:ascii="Segoe UI" w:eastAsia="Times New Roman" w:hAnsi="Segoe UI" w:cs="Segoe UI"/>
          <w:i/>
          <w:iCs/>
          <w:color w:val="0F1115"/>
          <w:kern w:val="0"/>
          <w14:ligatures w14:val="none"/>
        </w:rPr>
        <w:t>retroactively</w:t>
      </w:r>
      <w:r w:rsidRPr="008A1125">
        <w:rPr>
          <w:rFonts w:ascii="Segoe UI" w:eastAsia="Times New Roman" w:hAnsi="Segoe UI" w:cs="Segoe UI"/>
          <w:color w:val="0F1115"/>
          <w:kern w:val="0"/>
          <w14:ligatures w14:val="none"/>
        </w:rPr>
        <w:t> upon the rejection of their justification. This affects the constitutional right to work (Article 12). Under Egyptian constitutional jurisprudence, the right to work includes protection against arbitrary dismissal. The Supreme Constitutional Court has consistently held that administrative decisions affecting fundamental rights must be accompanied by adequate procedural guarantees, including the right to be heard and the right to know the grounds for adverse decisions.</w:t>
      </w:r>
    </w:p>
    <w:p w14:paraId="131285F2"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provision provides no guarantee that:</w:t>
      </w:r>
    </w:p>
    <w:p w14:paraId="48A95BF2" w14:textId="77777777" w:rsidR="00386AE3" w:rsidRPr="008A1125" w:rsidRDefault="00386AE3" w:rsidP="00386AE3">
      <w:pPr>
        <w:numPr>
          <w:ilvl w:val="0"/>
          <w:numId w:val="53"/>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employee will be notified of the rejection;</w:t>
      </w:r>
    </w:p>
    <w:p w14:paraId="2439343F" w14:textId="77777777" w:rsidR="00386AE3" w:rsidRPr="008A1125" w:rsidRDefault="00386AE3" w:rsidP="00386AE3">
      <w:pPr>
        <w:numPr>
          <w:ilvl w:val="0"/>
          <w:numId w:val="53"/>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employee will be given reasons for the rejection;</w:t>
      </w:r>
    </w:p>
    <w:p w14:paraId="41962CDA" w14:textId="77777777" w:rsidR="00386AE3" w:rsidRPr="008A1125" w:rsidRDefault="00386AE3" w:rsidP="00386AE3">
      <w:pPr>
        <w:numPr>
          <w:ilvl w:val="0"/>
          <w:numId w:val="53"/>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employee will have an opportunity to respond to any adverse findings before the final decision is made;</w:t>
      </w:r>
    </w:p>
    <w:p w14:paraId="39438A7A" w14:textId="77777777" w:rsidR="00386AE3" w:rsidRPr="008A1125" w:rsidRDefault="00386AE3" w:rsidP="00386AE3">
      <w:pPr>
        <w:numPr>
          <w:ilvl w:val="0"/>
          <w:numId w:val="53"/>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lastRenderedPageBreak/>
        <w:t>The decision will be made within a reasonable time.</w:t>
      </w:r>
    </w:p>
    <w:p w14:paraId="6F2437A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The absence of these safeguards means the employee could be terminated without ever knowing why their justification was rejected, or even that it was rejected at all.</w:t>
      </w:r>
      <w:r w:rsidRPr="008A1125">
        <w:rPr>
          <w:rFonts w:ascii="Segoe UI" w:eastAsia="Times New Roman" w:hAnsi="Segoe UI" w:cs="Segoe UI"/>
          <w:color w:val="0F1115"/>
          <w:kern w:val="0"/>
          <w14:ligatures w14:val="none"/>
        </w:rPr>
        <w:t> This is particularly problematic given the retroactive effect, which could prejudice the employee's pension rights and social insurance coverage for the intervening period.</w:t>
      </w:r>
    </w:p>
    <w:p w14:paraId="5B77A02A"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While the employee has the right to challenge the decision before the administrative judiciary (State Council), judicial review is not a substitute for administrative procedural fairness. The constitutional right to litigation (Article 97) guarantees access to courts, but it does not obviate the need for procedural fairness in the administrative process itself, particularly where the administrative decision is final and operates automatically.</w:t>
      </w:r>
    </w:p>
    <w:p w14:paraId="17484267"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Additionally, the retroactive nature of the termination</w:t>
      </w:r>
      <w:r w:rsidRPr="008A1125">
        <w:rPr>
          <w:rFonts w:ascii="Segoe UI" w:eastAsia="Times New Roman" w:hAnsi="Segoe UI" w:cs="Segoe UI"/>
          <w:color w:val="0F1115"/>
          <w:kern w:val="0"/>
          <w14:ligatures w14:val="none"/>
        </w:rPr>
        <w:t> (from the date of absence) may affect the employee's rights to social insurance and pension benefits. Under the Social Insurance Law, interruptions in service can affect the calculation of pension entitlements. By terminating service retroactively without notice, the provision may deprive the employee of rights accrued during the period between the absence and the decision, which may constitute an indirect deprivation of property rights.</w:t>
      </w:r>
    </w:p>
    <w:p w14:paraId="4A282669"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536FEA1A">
          <v:rect id="_x0000_i1057" style="width:0;height:.75pt" o:hralign="center" o:hrstd="t" o:hr="t" fillcolor="#a0a0a0" stroked="f"/>
        </w:pict>
      </w:r>
    </w:p>
    <w:p w14:paraId="01565E71"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B. Counterargument: Permissible Legislative Choice</w:t>
      </w:r>
    </w:p>
    <w:p w14:paraId="6971D5C9"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The counterargument rests on several grounds:</w:t>
      </w:r>
    </w:p>
    <w:p w14:paraId="4F237DD3"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First, the provision provides a meaningful procedural safeguard: the 15-day rebuttal period.</w:t>
      </w:r>
      <w:r w:rsidRPr="008A1125">
        <w:rPr>
          <w:rFonts w:ascii="Segoe UI" w:eastAsia="Times New Roman" w:hAnsi="Segoe UI" w:cs="Segoe UI"/>
          <w:color w:val="0F1115"/>
          <w:kern w:val="0"/>
          <w14:ligatures w14:val="none"/>
        </w:rPr>
        <w:t> The employee is expressly given the opportunity to present evidence and justification. This is more than many similar provisions in Egyptian administrative law provide. The legislature could reasonably conclude that this single opportunity is sufficient, particularly given the employee's duty to maintain contact with their employer.</w:t>
      </w:r>
    </w:p>
    <w:p w14:paraId="1F9EEBFC"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Second, the employee is presumed to be aware of their absence and the consequences.</w:t>
      </w:r>
      <w:r w:rsidRPr="008A1125">
        <w:rPr>
          <w:rFonts w:ascii="Segoe UI" w:eastAsia="Times New Roman" w:hAnsi="Segoe UI" w:cs="Segoe UI"/>
          <w:color w:val="0F1115"/>
          <w:kern w:val="0"/>
          <w14:ligatures w14:val="none"/>
        </w:rPr>
        <w:t> An employee who absents themselves for more than 30 consecutive days without authorization can reasonably be expected to know that their employment is at risk. The provision simply formalizes the legal consequence of abandonment, which is well-established in labor and administrative law.</w:t>
      </w:r>
    </w:p>
    <w:p w14:paraId="2ECFDE57"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Third, the absence of detailed procedural rules is a matter of legislative discretion.</w:t>
      </w:r>
      <w:r w:rsidRPr="008A1125">
        <w:rPr>
          <w:rFonts w:ascii="Segoe UI" w:eastAsia="Times New Roman" w:hAnsi="Segoe UI" w:cs="Segoe UI"/>
          <w:color w:val="0F1115"/>
          <w:kern w:val="0"/>
          <w14:ligatures w14:val="none"/>
        </w:rPr>
        <w:t xml:space="preserve"> The legislature may have intended to leave the details of the evaluation process to internal administrative regulations or to the competent authority's discretion, subject to judicial review. The Constitution does not require every </w:t>
      </w:r>
      <w:r w:rsidRPr="008A1125">
        <w:rPr>
          <w:rFonts w:ascii="Segoe UI" w:eastAsia="Times New Roman" w:hAnsi="Segoe UI" w:cs="Segoe UI"/>
          <w:color w:val="0F1115"/>
          <w:kern w:val="0"/>
          <w14:ligatures w14:val="none"/>
        </w:rPr>
        <w:lastRenderedPageBreak/>
        <w:t>administrative decision to be accompanied by a full adversarial hearing; the level of procedural protection required depends on the nature of the right affected and the context.</w:t>
      </w:r>
    </w:p>
    <w:p w14:paraId="7791877E"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Fourth, the principle of proportionality is not violated.</w:t>
      </w:r>
      <w:r w:rsidRPr="008A1125">
        <w:rPr>
          <w:rFonts w:ascii="Segoe UI" w:eastAsia="Times New Roman" w:hAnsi="Segoe UI" w:cs="Segoe UI"/>
          <w:color w:val="0F1115"/>
          <w:kern w:val="0"/>
          <w14:ligatures w14:val="none"/>
        </w:rPr>
        <w:t> A 30-day absence is a significant period, and the automatic consequence of termination upon rejection of justification is a proportionate response to the disruption caused by the employee's abandonment of their post. The provision does not target minor infractions but addresses a serious breach of the employment relationship.</w:t>
      </w:r>
    </w:p>
    <w:p w14:paraId="2507EF73"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Fifth, the employee has recourse to judicial review before the Administrative Court (State Council).</w:t>
      </w:r>
      <w:r w:rsidRPr="008A1125">
        <w:rPr>
          <w:rFonts w:ascii="Segoe UI" w:eastAsia="Times New Roman" w:hAnsi="Segoe UI" w:cs="Segoe UI"/>
          <w:color w:val="0F1115"/>
          <w:kern w:val="0"/>
          <w14:ligatures w14:val="none"/>
        </w:rPr>
        <w:t> Under Egyptian law, decisions of public authorities are subject to judicial review for abuse of discretion, procedural irregularity, and violation of law. The availability of judicial review is a significant procedural safeguard that mitigates the absence of internal administrative procedures.</w:t>
      </w:r>
    </w:p>
    <w:p w14:paraId="3C79E03A"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Sixth, the provision actually protects the employee in one important respect:</w:t>
      </w:r>
      <w:r w:rsidRPr="008A1125">
        <w:rPr>
          <w:rFonts w:ascii="Segoe UI" w:eastAsia="Times New Roman" w:hAnsi="Segoe UI" w:cs="Segoe UI"/>
          <w:color w:val="0F1115"/>
          <w:kern w:val="0"/>
          <w14:ligatures w14:val="none"/>
        </w:rPr>
        <w:t> it requires the competent authority to consider whether the absence was involuntary and excusable. This is a substantive safeguard that goes beyond merely setting a deadline; it requires a qualitative assessment of the employee's circumstances.</w:t>
      </w:r>
    </w:p>
    <w:p w14:paraId="2A9BD58E"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Seventh, the principle of administrative efficiency justifies the automatic mechanism.</w:t>
      </w:r>
      <w:r w:rsidRPr="008A1125">
        <w:rPr>
          <w:rFonts w:ascii="Segoe UI" w:eastAsia="Times New Roman" w:hAnsi="Segoe UI" w:cs="Segoe UI"/>
          <w:color w:val="0F1115"/>
          <w:kern w:val="0"/>
          <w14:ligatures w14:val="none"/>
        </w:rPr>
        <w:t> The National Postal Authority is a public service entity that must maintain operational continuity. The deemed resignation mechanism allows the Authority to fill vacant positions promptly, avoiding prolonged uncertainty about the employee's status.</w:t>
      </w:r>
    </w:p>
    <w:p w14:paraId="375C832D"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774D212">
          <v:rect id="_x0000_i1058" style="width:0;height:.75pt" o:hralign="center" o:hrstd="t" o:hr="t" fillcolor="#a0a0a0" stroked="f"/>
        </w:pict>
      </w:r>
    </w:p>
    <w:p w14:paraId="73211FF9"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Procedural Protection Assessment</w:t>
      </w:r>
    </w:p>
    <w:p w14:paraId="58D4905C"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Constitutional adequacy of procedural protection:</w:t>
      </w:r>
    </w:p>
    <w:p w14:paraId="6DB311D4"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provision provides </w:t>
      </w:r>
      <w:r w:rsidRPr="008A1125">
        <w:rPr>
          <w:rFonts w:ascii="Segoe UI" w:eastAsia="Times New Roman" w:hAnsi="Segoe UI" w:cs="Segoe UI"/>
          <w:b/>
          <w:bCs/>
          <w:color w:val="0F1115"/>
          <w:kern w:val="0"/>
          <w14:ligatures w14:val="none"/>
        </w:rPr>
        <w:t>partial but incomplete</w:t>
      </w:r>
      <w:r w:rsidRPr="008A1125">
        <w:rPr>
          <w:rFonts w:ascii="Segoe UI" w:eastAsia="Times New Roman" w:hAnsi="Segoe UI" w:cs="Segoe UI"/>
          <w:color w:val="0F1115"/>
          <w:kern w:val="0"/>
          <w14:ligatures w14:val="none"/>
        </w:rPr>
        <w:t> procedural protection. The 15-day rebuttal period and the substantive standard of "involuntary absence with acceptable excuse" are meaningful safeguards. However, the absence of:</w:t>
      </w:r>
    </w:p>
    <w:p w14:paraId="09BFEE40" w14:textId="77777777" w:rsidR="00386AE3" w:rsidRPr="008A1125" w:rsidRDefault="00386AE3" w:rsidP="00386AE3">
      <w:pPr>
        <w:numPr>
          <w:ilvl w:val="0"/>
          <w:numId w:val="54"/>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notice requirement for the rejection decision;</w:t>
      </w:r>
    </w:p>
    <w:p w14:paraId="2323C706" w14:textId="77777777" w:rsidR="00386AE3" w:rsidRPr="008A1125" w:rsidRDefault="00386AE3" w:rsidP="00386AE3">
      <w:pPr>
        <w:numPr>
          <w:ilvl w:val="0"/>
          <w:numId w:val="54"/>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requirement to provide reasons for rejection;</w:t>
      </w:r>
    </w:p>
    <w:p w14:paraId="2E96E661" w14:textId="77777777" w:rsidR="00386AE3" w:rsidRPr="008A1125" w:rsidRDefault="00386AE3" w:rsidP="00386AE3">
      <w:pPr>
        <w:numPr>
          <w:ilvl w:val="0"/>
          <w:numId w:val="54"/>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minimal opportunity to respond to adverse findings before final termination;</w:t>
      </w:r>
    </w:p>
    <w:p w14:paraId="6E10EFBA"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means that the provision does not fully satisfy constitutional requirements of procedural fairness in administrative actions affecting fundamental rights.</w:t>
      </w:r>
    </w:p>
    <w:p w14:paraId="1AC9A04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lastRenderedPageBreak/>
        <w:t>The constitutional floor requires that administrative decisions affecting fundamental rights be preceded by: (a) adequate notice of the decision; (b) a meaningful opportunity to be heard; and (c) a reasoned decision that can be subjected to judicial review. The provision satisfies (b) partially (through the 15-day submission period) but fails to ensure (a) and (c).</w:t>
      </w:r>
    </w:p>
    <w:p w14:paraId="4416278C"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7ABC239">
          <v:rect id="_x0000_i1059" style="width:0;height:.75pt" o:hralign="center" o:hrstd="t" o:hr="t" fillcolor="#a0a0a0" stroked="f"/>
        </w:pict>
      </w:r>
    </w:p>
    <w:p w14:paraId="20F7ED58" w14:textId="77777777" w:rsidR="00386AE3" w:rsidRPr="005D414A" w:rsidRDefault="00386AE3" w:rsidP="00386AE3">
      <w:pPr>
        <w:ind w:firstLine="0"/>
        <w:rPr>
          <w:rFonts w:asciiTheme="majorBidi" w:hAnsiTheme="majorBidi" w:cstheme="majorBidi"/>
          <w:b/>
          <w:bCs/>
          <w:sz w:val="48"/>
          <w:szCs w:val="160"/>
        </w:rPr>
      </w:pPr>
      <w:r w:rsidRPr="005D414A">
        <w:rPr>
          <w:rFonts w:asciiTheme="majorBidi" w:hAnsiTheme="majorBidi" w:cstheme="majorBidi"/>
          <w:b/>
          <w:bCs/>
          <w:sz w:val="48"/>
          <w:szCs w:val="160"/>
        </w:rPr>
        <w:t>4. Legislative-Gap Classification</w:t>
      </w:r>
    </w:p>
    <w:p w14:paraId="62590762" w14:textId="77777777" w:rsidR="00386AE3" w:rsidRPr="000D70DE" w:rsidRDefault="00386AE3" w:rsidP="00386AE3">
      <w:pPr>
        <w:ind w:firstLine="0"/>
        <w:jc w:val="both"/>
        <w:rPr>
          <w:rFonts w:asciiTheme="majorBidi" w:hAnsiTheme="majorBidi" w:cstheme="majorBidi"/>
          <w:b/>
          <w:bCs/>
          <w:sz w:val="30"/>
          <w:szCs w:val="30"/>
        </w:rPr>
      </w:pPr>
      <w:r w:rsidRPr="000D70DE">
        <w:rPr>
          <w:rFonts w:asciiTheme="majorBidi" w:hAnsiTheme="majorBidi" w:cstheme="majorBidi"/>
          <w:b/>
          <w:bCs/>
          <w:sz w:val="30"/>
          <w:szCs w:val="30"/>
        </w:rPr>
        <w:t>Classification: Material Legislative Gap</w:t>
      </w:r>
    </w:p>
    <w:p w14:paraId="0C7D203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Explanation:</w:t>
      </w:r>
    </w:p>
    <w:p w14:paraId="3749506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principal issue is a </w:t>
      </w:r>
      <w:r w:rsidRPr="008A1125">
        <w:rPr>
          <w:rFonts w:ascii="Segoe UI" w:eastAsia="Times New Roman" w:hAnsi="Segoe UI" w:cs="Segoe UI"/>
          <w:b/>
          <w:bCs/>
          <w:color w:val="0F1115"/>
          <w:kern w:val="0"/>
          <w14:ligatures w14:val="none"/>
        </w:rPr>
        <w:t>material legislative gap</w:t>
      </w:r>
      <w:r w:rsidRPr="008A1125">
        <w:rPr>
          <w:rFonts w:ascii="Segoe UI" w:eastAsia="Times New Roman" w:hAnsi="Segoe UI" w:cs="Segoe UI"/>
          <w:color w:val="0F1115"/>
          <w:kern w:val="0"/>
          <w14:ligatures w14:val="none"/>
        </w:rPr>
        <w:t> in the form of omitted procedural safeguards at the post-submission stage, specifically:</w:t>
      </w:r>
    </w:p>
    <w:p w14:paraId="129EF76F" w14:textId="77777777" w:rsidR="00386AE3" w:rsidRPr="008A1125" w:rsidRDefault="00386AE3" w:rsidP="00386AE3">
      <w:pPr>
        <w:numPr>
          <w:ilvl w:val="0"/>
          <w:numId w:val="55"/>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absence of a notice requirement for the rejection decision;</w:t>
      </w:r>
    </w:p>
    <w:p w14:paraId="778719A3" w14:textId="77777777" w:rsidR="00386AE3" w:rsidRPr="008A1125" w:rsidRDefault="00386AE3" w:rsidP="00386AE3">
      <w:pPr>
        <w:numPr>
          <w:ilvl w:val="0"/>
          <w:numId w:val="55"/>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absence of a requirement to provide reasons for rejection; and</w:t>
      </w:r>
    </w:p>
    <w:p w14:paraId="14EF8AE3" w14:textId="77777777" w:rsidR="00386AE3" w:rsidRPr="008A1125" w:rsidRDefault="00386AE3" w:rsidP="00386AE3">
      <w:pPr>
        <w:numPr>
          <w:ilvl w:val="0"/>
          <w:numId w:val="55"/>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absence of any mechanism for the employee to respond to adverse findings before final termination.</w:t>
      </w:r>
    </w:p>
    <w:p w14:paraId="44AFE5EE"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Why it is not merely "textual omission without constitutional significance":</w:t>
      </w:r>
      <w:r w:rsidRPr="008A1125">
        <w:rPr>
          <w:rFonts w:ascii="Segoe UI" w:eastAsia="Times New Roman" w:hAnsi="Segoe UI" w:cs="Segoe UI"/>
          <w:color w:val="0F1115"/>
          <w:kern w:val="0"/>
          <w14:ligatures w14:val="none"/>
        </w:rPr>
        <w:br/>
        <w:t>The omissions affect the core of the decision-making process and directly impact the employee's constitutional right to work. They are not merely stylistic or definitional; they go to procedural fairness.</w:t>
      </w:r>
    </w:p>
    <w:p w14:paraId="2B14AF88"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Why it is not a "constitutionally significant legislative omission" (in the strict sense):</w:t>
      </w:r>
      <w:r w:rsidRPr="008A1125">
        <w:rPr>
          <w:rFonts w:ascii="Segoe UI" w:eastAsia="Times New Roman" w:hAnsi="Segoe UI" w:cs="Segoe UI"/>
          <w:color w:val="0F1115"/>
          <w:kern w:val="0"/>
          <w14:ligatures w14:val="none"/>
        </w:rPr>
        <w:br/>
        <w:t>While the omissions raise constitutional concerns, they do not necessarily render the provision unconstitutional. The provision contains a meaningful rebuttal opportunity, and judicial review is available. The omissions are significant enough to require legislative correction but may not be severe enough to justify constitutional invalidation of the entire provision. The constitutional court could address the issue through interpretation (reading in procedural safeguards) rather than striking down the provision.</w:t>
      </w:r>
    </w:p>
    <w:p w14:paraId="539EC69A"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Why it is not merely a "permissible legislative choice":</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omissions are too fundamental to be attributed to legislative discretion. The retroactive nature of the termination, combined with the absence of notice and reasons, creates a real risk of arbitrary deprivation of rights. This is not a policy choice but a gap in the procedural framework.</w:t>
      </w:r>
    </w:p>
    <w:p w14:paraId="0D35E5C1"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lastRenderedPageBreak/>
        <w:t>Why it is not "no legislative gap":</w:t>
      </w:r>
      <w:r>
        <w:rPr>
          <w:rFonts w:ascii="Segoe UI" w:eastAsia="Times New Roman" w:hAnsi="Segoe UI" w:cs="Segoe UI"/>
          <w:color w:val="0F1115"/>
          <w:kern w:val="0"/>
          <w14:ligatures w14:val="none"/>
        </w:rPr>
        <w:t xml:space="preserve"> </w:t>
      </w:r>
      <w:r w:rsidRPr="008A1125">
        <w:rPr>
          <w:rFonts w:ascii="Segoe UI" w:eastAsia="Times New Roman" w:hAnsi="Segoe UI" w:cs="Segoe UI"/>
          <w:color w:val="0F1115"/>
          <w:kern w:val="0"/>
          <w14:ligatures w14:val="none"/>
        </w:rPr>
        <w:t>The provision leaves critical procedural questions entirely unaddressed, and these questions are not answered by other legal provisions (such as the general principles of administrative law, which are not codified in a single statute). This is a genuine gap that courts and administrators must fill.</w:t>
      </w:r>
    </w:p>
    <w:p w14:paraId="67BBCE7D"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346DBB4">
          <v:rect id="_x0000_i1060" style="width:0;height:.75pt" o:hralign="center" o:hrstd="t" o:hr="t" fillcolor="#a0a0a0" stroked="f"/>
        </w:pict>
      </w:r>
    </w:p>
    <w:p w14:paraId="2AED8626" w14:textId="77777777" w:rsidR="00386AE3" w:rsidRPr="005D414A" w:rsidRDefault="00386AE3" w:rsidP="00386AE3">
      <w:pPr>
        <w:ind w:firstLine="0"/>
        <w:rPr>
          <w:rFonts w:asciiTheme="majorBidi" w:hAnsiTheme="majorBidi" w:cstheme="majorBidi"/>
          <w:b/>
          <w:bCs/>
          <w:sz w:val="48"/>
          <w:szCs w:val="160"/>
        </w:rPr>
      </w:pPr>
      <w:r w:rsidRPr="005D414A">
        <w:rPr>
          <w:rFonts w:asciiTheme="majorBidi" w:hAnsiTheme="majorBidi" w:cstheme="majorBidi"/>
          <w:b/>
          <w:bCs/>
          <w:sz w:val="48"/>
          <w:szCs w:val="160"/>
        </w:rPr>
        <w:t>5. Judicial-Review Perspective</w:t>
      </w:r>
    </w:p>
    <w:p w14:paraId="7540397E"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How the Constitutional Court Could Approach the Challenge</w:t>
      </w:r>
    </w:p>
    <w:p w14:paraId="3BEA80DF"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Assume the affected employee challenges the constitutionality of Article 108(1) on the ground that it violates the right to work (Article 12) and the principle of due process implicit in the Egyptian constitutional framework.</w:t>
      </w:r>
    </w:p>
    <w:p w14:paraId="2E5ECCA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Step 1: Standing and Justiciability</w:t>
      </w:r>
    </w:p>
    <w:p w14:paraId="05DDA36C"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court would first determine whether the employee has standing. As an employee whose service was terminated under the provision, the employee has a direct personal interest. The court would also confirm that the issue is justiciable; it involves a constitutional challenge to a statutory provision, which falls within the court's jurisdiction under Article 192 of the Constitution (Supreme Constitutional Court jurisdiction over constitutionality of laws and regulations).</w:t>
      </w:r>
    </w:p>
    <w:p w14:paraId="22D312A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Step 2: Identification of the Affected Constitutional Right</w:t>
      </w:r>
    </w:p>
    <w:p w14:paraId="167FF8F3"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court would identify the constitutional right at issue as the </w:t>
      </w:r>
      <w:r w:rsidRPr="008A1125">
        <w:rPr>
          <w:rFonts w:ascii="Segoe UI" w:eastAsia="Times New Roman" w:hAnsi="Segoe UI" w:cs="Segoe UI"/>
          <w:b/>
          <w:bCs/>
          <w:color w:val="0F1115"/>
          <w:kern w:val="0"/>
          <w14:ligatures w14:val="none"/>
        </w:rPr>
        <w:t>right to work</w:t>
      </w:r>
      <w:r w:rsidRPr="008A1125">
        <w:rPr>
          <w:rFonts w:ascii="Segoe UI" w:eastAsia="Times New Roman" w:hAnsi="Segoe UI" w:cs="Segoe UI"/>
          <w:color w:val="0F1115"/>
          <w:kern w:val="0"/>
          <w14:ligatures w14:val="none"/>
        </w:rPr>
        <w:t> (Article 12), read in light of the broader principles of the rule of law and procedural fairness. The court would note that the right to work includes not only the right to obtain employment but also protection against arbitrary termination. The court would emphasize that this protection is particularly important for public sector employees, who have a legitimate expectation of continued employment absent serious misconduct.</w:t>
      </w:r>
    </w:p>
    <w:p w14:paraId="467E390D"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Step 3: Proportionality Analysis</w:t>
      </w:r>
    </w:p>
    <w:p w14:paraId="735F7918"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court would apply a proportionality analysis, structured as follows:</w:t>
      </w:r>
    </w:p>
    <w:p w14:paraId="30B57199"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Legitimate Aim:</w:t>
      </w:r>
      <w:r w:rsidRPr="008A1125">
        <w:rPr>
          <w:rFonts w:ascii="Segoe UI" w:eastAsia="Times New Roman" w:hAnsi="Segoe UI" w:cs="Segoe UI"/>
          <w:color w:val="0F1115"/>
          <w:kern w:val="0"/>
          <w14:ligatures w14:val="none"/>
        </w:rPr>
        <w:t> The provision pursues a legitimate aim: ensuring administrative continuity, deterring unauthorized absence, and enabling the Authority to fill vacant positions promptly.</w:t>
      </w:r>
    </w:p>
    <w:p w14:paraId="3BD3D95E"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Suitability:</w:t>
      </w:r>
      <w:r w:rsidRPr="008A1125">
        <w:rPr>
          <w:rFonts w:ascii="Segoe UI" w:eastAsia="Times New Roman" w:hAnsi="Segoe UI" w:cs="Segoe UI"/>
          <w:color w:val="0F1115"/>
          <w:kern w:val="0"/>
          <w14:ligatures w14:val="none"/>
        </w:rPr>
        <w:t> The provision is suitable for achieving this aim; the threat of automatic termination is an effective deterrent against prolonged unauthorized absence.</w:t>
      </w:r>
    </w:p>
    <w:p w14:paraId="4946BC5F"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lastRenderedPageBreak/>
        <w:t>Necessity:</w:t>
      </w:r>
      <w:r w:rsidRPr="008A1125">
        <w:rPr>
          <w:rFonts w:ascii="Segoe UI" w:eastAsia="Times New Roman" w:hAnsi="Segoe UI" w:cs="Segoe UI"/>
          <w:color w:val="0F1115"/>
          <w:kern w:val="0"/>
          <w14:ligatures w14:val="none"/>
        </w:rPr>
        <w:t> The provision may not be strictly necessary in its current form. The legislature could achieve the same aim with less drastic measures, such as: (a) requiring notice of rejection; (b) providing a brief opportunity for the employee to respond to adverse findings; or (c) allowing internal administrative appeal. These additional safeguards would not undermine the effectiveness of the mechanism but would enhance procedural fairness.</w:t>
      </w:r>
    </w:p>
    <w:p w14:paraId="39B55E7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 xml:space="preserve">Proportionality </w:t>
      </w:r>
      <w:proofErr w:type="spellStart"/>
      <w:r w:rsidRPr="008A1125">
        <w:rPr>
          <w:rFonts w:ascii="Segoe UI" w:eastAsia="Times New Roman" w:hAnsi="Segoe UI" w:cs="Segoe UI"/>
          <w:b/>
          <w:bCs/>
          <w:color w:val="0F1115"/>
          <w:kern w:val="0"/>
          <w14:ligatures w14:val="none"/>
        </w:rPr>
        <w:t>Strictu</w:t>
      </w:r>
      <w:proofErr w:type="spellEnd"/>
      <w:r w:rsidRPr="008A1125">
        <w:rPr>
          <w:rFonts w:ascii="Segoe UI" w:eastAsia="Times New Roman" w:hAnsi="Segoe UI" w:cs="Segoe UI"/>
          <w:b/>
          <w:bCs/>
          <w:color w:val="0F1115"/>
          <w:kern w:val="0"/>
          <w14:ligatures w14:val="none"/>
        </w:rPr>
        <w:t xml:space="preserve"> Sensu (Balancing):</w:t>
      </w:r>
      <w:r w:rsidRPr="008A1125">
        <w:rPr>
          <w:rFonts w:ascii="Segoe UI" w:eastAsia="Times New Roman" w:hAnsi="Segoe UI" w:cs="Segoe UI"/>
          <w:color w:val="0F1115"/>
          <w:kern w:val="0"/>
          <w14:ligatures w14:val="none"/>
        </w:rPr>
        <w:t> The court would balance the public interest in administrative efficiency against the employee's interest in protecting their right to work and livelihood. The public interest is significant but not absolute. The employee's interest is also significant; termination of public sector employment affects not only income but also pension rights, social insurance coverage, and professional reputation.</w:t>
      </w:r>
    </w:p>
    <w:p w14:paraId="7DF56F17"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court would likely conclude that the absence of notice and reasons creates a disproportionate risk of arbitrary deprivation. While the 15-day rebuttal period provides some protection, it does not ensure that the employee will know the outcome of the process or the reasons for an adverse decision. The retroactive effect exacerbates the harm.</w:t>
      </w:r>
    </w:p>
    <w:p w14:paraId="4BB3B539"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Step 4: Interpretation Rather Than Invalidation</w:t>
      </w:r>
    </w:p>
    <w:p w14:paraId="483C2CE4"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Supreme Constitutional Court of Egypt has historically preferred interpretation (</w:t>
      </w:r>
      <w:r w:rsidRPr="008A1125">
        <w:rPr>
          <w:rFonts w:ascii="Segoe UI" w:eastAsia="Times New Roman" w:hAnsi="Segoe UI" w:cs="Segoe UI"/>
          <w:color w:val="0F1115"/>
          <w:kern w:val="0"/>
          <w:rtl/>
          <w14:ligatures w14:val="none"/>
        </w:rPr>
        <w:t>التفسير الملائم للدستور</w:t>
      </w:r>
      <w:r w:rsidRPr="008A1125">
        <w:rPr>
          <w:rFonts w:ascii="Segoe UI" w:eastAsia="Times New Roman" w:hAnsi="Segoe UI" w:cs="Segoe UI"/>
          <w:color w:val="0F1115"/>
          <w:kern w:val="0"/>
          <w14:ligatures w14:val="none"/>
        </w:rPr>
        <w:t>) over outright invalidation when a provision can be read in a constitutionally compliant manner. The court could adopt one of the following approaches:</w:t>
      </w:r>
    </w:p>
    <w:p w14:paraId="4792F0D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Approach 1: Reading in Procedural Safeguards</w:t>
      </w:r>
    </w:p>
    <w:p w14:paraId="6B2EED14"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court could interpret Article 108(1) as implicitly requiring:</w:t>
      </w:r>
    </w:p>
    <w:p w14:paraId="024A0B36" w14:textId="77777777" w:rsidR="00386AE3" w:rsidRPr="008A1125" w:rsidRDefault="00386AE3" w:rsidP="00386AE3">
      <w:pPr>
        <w:numPr>
          <w:ilvl w:val="0"/>
          <w:numId w:val="56"/>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 xml:space="preserve">That the competent authority </w:t>
      </w:r>
      <w:proofErr w:type="gramStart"/>
      <w:r w:rsidRPr="008A1125">
        <w:rPr>
          <w:rFonts w:ascii="Segoe UI" w:eastAsia="Times New Roman" w:hAnsi="Segoe UI" w:cs="Segoe UI"/>
          <w:color w:val="0F1115"/>
          <w:kern w:val="0"/>
          <w14:ligatures w14:val="none"/>
        </w:rPr>
        <w:t>notify</w:t>
      </w:r>
      <w:proofErr w:type="gramEnd"/>
      <w:r w:rsidRPr="008A1125">
        <w:rPr>
          <w:rFonts w:ascii="Segoe UI" w:eastAsia="Times New Roman" w:hAnsi="Segoe UI" w:cs="Segoe UI"/>
          <w:color w:val="0F1115"/>
          <w:kern w:val="0"/>
          <w14:ligatures w14:val="none"/>
        </w:rPr>
        <w:t xml:space="preserve"> the employee of the rejection of their justification;</w:t>
      </w:r>
    </w:p>
    <w:p w14:paraId="6D9CBC4E" w14:textId="77777777" w:rsidR="00386AE3" w:rsidRPr="008A1125" w:rsidRDefault="00386AE3" w:rsidP="00386AE3">
      <w:pPr>
        <w:numPr>
          <w:ilvl w:val="0"/>
          <w:numId w:val="56"/>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 xml:space="preserve">That the notification </w:t>
      </w:r>
      <w:proofErr w:type="gramStart"/>
      <w:r w:rsidRPr="008A1125">
        <w:rPr>
          <w:rFonts w:ascii="Segoe UI" w:eastAsia="Times New Roman" w:hAnsi="Segoe UI" w:cs="Segoe UI"/>
          <w:color w:val="0F1115"/>
          <w:kern w:val="0"/>
          <w14:ligatures w14:val="none"/>
        </w:rPr>
        <w:t>include</w:t>
      </w:r>
      <w:proofErr w:type="gramEnd"/>
      <w:r w:rsidRPr="008A1125">
        <w:rPr>
          <w:rFonts w:ascii="Segoe UI" w:eastAsia="Times New Roman" w:hAnsi="Segoe UI" w:cs="Segoe UI"/>
          <w:color w:val="0F1115"/>
          <w:kern w:val="0"/>
          <w14:ligatures w14:val="none"/>
        </w:rPr>
        <w:t xml:space="preserve"> reasons for the rejection;</w:t>
      </w:r>
    </w:p>
    <w:p w14:paraId="30F0E431" w14:textId="77777777" w:rsidR="00386AE3" w:rsidRPr="008A1125" w:rsidRDefault="00386AE3" w:rsidP="00386AE3">
      <w:pPr>
        <w:numPr>
          <w:ilvl w:val="0"/>
          <w:numId w:val="56"/>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That the rejection decision be made within a reasonable time (e.g., 30 days from the submission of justification);</w:t>
      </w:r>
    </w:p>
    <w:p w14:paraId="246EECEA" w14:textId="77777777" w:rsidR="00386AE3" w:rsidRPr="008A1125" w:rsidRDefault="00386AE3" w:rsidP="00386AE3">
      <w:pPr>
        <w:numPr>
          <w:ilvl w:val="0"/>
          <w:numId w:val="56"/>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That the employee be given a brief opportunity (e.g., 7 days) to respond to the reasons before the rejection becomes final.</w:t>
      </w:r>
    </w:p>
    <w:p w14:paraId="4E83A0ED"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This approach would preserve the provision while ensuring compliance with constitutional principles.</w:t>
      </w:r>
    </w:p>
    <w:p w14:paraId="2AC18EB9"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Approach 2: Construing the Provision Narrowly</w:t>
      </w:r>
    </w:p>
    <w:p w14:paraId="5E8D14E4"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court could construe the phrase "</w:t>
      </w:r>
      <w:r w:rsidRPr="008A1125">
        <w:rPr>
          <w:rFonts w:ascii="Segoe UI" w:eastAsia="Times New Roman" w:hAnsi="Segoe UI" w:cs="Segoe UI"/>
          <w:color w:val="0F1115"/>
          <w:kern w:val="0"/>
          <w:rtl/>
          <w14:ligatures w14:val="none"/>
        </w:rPr>
        <w:t>إذا قدم هذه الأسباب ورفضت</w:t>
      </w:r>
      <w:r w:rsidRPr="008A1125">
        <w:rPr>
          <w:rFonts w:ascii="Segoe UI" w:eastAsia="Times New Roman" w:hAnsi="Segoe UI" w:cs="Segoe UI"/>
          <w:color w:val="0F1115"/>
          <w:kern w:val="0"/>
          <w14:ligatures w14:val="none"/>
        </w:rPr>
        <w:t xml:space="preserve">" (if he presents these reasons and they are rejected) as requiring a formal, reasoned rejection decision, which </w:t>
      </w:r>
      <w:r w:rsidRPr="008A1125">
        <w:rPr>
          <w:rFonts w:ascii="Segoe UI" w:eastAsia="Times New Roman" w:hAnsi="Segoe UI" w:cs="Segoe UI"/>
          <w:color w:val="0F1115"/>
          <w:kern w:val="0"/>
          <w14:ligatures w14:val="none"/>
        </w:rPr>
        <w:lastRenderedPageBreak/>
        <w:t>necessarily implies notice. The court could further read the principle of administrative due process as requiring that the employee be heard before the rejection becomes final.</w:t>
      </w:r>
    </w:p>
    <w:p w14:paraId="656745D1"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Approach 3: Partial Invalidation</w:t>
      </w:r>
    </w:p>
    <w:p w14:paraId="45EE5EB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If the court concludes that the provision cannot be interpreted in a constitutionally compliant manner, it could strike down the provision as unconstitutional to the extent that it allows termination without procedural safeguards. However, this would be a more drastic step and would leave a gap in the law, which the legislature would need to fill.</w:t>
      </w:r>
    </w:p>
    <w:p w14:paraId="64B4224A"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Competing Considerations:</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5"/>
        <w:gridCol w:w="6582"/>
      </w:tblGrid>
      <w:tr w:rsidR="00386AE3" w:rsidRPr="008A1125" w14:paraId="2763E0F2" w14:textId="77777777" w:rsidTr="00B021F2">
        <w:trPr>
          <w:trHeight w:val="731"/>
          <w:tblHeader/>
        </w:trPr>
        <w:tc>
          <w:tcPr>
            <w:tcW w:w="3015" w:type="dxa"/>
            <w:tcMar>
              <w:top w:w="150" w:type="dxa"/>
              <w:left w:w="0" w:type="dxa"/>
              <w:bottom w:w="150" w:type="dxa"/>
              <w:right w:w="240" w:type="dxa"/>
            </w:tcMar>
            <w:vAlign w:val="center"/>
            <w:hideMark/>
          </w:tcPr>
          <w:p w14:paraId="6D94573B"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Argument Supporting Constitutionality</w:t>
            </w:r>
          </w:p>
        </w:tc>
        <w:tc>
          <w:tcPr>
            <w:tcW w:w="6582" w:type="dxa"/>
            <w:tcMar>
              <w:top w:w="150" w:type="dxa"/>
              <w:left w:w="240" w:type="dxa"/>
              <w:bottom w:w="150" w:type="dxa"/>
              <w:right w:w="240" w:type="dxa"/>
            </w:tcMar>
            <w:vAlign w:val="center"/>
            <w:hideMark/>
          </w:tcPr>
          <w:p w14:paraId="6EE37747"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Argument Opposing Constitutionality</w:t>
            </w:r>
          </w:p>
        </w:tc>
      </w:tr>
      <w:tr w:rsidR="00386AE3" w:rsidRPr="008A1125" w14:paraId="258B5DBF" w14:textId="77777777" w:rsidTr="00B021F2">
        <w:trPr>
          <w:trHeight w:val="1096"/>
        </w:trPr>
        <w:tc>
          <w:tcPr>
            <w:tcW w:w="3015" w:type="dxa"/>
            <w:tcMar>
              <w:top w:w="150" w:type="dxa"/>
              <w:left w:w="0" w:type="dxa"/>
              <w:bottom w:w="150" w:type="dxa"/>
              <w:right w:w="240" w:type="dxa"/>
            </w:tcMar>
            <w:vAlign w:val="center"/>
            <w:hideMark/>
          </w:tcPr>
          <w:p w14:paraId="3DB96B05"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The 15-day rebuttal period is a meaningful procedural safeguard.</w:t>
            </w:r>
          </w:p>
        </w:tc>
        <w:tc>
          <w:tcPr>
            <w:tcW w:w="6582" w:type="dxa"/>
            <w:tcMar>
              <w:top w:w="150" w:type="dxa"/>
              <w:left w:w="240" w:type="dxa"/>
              <w:bottom w:w="150" w:type="dxa"/>
              <w:right w:w="0" w:type="dxa"/>
            </w:tcMar>
            <w:vAlign w:val="center"/>
            <w:hideMark/>
          </w:tcPr>
          <w:p w14:paraId="0D4B871F"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The rebuttal period only addresses submission, not the evaluation or rejection stage.</w:t>
            </w:r>
          </w:p>
        </w:tc>
      </w:tr>
      <w:tr w:rsidR="00386AE3" w:rsidRPr="008A1125" w14:paraId="00BFC626" w14:textId="77777777" w:rsidTr="00B021F2">
        <w:trPr>
          <w:trHeight w:val="1096"/>
        </w:trPr>
        <w:tc>
          <w:tcPr>
            <w:tcW w:w="3015" w:type="dxa"/>
            <w:tcMar>
              <w:top w:w="150" w:type="dxa"/>
              <w:left w:w="0" w:type="dxa"/>
              <w:bottom w:w="150" w:type="dxa"/>
              <w:right w:w="240" w:type="dxa"/>
            </w:tcMar>
            <w:vAlign w:val="center"/>
            <w:hideMark/>
          </w:tcPr>
          <w:p w14:paraId="6E9825AD"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The employee is presumed to know the consequences of absence.</w:t>
            </w:r>
          </w:p>
        </w:tc>
        <w:tc>
          <w:tcPr>
            <w:tcW w:w="6582" w:type="dxa"/>
            <w:tcMar>
              <w:top w:w="150" w:type="dxa"/>
              <w:left w:w="240" w:type="dxa"/>
              <w:bottom w:w="150" w:type="dxa"/>
              <w:right w:w="0" w:type="dxa"/>
            </w:tcMar>
            <w:vAlign w:val="center"/>
            <w:hideMark/>
          </w:tcPr>
          <w:p w14:paraId="5DEA4E04"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Knowledge of consequences does not equate to procedural fairness in the decision-making process.</w:t>
            </w:r>
          </w:p>
        </w:tc>
      </w:tr>
      <w:tr w:rsidR="00386AE3" w:rsidRPr="008A1125" w14:paraId="117AA504" w14:textId="77777777" w:rsidTr="00B021F2">
        <w:trPr>
          <w:trHeight w:val="731"/>
        </w:trPr>
        <w:tc>
          <w:tcPr>
            <w:tcW w:w="3015" w:type="dxa"/>
            <w:tcMar>
              <w:top w:w="150" w:type="dxa"/>
              <w:left w:w="0" w:type="dxa"/>
              <w:bottom w:w="150" w:type="dxa"/>
              <w:right w:w="240" w:type="dxa"/>
            </w:tcMar>
            <w:vAlign w:val="center"/>
            <w:hideMark/>
          </w:tcPr>
          <w:p w14:paraId="58215959"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Judicial review is available before the State Council.</w:t>
            </w:r>
          </w:p>
        </w:tc>
        <w:tc>
          <w:tcPr>
            <w:tcW w:w="6582" w:type="dxa"/>
            <w:tcMar>
              <w:top w:w="150" w:type="dxa"/>
              <w:left w:w="240" w:type="dxa"/>
              <w:bottom w:w="150" w:type="dxa"/>
              <w:right w:w="0" w:type="dxa"/>
            </w:tcMar>
            <w:vAlign w:val="center"/>
            <w:hideMark/>
          </w:tcPr>
          <w:p w14:paraId="126D985B"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Judicial review is not a substitute for administrative procedural fairness.</w:t>
            </w:r>
          </w:p>
        </w:tc>
      </w:tr>
      <w:tr w:rsidR="00386AE3" w:rsidRPr="008A1125" w14:paraId="3146091B" w14:textId="77777777" w:rsidTr="00B021F2">
        <w:trPr>
          <w:trHeight w:val="1096"/>
        </w:trPr>
        <w:tc>
          <w:tcPr>
            <w:tcW w:w="3015" w:type="dxa"/>
            <w:tcMar>
              <w:top w:w="150" w:type="dxa"/>
              <w:left w:w="0" w:type="dxa"/>
              <w:bottom w:w="150" w:type="dxa"/>
              <w:right w:w="240" w:type="dxa"/>
            </w:tcMar>
            <w:vAlign w:val="center"/>
            <w:hideMark/>
          </w:tcPr>
          <w:p w14:paraId="291948A5"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The provision serves the legitimate aim of administrative efficiency.</w:t>
            </w:r>
          </w:p>
        </w:tc>
        <w:tc>
          <w:tcPr>
            <w:tcW w:w="6582" w:type="dxa"/>
            <w:tcMar>
              <w:top w:w="150" w:type="dxa"/>
              <w:left w:w="240" w:type="dxa"/>
              <w:bottom w:w="150" w:type="dxa"/>
              <w:right w:w="0" w:type="dxa"/>
            </w:tcMar>
            <w:vAlign w:val="center"/>
            <w:hideMark/>
          </w:tcPr>
          <w:p w14:paraId="4A04B2A4"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Administrative efficiency does not justify arbitrary deprivation of rights.</w:t>
            </w:r>
          </w:p>
        </w:tc>
      </w:tr>
      <w:tr w:rsidR="00386AE3" w:rsidRPr="008A1125" w14:paraId="6A1871F6" w14:textId="77777777" w:rsidTr="00B021F2">
        <w:trPr>
          <w:trHeight w:val="1096"/>
        </w:trPr>
        <w:tc>
          <w:tcPr>
            <w:tcW w:w="3015" w:type="dxa"/>
            <w:tcMar>
              <w:top w:w="150" w:type="dxa"/>
              <w:left w:w="0" w:type="dxa"/>
              <w:bottom w:w="150" w:type="dxa"/>
              <w:right w:w="240" w:type="dxa"/>
            </w:tcMar>
            <w:vAlign w:val="center"/>
            <w:hideMark/>
          </w:tcPr>
          <w:p w14:paraId="66D82E3E"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The legislature has discretion in designing termination procedures.</w:t>
            </w:r>
          </w:p>
        </w:tc>
        <w:tc>
          <w:tcPr>
            <w:tcW w:w="6582" w:type="dxa"/>
            <w:tcMar>
              <w:top w:w="150" w:type="dxa"/>
              <w:left w:w="240" w:type="dxa"/>
              <w:bottom w:w="150" w:type="dxa"/>
              <w:right w:w="0" w:type="dxa"/>
            </w:tcMar>
            <w:vAlign w:val="center"/>
            <w:hideMark/>
          </w:tcPr>
          <w:p w14:paraId="0E72EDC6" w14:textId="77777777" w:rsidR="00386AE3" w:rsidRPr="008A1125" w:rsidRDefault="00386AE3" w:rsidP="00B021F2">
            <w:pPr>
              <w:spacing w:before="0" w:after="0" w:line="375" w:lineRule="atLeast"/>
              <w:ind w:firstLine="0"/>
              <w:jc w:val="both"/>
              <w:rPr>
                <w:rFonts w:ascii="Segoe UI" w:eastAsia="Times New Roman" w:hAnsi="Segoe UI" w:cs="Segoe UI"/>
                <w:kern w:val="0"/>
                <w:sz w:val="23"/>
                <w:szCs w:val="23"/>
                <w14:ligatures w14:val="none"/>
              </w:rPr>
            </w:pPr>
            <w:r w:rsidRPr="008A1125">
              <w:rPr>
                <w:rFonts w:ascii="Segoe UI" w:eastAsia="Times New Roman" w:hAnsi="Segoe UI" w:cs="Segoe UI"/>
                <w:kern w:val="0"/>
                <w:sz w:val="23"/>
                <w:szCs w:val="23"/>
                <w14:ligatures w14:val="none"/>
              </w:rPr>
              <w:t>Legislative discretion is not unlimited; it must respect constitutional principles.</w:t>
            </w:r>
          </w:p>
        </w:tc>
      </w:tr>
    </w:tbl>
    <w:p w14:paraId="46D8CA93"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Legally Stronger Interpretation:</w:t>
      </w:r>
    </w:p>
    <w:p w14:paraId="05E04BF0"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legally stronger interpretation is that the provision, as written, is </w:t>
      </w:r>
      <w:r w:rsidRPr="008A1125">
        <w:rPr>
          <w:rFonts w:ascii="Segoe UI" w:eastAsia="Times New Roman" w:hAnsi="Segoe UI" w:cs="Segoe UI"/>
          <w:b/>
          <w:bCs/>
          <w:color w:val="0F1115"/>
          <w:kern w:val="0"/>
          <w14:ligatures w14:val="none"/>
        </w:rPr>
        <w:t>constitutionally deficient</w:t>
      </w:r>
      <w:r w:rsidRPr="008A1125">
        <w:rPr>
          <w:rFonts w:ascii="Segoe UI" w:eastAsia="Times New Roman" w:hAnsi="Segoe UI" w:cs="Segoe UI"/>
          <w:color w:val="0F1115"/>
          <w:kern w:val="0"/>
          <w14:ligatures w14:val="none"/>
        </w:rPr>
        <w:t> in its failure to ensure procedural fairness at the rejection stage. This is supported by:</w:t>
      </w:r>
    </w:p>
    <w:p w14:paraId="08CDE432" w14:textId="77777777" w:rsidR="00386AE3" w:rsidRPr="008A1125" w:rsidRDefault="00386AE3" w:rsidP="00386AE3">
      <w:pPr>
        <w:numPr>
          <w:ilvl w:val="0"/>
          <w:numId w:val="57"/>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lastRenderedPageBreak/>
        <w:t>The explicit constitutional protection of the right to work;</w:t>
      </w:r>
    </w:p>
    <w:p w14:paraId="5DB819DE" w14:textId="77777777" w:rsidR="00386AE3" w:rsidRPr="008A1125" w:rsidRDefault="00386AE3" w:rsidP="00386AE3">
      <w:pPr>
        <w:numPr>
          <w:ilvl w:val="0"/>
          <w:numId w:val="57"/>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principle of due process implicit in the Egyptian legal system;</w:t>
      </w:r>
    </w:p>
    <w:p w14:paraId="7AC55354" w14:textId="77777777" w:rsidR="00386AE3" w:rsidRPr="008A1125" w:rsidRDefault="00386AE3" w:rsidP="00386AE3">
      <w:pPr>
        <w:numPr>
          <w:ilvl w:val="0"/>
          <w:numId w:val="57"/>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severe consequences of the decision (retroactive termination);</w:t>
      </w:r>
    </w:p>
    <w:p w14:paraId="7F1ABD1D" w14:textId="77777777" w:rsidR="00386AE3" w:rsidRPr="008A1125" w:rsidRDefault="00386AE3" w:rsidP="00386AE3">
      <w:pPr>
        <w:numPr>
          <w:ilvl w:val="0"/>
          <w:numId w:val="57"/>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absence of any countervailing constitutional interest that would justify the omission; and</w:t>
      </w:r>
    </w:p>
    <w:p w14:paraId="3FD60EA0" w14:textId="77777777" w:rsidR="00386AE3" w:rsidRPr="008A1125" w:rsidRDefault="00386AE3" w:rsidP="00386AE3">
      <w:pPr>
        <w:numPr>
          <w:ilvl w:val="0"/>
          <w:numId w:val="57"/>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fact that reading in procedural safeguards would not undermine the provision's effectiveness.</w:t>
      </w:r>
    </w:p>
    <w:p w14:paraId="11FBEB2A"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However, the court would likely </w:t>
      </w:r>
      <w:r w:rsidRPr="008A1125">
        <w:rPr>
          <w:rFonts w:ascii="Segoe UI" w:eastAsia="Times New Roman" w:hAnsi="Segoe UI" w:cs="Segoe UI"/>
          <w:b/>
          <w:bCs/>
          <w:color w:val="0F1115"/>
          <w:kern w:val="0"/>
          <w14:ligatures w14:val="none"/>
        </w:rPr>
        <w:t>not</w:t>
      </w:r>
      <w:r w:rsidRPr="008A1125">
        <w:rPr>
          <w:rFonts w:ascii="Segoe UI" w:eastAsia="Times New Roman" w:hAnsi="Segoe UI" w:cs="Segoe UI"/>
          <w:color w:val="0F1115"/>
          <w:kern w:val="0"/>
          <w14:ligatures w14:val="none"/>
        </w:rPr>
        <w:t> strike down the provision entirely. Instead, it would interpret the provision as requiring:</w:t>
      </w:r>
    </w:p>
    <w:p w14:paraId="08797856" w14:textId="77777777" w:rsidR="00386AE3" w:rsidRPr="008A1125" w:rsidRDefault="00386AE3" w:rsidP="00386AE3">
      <w:pPr>
        <w:numPr>
          <w:ilvl w:val="0"/>
          <w:numId w:val="58"/>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Notice of the rejection decision;</w:t>
      </w:r>
    </w:p>
    <w:p w14:paraId="370A390F" w14:textId="77777777" w:rsidR="00386AE3" w:rsidRPr="008A1125" w:rsidRDefault="00386AE3" w:rsidP="00386AE3">
      <w:pPr>
        <w:numPr>
          <w:ilvl w:val="0"/>
          <w:numId w:val="58"/>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reasoned decision; and</w:t>
      </w:r>
    </w:p>
    <w:p w14:paraId="1E3BC8AC" w14:textId="77777777" w:rsidR="00386AE3" w:rsidRPr="008A1125" w:rsidRDefault="00386AE3" w:rsidP="00386AE3">
      <w:pPr>
        <w:numPr>
          <w:ilvl w:val="0"/>
          <w:numId w:val="58"/>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brief opportunity for the employee to respond to reasons before the rejection becomes final.</w:t>
      </w:r>
    </w:p>
    <w:p w14:paraId="768E2840"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This interpretive approach is consistent with the court's jurisprudence and would achieve constitutional compliance without legislative amendment.</w:t>
      </w:r>
    </w:p>
    <w:p w14:paraId="46AB212D"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Conclusion on Judicial Review:</w:t>
      </w:r>
    </w:p>
    <w:p w14:paraId="2E2493FD"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challenge would have a </w:t>
      </w:r>
      <w:r w:rsidRPr="008A1125">
        <w:rPr>
          <w:rFonts w:ascii="Segoe UI" w:eastAsia="Times New Roman" w:hAnsi="Segoe UI" w:cs="Segoe UI"/>
          <w:b/>
          <w:bCs/>
          <w:color w:val="0F1115"/>
          <w:kern w:val="0"/>
          <w14:ligatures w14:val="none"/>
        </w:rPr>
        <w:t>strong likelihood of success</w:t>
      </w:r>
      <w:r w:rsidRPr="008A1125">
        <w:rPr>
          <w:rFonts w:ascii="Segoe UI" w:eastAsia="Times New Roman" w:hAnsi="Segoe UI" w:cs="Segoe UI"/>
          <w:color w:val="0F1115"/>
          <w:kern w:val="0"/>
          <w14:ligatures w14:val="none"/>
        </w:rPr>
        <w:t> in persuading the court to read procedural safeguards into the provision. However, the court would likely avoid invalidating the provision, preferring an interpretive solution. The court's role would be to ensure that the provision is applied in a manner consistent with constitutional principles, not to rewrite the statute.</w:t>
      </w:r>
    </w:p>
    <w:p w14:paraId="4C4E262E"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50673772">
          <v:rect id="_x0000_i1061" style="width:0;height:.75pt" o:hralign="center" o:hrstd="t" o:hr="t" fillcolor="#a0a0a0" stroked="f"/>
        </w:pict>
      </w:r>
    </w:p>
    <w:p w14:paraId="6D1B814F" w14:textId="77777777" w:rsidR="00386AE3" w:rsidRPr="005D414A" w:rsidRDefault="00386AE3" w:rsidP="00386AE3">
      <w:pPr>
        <w:ind w:firstLine="0"/>
        <w:rPr>
          <w:rFonts w:asciiTheme="majorBidi" w:hAnsiTheme="majorBidi" w:cstheme="majorBidi"/>
          <w:b/>
          <w:bCs/>
          <w:sz w:val="48"/>
          <w:szCs w:val="160"/>
        </w:rPr>
      </w:pPr>
      <w:r w:rsidRPr="005D414A">
        <w:rPr>
          <w:rFonts w:asciiTheme="majorBidi" w:hAnsiTheme="majorBidi" w:cstheme="majorBidi"/>
          <w:b/>
          <w:bCs/>
          <w:sz w:val="48"/>
          <w:szCs w:val="160"/>
        </w:rPr>
        <w:t>6. Proposed Legislative Amendment</w:t>
      </w:r>
    </w:p>
    <w:p w14:paraId="533CA24B"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Justification for Amendment</w:t>
      </w:r>
    </w:p>
    <w:p w14:paraId="582AF4F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Based on the analysis above, the provision contains a </w:t>
      </w:r>
      <w:r w:rsidRPr="008A1125">
        <w:rPr>
          <w:rFonts w:ascii="Segoe UI" w:eastAsia="Times New Roman" w:hAnsi="Segoe UI" w:cs="Segoe UI"/>
          <w:b/>
          <w:bCs/>
          <w:color w:val="0F1115"/>
          <w:kern w:val="0"/>
          <w14:ligatures w14:val="none"/>
        </w:rPr>
        <w:t>material legislative gap</w:t>
      </w:r>
      <w:r w:rsidRPr="008A1125">
        <w:rPr>
          <w:rFonts w:ascii="Segoe UI" w:eastAsia="Times New Roman" w:hAnsi="Segoe UI" w:cs="Segoe UI"/>
          <w:color w:val="0F1115"/>
          <w:kern w:val="0"/>
          <w14:ligatures w14:val="none"/>
        </w:rPr>
        <w:t> in the form of omitted procedural safeguards at the rejection stage. The gap is constitutionally significant enough to warrant legislative correction. The following amendment is proposed to address the identified defect while preserving the existing structure.</w:t>
      </w:r>
    </w:p>
    <w:p w14:paraId="030523F1"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Proposed Amendment</w:t>
      </w:r>
    </w:p>
    <w:p w14:paraId="77409775"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rtl/>
          <w14:ligatures w14:val="none"/>
        </w:rPr>
        <w:t>النص المُقترح (تعديل الفقرة الأولى من المادة 108 من لائحة نظام العاملين بهيئة البريد الوطنية الصادرة بقرار وزير النقل والمواصلات رقم 70 لسنة 1982)</w:t>
      </w:r>
      <w:r w:rsidRPr="008A1125">
        <w:rPr>
          <w:rFonts w:ascii="Segoe UI" w:eastAsia="Times New Roman" w:hAnsi="Segoe UI" w:cs="Segoe UI"/>
          <w:b/>
          <w:bCs/>
          <w:color w:val="0F1115"/>
          <w:kern w:val="0"/>
          <w14:ligatures w14:val="none"/>
        </w:rPr>
        <w:t>:</w:t>
      </w:r>
    </w:p>
    <w:p w14:paraId="03FF6B94" w14:textId="77777777" w:rsidR="00386AE3" w:rsidRPr="008A1125" w:rsidRDefault="00386AE3" w:rsidP="00386AE3">
      <w:pPr>
        <w:shd w:val="clear" w:color="auto" w:fill="FFFFFF"/>
        <w:spacing w:after="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rtl/>
          <w14:ligatures w14:val="none"/>
        </w:rPr>
        <w:lastRenderedPageBreak/>
        <w:t>يُعتبر العامل مقدماً استقالته في الحالات الآتية</w:t>
      </w:r>
      <w:r w:rsidRPr="008A1125">
        <w:rPr>
          <w:rFonts w:ascii="Segoe UI" w:eastAsia="Times New Roman" w:hAnsi="Segoe UI" w:cs="Segoe UI"/>
          <w:color w:val="0F1115"/>
          <w:kern w:val="0"/>
          <w14:ligatures w14:val="none"/>
        </w:rPr>
        <w:t>:</w:t>
      </w:r>
      <w:r w:rsidRPr="008A1125">
        <w:rPr>
          <w:rFonts w:ascii="Segoe UI" w:eastAsia="Times New Roman" w:hAnsi="Segoe UI" w:cs="Segoe UI"/>
          <w:color w:val="0F1115"/>
          <w:kern w:val="0"/>
          <w14:ligatures w14:val="none"/>
        </w:rPr>
        <w:br/>
        <w:t xml:space="preserve">1- </w:t>
      </w:r>
      <w:r w:rsidRPr="008A1125">
        <w:rPr>
          <w:rFonts w:ascii="Segoe UI" w:eastAsia="Times New Roman" w:hAnsi="Segoe UI" w:cs="Segoe UI"/>
          <w:color w:val="0F1115"/>
          <w:kern w:val="0"/>
          <w:rtl/>
          <w14:ligatures w14:val="none"/>
        </w:rPr>
        <w:t>إذا انقطع عن عمله بغير إذن أكثر من ثلاثين يوماً متتالية، مالم يقدم خلال الخمسة عشر يوماً التالية ما يثبت أن انقطاعه كان خارجاً عن إرادته وبعذر مقبول، وفي هذه الحالة يجوز للسلطة المختصة أن تقرر عدم حرمانه من أجره عن مدة الانقطاع إذا كان له رصيد من الإجازات يسمح بذلك، وإلا وجب حرمانه من أجره عن هذه المدة. فإذا لم يقدم العامل أسباباً تبرر الانقطاع أو قدم هذه الأسباب ورفضتها السلطة المختصة وجب أن يُخطر العامل بقرار الرفض مسبباً كتابةً، وأن يُمنح حق التظلم إلى اللجنة المختصة للتظلمات خلال خمسة عشر يوماً من تاريخ إخطاره، وفي جميع الأحوال لا يُعتبر العامل مستقيلاً إلا من تاريخ انقضاء مدة التظلم دون البت فيه أو من تاريخ البت في التظلم برفضه، مع مراعاة عدم الإخلال بحقه في اللجوء إلى القضاء الإداري طبقاً للقوانين واللوائح</w:t>
      </w:r>
      <w:r w:rsidRPr="008A1125">
        <w:rPr>
          <w:rFonts w:ascii="Segoe UI" w:eastAsia="Times New Roman" w:hAnsi="Segoe UI" w:cs="Segoe UI"/>
          <w:color w:val="0F1115"/>
          <w:kern w:val="0"/>
          <w14:ligatures w14:val="none"/>
        </w:rPr>
        <w:t>.</w:t>
      </w:r>
    </w:p>
    <w:p w14:paraId="78CED1EC"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Explanation of the Amendment</w:t>
      </w:r>
    </w:p>
    <w:p w14:paraId="31583DAD"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New elements added:</w:t>
      </w:r>
    </w:p>
    <w:p w14:paraId="2142E1E7" w14:textId="77777777" w:rsidR="00386AE3" w:rsidRPr="008A1125" w:rsidRDefault="00386AE3" w:rsidP="00386AE3">
      <w:pPr>
        <w:numPr>
          <w:ilvl w:val="0"/>
          <w:numId w:val="59"/>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Notice requirement (</w:t>
      </w:r>
      <w:r w:rsidRPr="008A1125">
        <w:rPr>
          <w:rFonts w:ascii="Segoe UI" w:eastAsia="Times New Roman" w:hAnsi="Segoe UI" w:cs="Segoe UI"/>
          <w:b/>
          <w:bCs/>
          <w:color w:val="0F1115"/>
          <w:kern w:val="0"/>
          <w:rtl/>
          <w14:ligatures w14:val="none"/>
        </w:rPr>
        <w:t>وجب أن يُخطر العامل بقرار الرفض مسبباً كتابةً</w:t>
      </w:r>
      <w:r w:rsidRPr="008A1125">
        <w:rPr>
          <w:rFonts w:ascii="Segoe UI" w:eastAsia="Times New Roman" w:hAnsi="Segoe UI" w:cs="Segoe UI"/>
          <w:b/>
          <w:bCs/>
          <w:color w:val="0F1115"/>
          <w:kern w:val="0"/>
          <w14:ligatures w14:val="none"/>
        </w:rPr>
        <w:t>):</w:t>
      </w:r>
      <w:r w:rsidRPr="008A1125">
        <w:rPr>
          <w:rFonts w:ascii="Segoe UI" w:eastAsia="Times New Roman" w:hAnsi="Segoe UI" w:cs="Segoe UI"/>
          <w:color w:val="0F1115"/>
          <w:kern w:val="0"/>
          <w14:ligatures w14:val="none"/>
        </w:rPr>
        <w:t> The competent authority must notify the employee of the rejection decision in writing, with reasons stated. This addresses the notice and reasoning gaps.</w:t>
      </w:r>
    </w:p>
    <w:p w14:paraId="1DE11C68" w14:textId="77777777" w:rsidR="00386AE3" w:rsidRPr="008A1125" w:rsidRDefault="00386AE3" w:rsidP="00386AE3">
      <w:pPr>
        <w:numPr>
          <w:ilvl w:val="0"/>
          <w:numId w:val="59"/>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Internal appeal mechanism (</w:t>
      </w:r>
      <w:r w:rsidRPr="008A1125">
        <w:rPr>
          <w:rFonts w:ascii="Segoe UI" w:eastAsia="Times New Roman" w:hAnsi="Segoe UI" w:cs="Segoe UI"/>
          <w:b/>
          <w:bCs/>
          <w:color w:val="0F1115"/>
          <w:kern w:val="0"/>
          <w:rtl/>
          <w14:ligatures w14:val="none"/>
        </w:rPr>
        <w:t>أن يُمنح حق التظلم إلى اللجنة المختصة للتظلمات</w:t>
      </w:r>
      <w:r w:rsidRPr="008A1125">
        <w:rPr>
          <w:rFonts w:ascii="Segoe UI" w:eastAsia="Times New Roman" w:hAnsi="Segoe UI" w:cs="Segoe UI"/>
          <w:b/>
          <w:bCs/>
          <w:color w:val="0F1115"/>
          <w:kern w:val="0"/>
          <w14:ligatures w14:val="none"/>
        </w:rPr>
        <w:t>):</w:t>
      </w:r>
      <w:r w:rsidRPr="008A1125">
        <w:rPr>
          <w:rFonts w:ascii="Segoe UI" w:eastAsia="Times New Roman" w:hAnsi="Segoe UI" w:cs="Segoe UI"/>
          <w:color w:val="0F1115"/>
          <w:kern w:val="0"/>
          <w14:ligatures w14:val="none"/>
        </w:rPr>
        <w:t> The employee is granted a right to submit a grievance to the competent grievances committee. This provides an internal administrative remedy before judicial review.</w:t>
      </w:r>
    </w:p>
    <w:p w14:paraId="600B922D" w14:textId="77777777" w:rsidR="00386AE3" w:rsidRPr="008A1125" w:rsidRDefault="00386AE3" w:rsidP="00386AE3">
      <w:pPr>
        <w:numPr>
          <w:ilvl w:val="0"/>
          <w:numId w:val="59"/>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Timeline for appeal (</w:t>
      </w:r>
      <w:r w:rsidRPr="008A1125">
        <w:rPr>
          <w:rFonts w:ascii="Segoe UI" w:eastAsia="Times New Roman" w:hAnsi="Segoe UI" w:cs="Segoe UI"/>
          <w:b/>
          <w:bCs/>
          <w:color w:val="0F1115"/>
          <w:kern w:val="0"/>
          <w:rtl/>
          <w14:ligatures w14:val="none"/>
        </w:rPr>
        <w:t>خلال خمسة عشر يوماً من تاريخ إخطاره</w:t>
      </w:r>
      <w:r w:rsidRPr="008A1125">
        <w:rPr>
          <w:rFonts w:ascii="Segoe UI" w:eastAsia="Times New Roman" w:hAnsi="Segoe UI" w:cs="Segoe UI"/>
          <w:b/>
          <w:bCs/>
          <w:color w:val="0F1115"/>
          <w:kern w:val="0"/>
          <w14:ligatures w14:val="none"/>
        </w:rPr>
        <w:t>):</w:t>
      </w:r>
      <w:r w:rsidRPr="008A1125">
        <w:rPr>
          <w:rFonts w:ascii="Segoe UI" w:eastAsia="Times New Roman" w:hAnsi="Segoe UI" w:cs="Segoe UI"/>
          <w:color w:val="0F1115"/>
          <w:kern w:val="0"/>
          <w14:ligatures w14:val="none"/>
        </w:rPr>
        <w:t> The employee has 15 days from notification to file a grievance, ensuring procedural clarity.</w:t>
      </w:r>
    </w:p>
    <w:p w14:paraId="36F3C4BB" w14:textId="77777777" w:rsidR="00386AE3" w:rsidRPr="008A1125" w:rsidRDefault="00386AE3" w:rsidP="00386AE3">
      <w:pPr>
        <w:numPr>
          <w:ilvl w:val="0"/>
          <w:numId w:val="59"/>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Suspensive effect (</w:t>
      </w:r>
      <w:r w:rsidRPr="008A1125">
        <w:rPr>
          <w:rFonts w:ascii="Segoe UI" w:eastAsia="Times New Roman" w:hAnsi="Segoe UI" w:cs="Segoe UI"/>
          <w:b/>
          <w:bCs/>
          <w:color w:val="0F1115"/>
          <w:kern w:val="0"/>
          <w:rtl/>
          <w14:ligatures w14:val="none"/>
        </w:rPr>
        <w:t>لا يُعتبر العامل مستقيلاً إلا من تاريخ انقضاء مدة التظلم دون البت فيه أو من تاريخ البت في التظلم برفضه</w:t>
      </w:r>
      <w:r w:rsidRPr="008A1125">
        <w:rPr>
          <w:rFonts w:ascii="Segoe UI" w:eastAsia="Times New Roman" w:hAnsi="Segoe UI" w:cs="Segoe UI"/>
          <w:b/>
          <w:bCs/>
          <w:color w:val="0F1115"/>
          <w:kern w:val="0"/>
          <w14:ligatures w14:val="none"/>
        </w:rPr>
        <w:t>):</w:t>
      </w:r>
      <w:r w:rsidRPr="008A1125">
        <w:rPr>
          <w:rFonts w:ascii="Segoe UI" w:eastAsia="Times New Roman" w:hAnsi="Segoe UI" w:cs="Segoe UI"/>
          <w:color w:val="0F1115"/>
          <w:kern w:val="0"/>
          <w14:ligatures w14:val="none"/>
        </w:rPr>
        <w:t> The termination does not take effect until the appeal period expires without a decision, or until the appeal is rejected. This addresses the retroactive termination issue by making termination prospective from the date of the final administrative decision, not retroactive from the date of absence.</w:t>
      </w:r>
    </w:p>
    <w:p w14:paraId="40CF017E" w14:textId="77777777" w:rsidR="00386AE3" w:rsidRPr="008A1125" w:rsidRDefault="00386AE3" w:rsidP="00386AE3">
      <w:pPr>
        <w:numPr>
          <w:ilvl w:val="0"/>
          <w:numId w:val="59"/>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Preservation of judicial remedy (</w:t>
      </w:r>
      <w:r w:rsidRPr="008A1125">
        <w:rPr>
          <w:rFonts w:ascii="Segoe UI" w:eastAsia="Times New Roman" w:hAnsi="Segoe UI" w:cs="Segoe UI"/>
          <w:b/>
          <w:bCs/>
          <w:color w:val="0F1115"/>
          <w:kern w:val="0"/>
          <w:rtl/>
          <w14:ligatures w14:val="none"/>
        </w:rPr>
        <w:t>مع مراعاة عدم الإخلال بحقه في اللجوء إلى القضاء الإداري</w:t>
      </w:r>
      <w:r w:rsidRPr="008A1125">
        <w:rPr>
          <w:rFonts w:ascii="Segoe UI" w:eastAsia="Times New Roman" w:hAnsi="Segoe UI" w:cs="Segoe UI"/>
          <w:b/>
          <w:bCs/>
          <w:color w:val="0F1115"/>
          <w:kern w:val="0"/>
          <w14:ligatures w14:val="none"/>
        </w:rPr>
        <w:t>):</w:t>
      </w:r>
      <w:r w:rsidRPr="008A1125">
        <w:rPr>
          <w:rFonts w:ascii="Segoe UI" w:eastAsia="Times New Roman" w:hAnsi="Segoe UI" w:cs="Segoe UI"/>
          <w:color w:val="0F1115"/>
          <w:kern w:val="0"/>
          <w14:ligatures w14:val="none"/>
        </w:rPr>
        <w:t> The amendment explicitly preserves the employee's right to seek judicial review before the Administrative Court, consistent with the constitutional right to litigation.</w:t>
      </w:r>
    </w:p>
    <w:p w14:paraId="60790428"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Preserved elements:</w:t>
      </w:r>
    </w:p>
    <w:p w14:paraId="1DA15404" w14:textId="77777777" w:rsidR="00386AE3" w:rsidRPr="008A1125" w:rsidRDefault="00386AE3" w:rsidP="00386AE3">
      <w:pPr>
        <w:numPr>
          <w:ilvl w:val="0"/>
          <w:numId w:val="6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30-day absence trigger;</w:t>
      </w:r>
    </w:p>
    <w:p w14:paraId="5120DCFE" w14:textId="77777777" w:rsidR="00386AE3" w:rsidRPr="008A1125" w:rsidRDefault="00386AE3" w:rsidP="00386AE3">
      <w:pPr>
        <w:numPr>
          <w:ilvl w:val="0"/>
          <w:numId w:val="6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15-day rebuttal period;</w:t>
      </w:r>
    </w:p>
    <w:p w14:paraId="74CAD74F" w14:textId="77777777" w:rsidR="00386AE3" w:rsidRPr="008A1125" w:rsidRDefault="00386AE3" w:rsidP="00386AE3">
      <w:pPr>
        <w:numPr>
          <w:ilvl w:val="0"/>
          <w:numId w:val="6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substantive standard of "involuntary absence with acceptable excuse";</w:t>
      </w:r>
    </w:p>
    <w:p w14:paraId="24B2E624" w14:textId="77777777" w:rsidR="00386AE3" w:rsidRPr="008A1125" w:rsidRDefault="00386AE3" w:rsidP="00386AE3">
      <w:pPr>
        <w:numPr>
          <w:ilvl w:val="0"/>
          <w:numId w:val="6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authority's discretion regarding salary during the absence period;</w:t>
      </w:r>
    </w:p>
    <w:p w14:paraId="7E33B10A" w14:textId="77777777" w:rsidR="00386AE3" w:rsidRPr="008A1125" w:rsidRDefault="00386AE3" w:rsidP="00386AE3">
      <w:pPr>
        <w:numPr>
          <w:ilvl w:val="0"/>
          <w:numId w:val="60"/>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automatic termination upon failure to submit justification.</w:t>
      </w:r>
    </w:p>
    <w:p w14:paraId="201BD528"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Improvement:</w:t>
      </w:r>
      <w:r w:rsidRPr="008A1125">
        <w:rPr>
          <w:rFonts w:ascii="Segoe UI" w:eastAsia="Times New Roman" w:hAnsi="Segoe UI" w:cs="Segoe UI"/>
          <w:color w:val="0F1115"/>
          <w:kern w:val="0"/>
          <w14:ligatures w14:val="none"/>
        </w:rPr>
        <w:br/>
        <w:t xml:space="preserve">The amendment transforms the termination from an automatic, retroactive </w:t>
      </w:r>
      <w:r w:rsidRPr="008A1125">
        <w:rPr>
          <w:rFonts w:ascii="Segoe UI" w:eastAsia="Times New Roman" w:hAnsi="Segoe UI" w:cs="Segoe UI"/>
          <w:color w:val="0F1115"/>
          <w:kern w:val="0"/>
          <w14:ligatures w14:val="none"/>
        </w:rPr>
        <w:lastRenderedPageBreak/>
        <w:t>administrative act into a decision that requires notice, reasons, an internal appeal opportunity, and prospective effect. This brings the provision into compliance with constitutional principles of procedural fairness while preserving the deterrent effect and administrative efficiency that the legislature intended.</w:t>
      </w:r>
    </w:p>
    <w:p w14:paraId="66CD1135" w14:textId="77777777" w:rsidR="00386AE3" w:rsidRPr="008A1125" w:rsidRDefault="00000000" w:rsidP="00386AE3">
      <w:pPr>
        <w:spacing w:before="480" w:after="480" w:line="240" w:lineRule="auto"/>
        <w:ind w:firstLine="0"/>
        <w:jc w:val="both"/>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2C6ECF4">
          <v:rect id="_x0000_i1062" style="width:0;height:.75pt" o:hralign="center" o:hrstd="t" o:hr="t" fillcolor="#a0a0a0" stroked="f"/>
        </w:pict>
      </w:r>
    </w:p>
    <w:p w14:paraId="641A0880" w14:textId="77777777" w:rsidR="00386AE3" w:rsidRPr="005D414A" w:rsidRDefault="00386AE3" w:rsidP="00386AE3">
      <w:pPr>
        <w:ind w:firstLine="0"/>
        <w:rPr>
          <w:rFonts w:asciiTheme="majorBidi" w:hAnsiTheme="majorBidi" w:cstheme="majorBidi"/>
          <w:b/>
          <w:bCs/>
          <w:sz w:val="48"/>
          <w:szCs w:val="160"/>
        </w:rPr>
      </w:pPr>
      <w:r w:rsidRPr="005D414A">
        <w:rPr>
          <w:rFonts w:asciiTheme="majorBidi" w:hAnsiTheme="majorBidi" w:cstheme="majorBidi"/>
          <w:b/>
          <w:bCs/>
          <w:sz w:val="48"/>
          <w:szCs w:val="160"/>
        </w:rPr>
        <w:t>7. Confidence and Limitations</w:t>
      </w:r>
    </w:p>
    <w:p w14:paraId="55C50611"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1. Overall Conclusion</w:t>
      </w:r>
    </w:p>
    <w:p w14:paraId="0286A5C7"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I conclude that Article 108(1) of the National Postal Authority Employees System contains a </w:t>
      </w:r>
      <w:r w:rsidRPr="008A1125">
        <w:rPr>
          <w:rFonts w:ascii="Segoe UI" w:eastAsia="Times New Roman" w:hAnsi="Segoe UI" w:cs="Segoe UI"/>
          <w:b/>
          <w:bCs/>
          <w:color w:val="0F1115"/>
          <w:kern w:val="0"/>
          <w14:ligatures w14:val="none"/>
        </w:rPr>
        <w:t>material legislative gap</w:t>
      </w:r>
      <w:r w:rsidRPr="008A1125">
        <w:rPr>
          <w:rFonts w:ascii="Segoe UI" w:eastAsia="Times New Roman" w:hAnsi="Segoe UI" w:cs="Segoe UI"/>
          <w:color w:val="0F1115"/>
          <w:kern w:val="0"/>
          <w14:ligatures w14:val="none"/>
        </w:rPr>
        <w:t> in the form of omitted procedural safeguards at the stage of evaluating and rejecting the employee's justification. Specifically, the provision fails to require:</w:t>
      </w:r>
    </w:p>
    <w:p w14:paraId="0292707B" w14:textId="77777777" w:rsidR="00386AE3" w:rsidRPr="008A1125" w:rsidRDefault="00386AE3" w:rsidP="00386AE3">
      <w:pPr>
        <w:numPr>
          <w:ilvl w:val="0"/>
          <w:numId w:val="61"/>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Notice of the rejection decision;</w:t>
      </w:r>
    </w:p>
    <w:p w14:paraId="46F1C01B" w14:textId="77777777" w:rsidR="00386AE3" w:rsidRPr="008A1125" w:rsidRDefault="00386AE3" w:rsidP="00386AE3">
      <w:pPr>
        <w:numPr>
          <w:ilvl w:val="0"/>
          <w:numId w:val="61"/>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reasoned decision;</w:t>
      </w:r>
    </w:p>
    <w:p w14:paraId="436396BB" w14:textId="77777777" w:rsidR="00386AE3" w:rsidRPr="008A1125" w:rsidRDefault="00386AE3" w:rsidP="00386AE3">
      <w:pPr>
        <w:numPr>
          <w:ilvl w:val="0"/>
          <w:numId w:val="61"/>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An internal appeal mechanism; and</w:t>
      </w:r>
    </w:p>
    <w:p w14:paraId="5E9A6EB4" w14:textId="77777777" w:rsidR="00386AE3" w:rsidRPr="008A1125" w:rsidRDefault="00386AE3" w:rsidP="00386AE3">
      <w:pPr>
        <w:numPr>
          <w:ilvl w:val="0"/>
          <w:numId w:val="61"/>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Prospective effect of the termination.</w:t>
      </w:r>
    </w:p>
    <w:p w14:paraId="6595E95F"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This gap is constitutionally significant because it implicates the right to work (Article 12 of the Egyptian Constitution) and the broader principles of procedural fairness that underpin the Egyptian legal system. However, the gap is not so severe as to render the entire provision unconstitutional; a constitutional court could address the issue through interpretation, and the legislature could correct it through the proposed amendment.</w:t>
      </w:r>
    </w:p>
    <w:p w14:paraId="4326D6A0"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2. Strongest Argument Supporting This Conclusion</w:t>
      </w:r>
    </w:p>
    <w:p w14:paraId="44048E4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w:t>
      </w:r>
      <w:r w:rsidRPr="008A1125">
        <w:rPr>
          <w:rFonts w:ascii="Segoe UI" w:eastAsia="Times New Roman" w:hAnsi="Segoe UI" w:cs="Segoe UI"/>
          <w:b/>
          <w:bCs/>
          <w:color w:val="0F1115"/>
          <w:kern w:val="0"/>
          <w14:ligatures w14:val="none"/>
        </w:rPr>
        <w:t>strongest argument</w:t>
      </w:r>
      <w:r w:rsidRPr="008A1125">
        <w:rPr>
          <w:rFonts w:ascii="Segoe UI" w:eastAsia="Times New Roman" w:hAnsi="Segoe UI" w:cs="Segoe UI"/>
          <w:color w:val="0F1115"/>
          <w:kern w:val="0"/>
          <w14:ligatures w14:val="none"/>
        </w:rPr>
        <w:t> supporting the conclusion is that the provision terminates the employee's service retroactively upon the rejection of their justification, but provides no mechanism to ensure that:</w:t>
      </w:r>
    </w:p>
    <w:p w14:paraId="7DD3A8BC" w14:textId="77777777" w:rsidR="00386AE3" w:rsidRPr="008A1125" w:rsidRDefault="00386AE3" w:rsidP="00386AE3">
      <w:pPr>
        <w:numPr>
          <w:ilvl w:val="0"/>
          <w:numId w:val="62"/>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employee knows of the rejection;</w:t>
      </w:r>
    </w:p>
    <w:p w14:paraId="3BFD3E2A" w14:textId="77777777" w:rsidR="00386AE3" w:rsidRPr="008A1125" w:rsidRDefault="00386AE3" w:rsidP="00386AE3">
      <w:pPr>
        <w:numPr>
          <w:ilvl w:val="0"/>
          <w:numId w:val="62"/>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employee understands the reasons for the rejection; or</w:t>
      </w:r>
    </w:p>
    <w:p w14:paraId="7D46B37C" w14:textId="77777777" w:rsidR="00386AE3" w:rsidRPr="008A1125" w:rsidRDefault="00386AE3" w:rsidP="00386AE3">
      <w:pPr>
        <w:numPr>
          <w:ilvl w:val="0"/>
          <w:numId w:val="62"/>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employee has any opportunity to address those reasons before the termination becomes final.</w:t>
      </w:r>
    </w:p>
    <w:p w14:paraId="1C60A146"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 xml:space="preserve">This creates a significant risk of arbitrary deprivation of the constitutional right to work, particularly given the retroactive effect which may prejudice pension and social insurance rights. The 15-day rebuttal period is insufficient to cure this defect because </w:t>
      </w:r>
      <w:r w:rsidRPr="008A1125">
        <w:rPr>
          <w:rFonts w:ascii="Segoe UI" w:eastAsia="Times New Roman" w:hAnsi="Segoe UI" w:cs="Segoe UI"/>
          <w:color w:val="0F1115"/>
          <w:kern w:val="0"/>
          <w14:ligatures w14:val="none"/>
        </w:rPr>
        <w:lastRenderedPageBreak/>
        <w:t>it addresses only the submission of justification, not the subsequent evaluation and rejection process.</w:t>
      </w:r>
    </w:p>
    <w:p w14:paraId="4217AC68"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3. Strongest Argument Against This Conclusion</w:t>
      </w:r>
    </w:p>
    <w:p w14:paraId="213DF18B"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w:t>
      </w:r>
      <w:r w:rsidRPr="008A1125">
        <w:rPr>
          <w:rFonts w:ascii="Segoe UI" w:eastAsia="Times New Roman" w:hAnsi="Segoe UI" w:cs="Segoe UI"/>
          <w:b/>
          <w:bCs/>
          <w:color w:val="0F1115"/>
          <w:kern w:val="0"/>
          <w14:ligatures w14:val="none"/>
        </w:rPr>
        <w:t>strongest argument against</w:t>
      </w:r>
      <w:r w:rsidRPr="008A1125">
        <w:rPr>
          <w:rFonts w:ascii="Segoe UI" w:eastAsia="Times New Roman" w:hAnsi="Segoe UI" w:cs="Segoe UI"/>
          <w:color w:val="0F1115"/>
          <w:kern w:val="0"/>
          <w14:ligatures w14:val="none"/>
        </w:rPr>
        <w:t> the conclusion is that the provision is a legitimate exercise of legislative discretion in a matter of administrative policy. The legislature could reasonably conclude that:</w:t>
      </w:r>
    </w:p>
    <w:p w14:paraId="60681A37" w14:textId="77777777" w:rsidR="00386AE3" w:rsidRPr="008A1125" w:rsidRDefault="00386AE3" w:rsidP="00386AE3">
      <w:pPr>
        <w:numPr>
          <w:ilvl w:val="0"/>
          <w:numId w:val="63"/>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A 30-day absence is a serious breach of the employment relationship;</w:t>
      </w:r>
    </w:p>
    <w:p w14:paraId="14C29D14" w14:textId="77777777" w:rsidR="00386AE3" w:rsidRPr="008A1125" w:rsidRDefault="00386AE3" w:rsidP="00386AE3">
      <w:pPr>
        <w:numPr>
          <w:ilvl w:val="0"/>
          <w:numId w:val="63"/>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15-day rebuttal period provides adequate opportunity for the employee to protect their interests;</w:t>
      </w:r>
    </w:p>
    <w:p w14:paraId="0910CDBA" w14:textId="77777777" w:rsidR="00386AE3" w:rsidRPr="008A1125" w:rsidRDefault="00386AE3" w:rsidP="00386AE3">
      <w:pPr>
        <w:numPr>
          <w:ilvl w:val="0"/>
          <w:numId w:val="63"/>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 employee is presumed to be aware of their absence and its consequences; and</w:t>
      </w:r>
    </w:p>
    <w:p w14:paraId="64B11AA8" w14:textId="77777777" w:rsidR="00386AE3" w:rsidRPr="008A1125" w:rsidRDefault="00386AE3" w:rsidP="00386AE3">
      <w:pPr>
        <w:numPr>
          <w:ilvl w:val="0"/>
          <w:numId w:val="63"/>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Judicial review before the State Council provides a sufficient check on administrative discretion.</w:t>
      </w:r>
    </w:p>
    <w:p w14:paraId="795880CF"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Under this view, the provision strikes an appropriate balance between administrative efficiency and employee protection, and the omissions are either deliberate or within the margin of appreciation enjoyed by the legislature.</w:t>
      </w:r>
    </w:p>
    <w:p w14:paraId="535286F9"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4. Uncertainty Arising from Absence of Additional Legislative History or Judicial Authorities</w:t>
      </w:r>
    </w:p>
    <w:p w14:paraId="2010EF60"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Key uncertainties:</w:t>
      </w:r>
    </w:p>
    <w:p w14:paraId="44BC0573" w14:textId="77777777" w:rsidR="00386AE3" w:rsidRPr="008A1125" w:rsidRDefault="00386AE3" w:rsidP="00386AE3">
      <w:pPr>
        <w:numPr>
          <w:ilvl w:val="0"/>
          <w:numId w:val="64"/>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Absence of legislative history:</w:t>
      </w:r>
      <w:r w:rsidRPr="008A1125">
        <w:rPr>
          <w:rFonts w:ascii="Segoe UI" w:eastAsia="Times New Roman" w:hAnsi="Segoe UI" w:cs="Segoe UI"/>
          <w:color w:val="0F1115"/>
          <w:kern w:val="0"/>
          <w14:ligatures w14:val="none"/>
        </w:rPr>
        <w:t xml:space="preserve"> I do not have access to the travaux </w:t>
      </w:r>
      <w:proofErr w:type="spellStart"/>
      <w:r w:rsidRPr="008A1125">
        <w:rPr>
          <w:rFonts w:ascii="Segoe UI" w:eastAsia="Times New Roman" w:hAnsi="Segoe UI" w:cs="Segoe UI"/>
          <w:color w:val="0F1115"/>
          <w:kern w:val="0"/>
          <w14:ligatures w14:val="none"/>
        </w:rPr>
        <w:t>préparatoires</w:t>
      </w:r>
      <w:proofErr w:type="spellEnd"/>
      <w:r w:rsidRPr="008A1125">
        <w:rPr>
          <w:rFonts w:ascii="Segoe UI" w:eastAsia="Times New Roman" w:hAnsi="Segoe UI" w:cs="Segoe UI"/>
          <w:color w:val="0F1115"/>
          <w:kern w:val="0"/>
          <w14:ligatures w14:val="none"/>
        </w:rPr>
        <w:t xml:space="preserve"> of Ministerial Decision No. 70 of 1982. It is possible that the drafters intended to rely on general principles of administrative law (e.g., the requirement of a reasoned decision under the Law on Administrative Procedures) to fill the procedural gaps. If such general principles exist and are enforceable, the gap may be less significant than I have assumed. However, I have not been able to independently verify the existence or scope of such general principles.</w:t>
      </w:r>
    </w:p>
    <w:p w14:paraId="7C29E2DE" w14:textId="77777777" w:rsidR="00386AE3" w:rsidRPr="008A1125" w:rsidRDefault="00386AE3" w:rsidP="00386AE3">
      <w:pPr>
        <w:numPr>
          <w:ilvl w:val="0"/>
          <w:numId w:val="64"/>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Absence of judicial decisions:</w:t>
      </w:r>
      <w:r w:rsidRPr="008A1125">
        <w:rPr>
          <w:rFonts w:ascii="Segoe UI" w:eastAsia="Times New Roman" w:hAnsi="Segoe UI" w:cs="Segoe UI"/>
          <w:color w:val="0F1115"/>
          <w:kern w:val="0"/>
          <w14:ligatures w14:val="none"/>
        </w:rPr>
        <w:t> I do not have access to any judicial decisions from the Supreme Constitutional Court or the State Council (Administrative Court) interpreting Article 108(1) or similar provisions. It is possible that Egyptian courts have already read procedural safeguards into such provisions through interpretation, in which case the legislative gap may be less material. Conversely, if courts have upheld similar provisions without imposing procedural safeguards, the constitutional concern may be more acute. I have not been able to independently identify or verify any such decisions.</w:t>
      </w:r>
    </w:p>
    <w:p w14:paraId="6DF15389" w14:textId="77777777" w:rsidR="00386AE3" w:rsidRPr="008A1125" w:rsidRDefault="00386AE3" w:rsidP="00386AE3">
      <w:pPr>
        <w:numPr>
          <w:ilvl w:val="0"/>
          <w:numId w:val="64"/>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lastRenderedPageBreak/>
        <w:t>Absence of implementing regulations:</w:t>
      </w:r>
      <w:r w:rsidRPr="008A1125">
        <w:rPr>
          <w:rFonts w:ascii="Segoe UI" w:eastAsia="Times New Roman" w:hAnsi="Segoe UI" w:cs="Segoe UI"/>
          <w:color w:val="0F1115"/>
          <w:kern w:val="0"/>
          <w14:ligatures w14:val="none"/>
        </w:rPr>
        <w:t> It is possible that internal regulations of the National Postal Authority or the Ministry of Transport provide additional procedural safeguards (e.g., internal grievance procedures) that supplement the statutory provision. If such regulations exist and are legally binding, the gap in the statutory text may be less material. However, I have not been able to independently verify the existence or content of such regulations.</w:t>
      </w:r>
    </w:p>
    <w:p w14:paraId="5E1E9665" w14:textId="77777777" w:rsidR="00386AE3" w:rsidRPr="008A1125" w:rsidRDefault="00386AE3" w:rsidP="00386AE3">
      <w:pPr>
        <w:numPr>
          <w:ilvl w:val="0"/>
          <w:numId w:val="64"/>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Scope of "competent authority":</w:t>
      </w:r>
      <w:r w:rsidRPr="008A1125">
        <w:rPr>
          <w:rFonts w:ascii="Segoe UI" w:eastAsia="Times New Roman" w:hAnsi="Segoe UI" w:cs="Segoe UI"/>
          <w:color w:val="0F1115"/>
          <w:kern w:val="0"/>
          <w14:ligatures w14:val="none"/>
        </w:rPr>
        <w:t> The provision refers to "the competent authority" (</w:t>
      </w:r>
      <w:r w:rsidRPr="008A1125">
        <w:rPr>
          <w:rFonts w:ascii="Segoe UI" w:eastAsia="Times New Roman" w:hAnsi="Segoe UI" w:cs="Segoe UI"/>
          <w:color w:val="0F1115"/>
          <w:kern w:val="0"/>
          <w:rtl/>
          <w14:ligatures w14:val="none"/>
        </w:rPr>
        <w:t>السلطة المختصة</w:t>
      </w:r>
      <w:r w:rsidRPr="008A1125">
        <w:rPr>
          <w:rFonts w:ascii="Segoe UI" w:eastAsia="Times New Roman" w:hAnsi="Segoe UI" w:cs="Segoe UI"/>
          <w:color w:val="0F1115"/>
          <w:kern w:val="0"/>
          <w14:ligatures w14:val="none"/>
        </w:rPr>
        <w:t>) without defining it. It is possible that the identity of this authority and its decision-making procedures are governed by other legal instruments (e.g., the Internal Regulations of the Authority, or the Civil Service Law). Without access to these instruments, I cannot fully assess the procedural framework in which decisions under Article 108(1) are made.</w:t>
      </w:r>
    </w:p>
    <w:p w14:paraId="567C829F" w14:textId="77777777" w:rsidR="00386AE3" w:rsidRPr="008A1125" w:rsidRDefault="00386AE3" w:rsidP="00386AE3">
      <w:pPr>
        <w:numPr>
          <w:ilvl w:val="0"/>
          <w:numId w:val="64"/>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Interaction with other legal provisions:</w:t>
      </w:r>
      <w:r w:rsidRPr="008A1125">
        <w:rPr>
          <w:rFonts w:ascii="Segoe UI" w:eastAsia="Times New Roman" w:hAnsi="Segoe UI" w:cs="Segoe UI"/>
          <w:color w:val="0F1115"/>
          <w:kern w:val="0"/>
          <w14:ligatures w14:val="none"/>
        </w:rPr>
        <w:t> The provision may interact with other provisions of Egyptian law, such as the Civil Service Law (Law No. 81 of 2016) or the Social Insurance Law (Law No. 79 of 1975), which may provide additional procedural safeguards or substantive standards. I have not conducted a full review of these statutes, and my analysis is limited to the text of Article 108(1).</w:t>
      </w:r>
    </w:p>
    <w:p w14:paraId="01ABF71D"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Impact of uncertainties:</w:t>
      </w:r>
    </w:p>
    <w:p w14:paraId="3D33D5D9"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These uncertainties mean that my conclusion is subject to revision if additional information becomes available. In particular:</w:t>
      </w:r>
    </w:p>
    <w:p w14:paraId="089FB629" w14:textId="77777777" w:rsidR="00386AE3" w:rsidRPr="008A1125" w:rsidRDefault="00386AE3" w:rsidP="00386AE3">
      <w:pPr>
        <w:numPr>
          <w:ilvl w:val="0"/>
          <w:numId w:val="65"/>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If implementing regulations or general principles of administrative law already require notice, reasons, and appeal rights, then the legislative gap is less significant than I have suggested.</w:t>
      </w:r>
    </w:p>
    <w:p w14:paraId="721C0295" w14:textId="77777777" w:rsidR="00386AE3" w:rsidRPr="008A1125" w:rsidRDefault="00386AE3" w:rsidP="00386AE3">
      <w:pPr>
        <w:numPr>
          <w:ilvl w:val="0"/>
          <w:numId w:val="65"/>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If Egyptian courts have already interpreted similar provisions as requiring procedural safeguards, then the constitutional concern may be less acute, and the classification may shift from "material legislative gap" to "textual omission without constitutional significance" (or even "no legislative gap").</w:t>
      </w:r>
    </w:p>
    <w:p w14:paraId="379BF71B" w14:textId="77777777" w:rsidR="00386AE3" w:rsidRPr="008A1125" w:rsidRDefault="00386AE3" w:rsidP="00386AE3">
      <w:pPr>
        <w:numPr>
          <w:ilvl w:val="0"/>
          <w:numId w:val="65"/>
        </w:numPr>
        <w:shd w:val="clear" w:color="auto" w:fill="FFFFFF"/>
        <w:spacing w:before="0" w:after="0" w:line="240" w:lineRule="auto"/>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If the "competent authority" is subject to robust procedural controls under other laws, then the omission may be more apparent than real.</w:t>
      </w:r>
    </w:p>
    <w:p w14:paraId="75638CB7"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Methodological limitation:</w:t>
      </w:r>
    </w:p>
    <w:p w14:paraId="071A3462"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t>I have not searched for or assumed the existence of specific judicial decisions, constitutional provisions beyond the Egyptian Constitution of 2014, or doctrinal rules that I cannot independently verify. My analysis is based on the text of Article 108(1) and general principles of Egyptian constitutional and administrative law. This is a limitation of the analysis, as a complete assessment would require access to the full legal context, including judicial decisions, legislative history, and implementing regulations.</w:t>
      </w:r>
    </w:p>
    <w:p w14:paraId="1358364C"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b/>
          <w:bCs/>
          <w:color w:val="0F1115"/>
          <w:kern w:val="0"/>
          <w14:ligatures w14:val="none"/>
        </w:rPr>
        <w:t>Conclusion on limitations:</w:t>
      </w:r>
    </w:p>
    <w:p w14:paraId="3A27B8E8" w14:textId="77777777" w:rsidR="00386AE3" w:rsidRPr="008A1125"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8A1125">
        <w:rPr>
          <w:rFonts w:ascii="Segoe UI" w:eastAsia="Times New Roman" w:hAnsi="Segoe UI" w:cs="Segoe UI"/>
          <w:color w:val="0F1115"/>
          <w:kern w:val="0"/>
          <w14:ligatures w14:val="none"/>
        </w:rPr>
        <w:lastRenderedPageBreak/>
        <w:t>While the analysis is legally reasoned and grounded in the text of the provision and the Egyptian constitutional framework, the absence of additional legislative history and judicial authorities creates uncertainty. The conclusion that the provision contains a material legislative gap is the strongest based on the available information, but it should be treated as a provisional assessment subject to verification against the full legal context.</w:t>
      </w:r>
    </w:p>
    <w:p w14:paraId="20ED7812" w14:textId="77777777" w:rsidR="00386AE3" w:rsidRDefault="00386AE3" w:rsidP="00386AE3">
      <w:pPr>
        <w:jc w:val="both"/>
        <w:rPr>
          <w:lang w:bidi="ar-EG"/>
        </w:rPr>
      </w:pPr>
      <w:r>
        <w:rPr>
          <w:lang w:bidi="ar-EG"/>
        </w:rPr>
        <w:br w:type="page"/>
      </w:r>
    </w:p>
    <w:p w14:paraId="51241192" w14:textId="77777777" w:rsidR="00386AE3" w:rsidRDefault="00386AE3" w:rsidP="00386AE3">
      <w:pPr>
        <w:bidi/>
        <w:ind w:firstLine="0"/>
        <w:jc w:val="both"/>
        <w:rPr>
          <w:rtl/>
          <w:lang w:bidi="ar-EG"/>
        </w:rPr>
      </w:pPr>
    </w:p>
    <w:p w14:paraId="6FC2EF5E" w14:textId="77777777" w:rsidR="00386AE3" w:rsidRDefault="00386AE3" w:rsidP="00386AE3">
      <w:pPr>
        <w:bidi/>
        <w:ind w:firstLine="0"/>
        <w:jc w:val="both"/>
        <w:rPr>
          <w:rtl/>
          <w:lang w:bidi="ar-EG"/>
        </w:rPr>
      </w:pPr>
    </w:p>
    <w:p w14:paraId="2465E77B" w14:textId="77777777" w:rsidR="00386AE3" w:rsidRDefault="00386AE3" w:rsidP="00386AE3">
      <w:pPr>
        <w:bidi/>
        <w:ind w:firstLine="0"/>
        <w:jc w:val="both"/>
        <w:rPr>
          <w:rtl/>
          <w:lang w:bidi="ar-EG"/>
        </w:rPr>
      </w:pPr>
    </w:p>
    <w:p w14:paraId="746E16BF" w14:textId="77777777" w:rsidR="00386AE3" w:rsidRDefault="00386AE3" w:rsidP="00386AE3">
      <w:pPr>
        <w:bidi/>
        <w:ind w:firstLine="0"/>
        <w:jc w:val="both"/>
        <w:rPr>
          <w:rtl/>
          <w:lang w:bidi="ar-EG"/>
        </w:rPr>
      </w:pPr>
    </w:p>
    <w:p w14:paraId="3E6B9F03" w14:textId="77777777" w:rsidR="00386AE3" w:rsidRDefault="00386AE3" w:rsidP="00386AE3">
      <w:pPr>
        <w:bidi/>
        <w:ind w:firstLine="0"/>
        <w:jc w:val="both"/>
        <w:rPr>
          <w:rtl/>
          <w:lang w:bidi="ar-EG"/>
        </w:rPr>
      </w:pPr>
    </w:p>
    <w:p w14:paraId="41C01938" w14:textId="77777777" w:rsidR="00386AE3" w:rsidRDefault="00386AE3" w:rsidP="00386AE3">
      <w:pPr>
        <w:bidi/>
        <w:ind w:firstLine="0"/>
        <w:jc w:val="both"/>
        <w:rPr>
          <w:rtl/>
          <w:lang w:bidi="ar-EG"/>
        </w:rPr>
      </w:pPr>
    </w:p>
    <w:p w14:paraId="01945F1A" w14:textId="77777777" w:rsidR="00386AE3" w:rsidRDefault="00386AE3" w:rsidP="00386AE3">
      <w:pPr>
        <w:bidi/>
        <w:ind w:firstLine="0"/>
        <w:jc w:val="both"/>
        <w:rPr>
          <w:rtl/>
          <w:lang w:bidi="ar-EG"/>
        </w:rPr>
      </w:pPr>
    </w:p>
    <w:p w14:paraId="34110F2F" w14:textId="77777777" w:rsidR="00386AE3" w:rsidRDefault="00386AE3" w:rsidP="00386AE3">
      <w:pPr>
        <w:bidi/>
        <w:ind w:firstLine="0"/>
        <w:jc w:val="both"/>
        <w:rPr>
          <w:rtl/>
          <w:lang w:bidi="ar-EG"/>
        </w:rPr>
      </w:pPr>
    </w:p>
    <w:p w14:paraId="0D805465" w14:textId="77777777" w:rsidR="00386AE3" w:rsidRDefault="00386AE3" w:rsidP="00386AE3">
      <w:pPr>
        <w:bidi/>
        <w:ind w:firstLine="0"/>
        <w:jc w:val="both"/>
        <w:rPr>
          <w:rtl/>
        </w:rPr>
      </w:pPr>
    </w:p>
    <w:p w14:paraId="0F326F43" w14:textId="77777777" w:rsidR="00386AE3" w:rsidRPr="003078DA" w:rsidRDefault="00386AE3" w:rsidP="00386AE3">
      <w:pPr>
        <w:pStyle w:val="1"/>
      </w:pPr>
      <w:r w:rsidRPr="003078DA">
        <w:t>Case study I</w:t>
      </w:r>
      <w:r>
        <w:t>II</w:t>
      </w:r>
    </w:p>
    <w:p w14:paraId="1CE320E4" w14:textId="77777777" w:rsidR="00386AE3" w:rsidRDefault="00386AE3" w:rsidP="00386AE3">
      <w:pPr>
        <w:bidi/>
        <w:ind w:firstLine="0"/>
        <w:jc w:val="both"/>
        <w:rPr>
          <w:rtl/>
          <w:lang w:bidi="ar-EG"/>
        </w:rPr>
      </w:pPr>
    </w:p>
    <w:p w14:paraId="507187DB" w14:textId="77777777" w:rsidR="00386AE3" w:rsidRDefault="00386AE3" w:rsidP="00386AE3">
      <w:pPr>
        <w:bidi/>
        <w:ind w:firstLine="0"/>
        <w:jc w:val="both"/>
        <w:rPr>
          <w:rtl/>
          <w:lang w:bidi="ar-EG"/>
        </w:rPr>
      </w:pPr>
    </w:p>
    <w:p w14:paraId="2E75C785" w14:textId="77777777" w:rsidR="00386AE3" w:rsidRDefault="00386AE3" w:rsidP="00386AE3">
      <w:pPr>
        <w:bidi/>
        <w:ind w:firstLine="0"/>
        <w:jc w:val="both"/>
        <w:rPr>
          <w:rtl/>
          <w:lang w:bidi="ar-EG"/>
        </w:rPr>
      </w:pPr>
    </w:p>
    <w:p w14:paraId="77740B23" w14:textId="77777777" w:rsidR="00386AE3" w:rsidRDefault="00386AE3" w:rsidP="00386AE3">
      <w:pPr>
        <w:bidi/>
        <w:ind w:firstLine="0"/>
        <w:jc w:val="both"/>
        <w:rPr>
          <w:rtl/>
          <w:lang w:bidi="ar-EG"/>
        </w:rPr>
      </w:pPr>
    </w:p>
    <w:p w14:paraId="39DC250B" w14:textId="77777777" w:rsidR="00386AE3" w:rsidRDefault="00386AE3" w:rsidP="00386AE3">
      <w:pPr>
        <w:bidi/>
        <w:ind w:firstLine="0"/>
        <w:jc w:val="both"/>
        <w:rPr>
          <w:rtl/>
          <w:lang w:bidi="ar-EG"/>
        </w:rPr>
      </w:pPr>
    </w:p>
    <w:p w14:paraId="4D85DD0E" w14:textId="77777777" w:rsidR="00386AE3" w:rsidRDefault="00386AE3" w:rsidP="00386AE3">
      <w:pPr>
        <w:bidi/>
        <w:ind w:firstLine="0"/>
        <w:jc w:val="both"/>
        <w:rPr>
          <w:rtl/>
          <w:lang w:bidi="ar-EG"/>
        </w:rPr>
      </w:pPr>
    </w:p>
    <w:p w14:paraId="237E358F" w14:textId="77777777" w:rsidR="00386AE3" w:rsidRDefault="00386AE3" w:rsidP="00386AE3">
      <w:pPr>
        <w:bidi/>
        <w:ind w:firstLine="0"/>
        <w:jc w:val="both"/>
        <w:rPr>
          <w:rtl/>
          <w:lang w:bidi="ar-EG"/>
        </w:rPr>
      </w:pPr>
    </w:p>
    <w:p w14:paraId="3BD96FC3" w14:textId="77777777" w:rsidR="00386AE3" w:rsidRDefault="00386AE3" w:rsidP="00386AE3">
      <w:pPr>
        <w:bidi/>
        <w:ind w:firstLine="0"/>
        <w:jc w:val="both"/>
        <w:rPr>
          <w:rtl/>
          <w:lang w:bidi="ar-EG"/>
        </w:rPr>
      </w:pPr>
    </w:p>
    <w:p w14:paraId="1FA16A40" w14:textId="77777777" w:rsidR="00386AE3" w:rsidRDefault="00386AE3" w:rsidP="00386AE3">
      <w:pPr>
        <w:bidi/>
        <w:ind w:firstLine="0"/>
        <w:jc w:val="both"/>
        <w:rPr>
          <w:rtl/>
          <w:lang w:bidi="ar-EG"/>
        </w:rPr>
      </w:pPr>
    </w:p>
    <w:p w14:paraId="0E75EDFF" w14:textId="77777777" w:rsidR="00386AE3" w:rsidRDefault="00386AE3" w:rsidP="00386AE3">
      <w:pPr>
        <w:bidi/>
        <w:ind w:firstLine="0"/>
        <w:jc w:val="both"/>
        <w:rPr>
          <w:rtl/>
          <w:lang w:bidi="ar-EG"/>
        </w:rPr>
      </w:pPr>
    </w:p>
    <w:p w14:paraId="5D3813D2" w14:textId="77777777" w:rsidR="00386AE3" w:rsidRDefault="00386AE3" w:rsidP="00386AE3">
      <w:pPr>
        <w:bidi/>
        <w:ind w:firstLine="0"/>
        <w:jc w:val="both"/>
        <w:rPr>
          <w:rtl/>
          <w:lang w:bidi="ar-EG"/>
        </w:rPr>
      </w:pPr>
    </w:p>
    <w:p w14:paraId="4B5D445E" w14:textId="77777777" w:rsidR="00386AE3" w:rsidRDefault="00386AE3" w:rsidP="00386AE3">
      <w:pPr>
        <w:bidi/>
        <w:ind w:firstLine="0"/>
        <w:jc w:val="both"/>
        <w:rPr>
          <w:rtl/>
          <w:lang w:bidi="ar-EG"/>
        </w:rPr>
      </w:pPr>
    </w:p>
    <w:p w14:paraId="5414A543" w14:textId="4A8A2DE2" w:rsidR="00386AE3" w:rsidRPr="00797A5A" w:rsidRDefault="00386AE3" w:rsidP="00797A5A">
      <w:pPr>
        <w:pStyle w:val="2"/>
        <w:rPr>
          <w:rFonts w:asciiTheme="majorBidi" w:hAnsiTheme="majorBidi" w:cstheme="majorBidi"/>
        </w:rPr>
      </w:pPr>
      <w:r w:rsidRPr="00797A5A">
        <w:rPr>
          <w:rFonts w:asciiTheme="majorBidi" w:hAnsiTheme="majorBidi" w:cstheme="majorBidi"/>
        </w:rPr>
        <w:lastRenderedPageBreak/>
        <w:t xml:space="preserve">ChatGPT </w:t>
      </w:r>
      <w:r w:rsidR="00797A5A" w:rsidRPr="00797A5A">
        <w:rPr>
          <w:rFonts w:asciiTheme="majorBidi" w:hAnsiTheme="majorBidi" w:cstheme="majorBidi"/>
        </w:rPr>
        <w:t>Output</w:t>
      </w:r>
    </w:p>
    <w:p w14:paraId="3714D062"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1. Statutory Structure</w:t>
      </w:r>
    </w:p>
    <w:p w14:paraId="348B1FA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In light of the text you specifically provided, there is an important methodological observation before proceeding with the analysis: </w:t>
      </w:r>
      <w:r w:rsidRPr="00DF609E">
        <w:rPr>
          <w:rFonts w:ascii="Times New Roman" w:eastAsia="Times New Roman" w:hAnsi="Times New Roman" w:cs="Times New Roman"/>
          <w:b/>
          <w:bCs/>
          <w:kern w:val="0"/>
          <w14:ligatures w14:val="none"/>
        </w:rPr>
        <w:t>Article (69) under examination does not regulate the termination of the service of a faculty member, nor does it contain any provision concerning the role of university or faculty councils. It does not establish a period upon the expiry of which the employment relationship is terminated, nor does it prescribe any procedure preceding termination of service.</w:t>
      </w:r>
      <w:r w:rsidRPr="00DF609E">
        <w:rPr>
          <w:rFonts w:ascii="Times New Roman" w:eastAsia="Times New Roman" w:hAnsi="Times New Roman" w:cs="Times New Roman"/>
          <w:kern w:val="0"/>
          <w14:ligatures w14:val="none"/>
        </w:rPr>
        <w:t xml:space="preserve"> Rather, according to its text, it regulates </w:t>
      </w:r>
      <w:r w:rsidRPr="00DF609E">
        <w:rPr>
          <w:rFonts w:ascii="Times New Roman" w:eastAsia="Times New Roman" w:hAnsi="Times New Roman" w:cs="Times New Roman"/>
          <w:b/>
          <w:bCs/>
          <w:kern w:val="0"/>
          <w14:ligatures w14:val="none"/>
        </w:rPr>
        <w:t>leave without pay and its effects on promotion and seniority</w:t>
      </w:r>
      <w:r w:rsidRPr="00DF609E">
        <w:rPr>
          <w:rFonts w:ascii="Times New Roman" w:eastAsia="Times New Roman" w:hAnsi="Times New Roman" w:cs="Times New Roman"/>
          <w:kern w:val="0"/>
          <w14:ligatures w14:val="none"/>
        </w:rPr>
        <w:t>.</w:t>
      </w:r>
    </w:p>
    <w:p w14:paraId="584A6AFD"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Moreover, Law No. 47 of 1978 was repealed following the enactment of Civil Service Law No. 81 of 2016. Therefore, I will treat the provision as a </w:t>
      </w:r>
      <w:r w:rsidRPr="00DF609E">
        <w:rPr>
          <w:rFonts w:ascii="Times New Roman" w:eastAsia="Times New Roman" w:hAnsi="Times New Roman" w:cs="Times New Roman"/>
          <w:b/>
          <w:bCs/>
          <w:kern w:val="0"/>
          <w14:ligatures w14:val="none"/>
        </w:rPr>
        <w:t>historical statutory text subject to constitutional analysis</w:t>
      </w:r>
      <w:r w:rsidRPr="00DF609E">
        <w:rPr>
          <w:rFonts w:ascii="Times New Roman" w:eastAsia="Times New Roman" w:hAnsi="Times New Roman" w:cs="Times New Roman"/>
          <w:kern w:val="0"/>
          <w14:ligatures w14:val="none"/>
        </w:rPr>
        <w:t>, rather than as a currently operative provision. This point is particularly important for an empirical study so as not to attribute to the provision a legislative defect that does not actually arise from it.</w:t>
      </w:r>
    </w:p>
    <w:p w14:paraId="39F74886"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First: The statutory structure of the provision</w:t>
      </w:r>
    </w:p>
    <w:p w14:paraId="5EA603A3"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Article (69) establishes a specific legal framework for leave without pay and distinguishes between two principal situations:</w:t>
      </w:r>
    </w:p>
    <w:p w14:paraId="21E65E95"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A. Leave connected with the travel of one spouse</w:t>
      </w:r>
    </w:p>
    <w:p w14:paraId="1DC72FDB"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Paragraph (1) makes the granting of leave </w:t>
      </w:r>
      <w:r w:rsidRPr="00DF609E">
        <w:rPr>
          <w:rFonts w:ascii="Times New Roman" w:eastAsia="Times New Roman" w:hAnsi="Times New Roman" w:cs="Times New Roman"/>
          <w:b/>
          <w:bCs/>
          <w:kern w:val="0"/>
          <w14:ligatures w14:val="none"/>
        </w:rPr>
        <w:t>mandatory</w:t>
      </w:r>
      <w:r w:rsidRPr="00DF609E">
        <w:rPr>
          <w:rFonts w:ascii="Times New Roman" w:eastAsia="Times New Roman" w:hAnsi="Times New Roman" w:cs="Times New Roman"/>
          <w:kern w:val="0"/>
          <w14:ligatures w14:val="none"/>
        </w:rPr>
        <w:t xml:space="preserve"> when its conditions are satisfied:</w:t>
      </w:r>
    </w:p>
    <w:p w14:paraId="7D83A119" w14:textId="77777777" w:rsidR="00386AE3" w:rsidRPr="00DF609E" w:rsidRDefault="00386AE3" w:rsidP="00386AE3">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husband or wife travels abroad for work or study;</w:t>
      </w:r>
    </w:p>
    <w:p w14:paraId="3DC8334B" w14:textId="77777777" w:rsidR="00386AE3" w:rsidRPr="00DF609E" w:rsidRDefault="00386AE3" w:rsidP="00386AE3">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period of travel is at least six months;</w:t>
      </w:r>
    </w:p>
    <w:p w14:paraId="44649DC9" w14:textId="77777777" w:rsidR="00386AE3" w:rsidRPr="00DF609E" w:rsidRDefault="00386AE3" w:rsidP="00386AE3">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other spouse is granted leave without pay;</w:t>
      </w:r>
    </w:p>
    <w:p w14:paraId="6306042E" w14:textId="77777777" w:rsidR="00386AE3" w:rsidRPr="00DF609E" w:rsidRDefault="00386AE3" w:rsidP="00386AE3">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leave may not exceed the period during which the spouse remains abroad;</w:t>
      </w:r>
    </w:p>
    <w:p w14:paraId="78DB4295" w14:textId="77777777" w:rsidR="00386AE3" w:rsidRPr="00DF609E" w:rsidRDefault="00386AE3" w:rsidP="00386AE3">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sector in which the traveling spouse works is irrelevant; and</w:t>
      </w:r>
    </w:p>
    <w:p w14:paraId="0E964139" w14:textId="77777777" w:rsidR="00386AE3" w:rsidRPr="00DF609E" w:rsidRDefault="00386AE3" w:rsidP="00386AE3">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most importantly, the administrative authority </w:t>
      </w:r>
      <w:r w:rsidRPr="00DF609E">
        <w:rPr>
          <w:rFonts w:ascii="Times New Roman" w:eastAsia="Times New Roman" w:hAnsi="Times New Roman" w:cs="Times New Roman"/>
          <w:b/>
          <w:bCs/>
          <w:kern w:val="0"/>
          <w14:ligatures w14:val="none"/>
        </w:rPr>
        <w:t>is required</w:t>
      </w:r>
      <w:r w:rsidRPr="00DF609E">
        <w:rPr>
          <w:rFonts w:ascii="Times New Roman" w:eastAsia="Times New Roman" w:hAnsi="Times New Roman" w:cs="Times New Roman"/>
          <w:kern w:val="0"/>
          <w14:ligatures w14:val="none"/>
        </w:rPr>
        <w:t xml:space="preserve"> to respond to the request in all cases.</w:t>
      </w:r>
    </w:p>
    <w:p w14:paraId="3550DB2F"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Thus, this is a legal position stronger than a mere discretionary entitlement.</w:t>
      </w:r>
    </w:p>
    <w:p w14:paraId="79F56BBE"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B. Leave without pay for other reasons</w:t>
      </w:r>
    </w:p>
    <w:p w14:paraId="573357C6"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Paragraph (2) provides that the competent authority may grant the employee leave without pay:</w:t>
      </w:r>
    </w:p>
    <w:p w14:paraId="67BB3B97"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w:t>
      </w:r>
      <w:proofErr w:type="gramStart"/>
      <w:r w:rsidRPr="00DF609E">
        <w:rPr>
          <w:rFonts w:ascii="Times New Roman" w:eastAsia="Times New Roman" w:hAnsi="Times New Roman" w:cs="Times New Roman"/>
          <w:kern w:val="0"/>
          <w14:ligatures w14:val="none"/>
        </w:rPr>
        <w:t>for</w:t>
      </w:r>
      <w:proofErr w:type="gramEnd"/>
      <w:r w:rsidRPr="00DF609E">
        <w:rPr>
          <w:rFonts w:ascii="Times New Roman" w:eastAsia="Times New Roman" w:hAnsi="Times New Roman" w:cs="Times New Roman"/>
          <w:kern w:val="0"/>
          <w14:ligatures w14:val="none"/>
        </w:rPr>
        <w:t xml:space="preserve"> the reasons stated by the employee and assessed by the competent authority, in accordance with the rules it follows."</w:t>
      </w:r>
    </w:p>
    <w:p w14:paraId="14EA08F1"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Here, the provision moves from </w:t>
      </w:r>
      <w:r w:rsidRPr="00DF609E">
        <w:rPr>
          <w:rFonts w:ascii="Times New Roman" w:eastAsia="Times New Roman" w:hAnsi="Times New Roman" w:cs="Times New Roman"/>
          <w:b/>
          <w:bCs/>
          <w:kern w:val="0"/>
          <w14:ligatures w14:val="none"/>
        </w:rPr>
        <w:t>mandatory authority</w:t>
      </w:r>
      <w:r w:rsidRPr="00DF609E">
        <w:rPr>
          <w:rFonts w:ascii="Times New Roman" w:eastAsia="Times New Roman" w:hAnsi="Times New Roman" w:cs="Times New Roman"/>
          <w:kern w:val="0"/>
          <w14:ligatures w14:val="none"/>
        </w:rPr>
        <w:t xml:space="preserve"> to </w:t>
      </w:r>
      <w:r w:rsidRPr="00DF609E">
        <w:rPr>
          <w:rFonts w:ascii="Times New Roman" w:eastAsia="Times New Roman" w:hAnsi="Times New Roman" w:cs="Times New Roman"/>
          <w:b/>
          <w:bCs/>
          <w:kern w:val="0"/>
          <w14:ligatures w14:val="none"/>
        </w:rPr>
        <w:t>discretionary authority</w:t>
      </w:r>
      <w:r w:rsidRPr="00DF609E">
        <w:rPr>
          <w:rFonts w:ascii="Times New Roman" w:eastAsia="Times New Roman" w:hAnsi="Times New Roman" w:cs="Times New Roman"/>
          <w:kern w:val="0"/>
          <w14:ligatures w14:val="none"/>
        </w:rPr>
        <w:t>.</w:t>
      </w:r>
    </w:p>
    <w:p w14:paraId="7165CD68"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lastRenderedPageBreak/>
        <w:t>The leave produces a number of employment-related consequences, most importantly:</w:t>
      </w:r>
    </w:p>
    <w:p w14:paraId="6985F009" w14:textId="77777777" w:rsidR="00386AE3" w:rsidRPr="00DF609E" w:rsidRDefault="00386AE3" w:rsidP="00386AE3">
      <w:pPr>
        <w:numPr>
          <w:ilvl w:val="0"/>
          <w:numId w:val="67"/>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employee may not be promoted to senior-grade positions until returning from leave;</w:t>
      </w:r>
    </w:p>
    <w:p w14:paraId="525680C8" w14:textId="77777777" w:rsidR="00386AE3" w:rsidRPr="00DF609E" w:rsidRDefault="00386AE3" w:rsidP="00386AE3">
      <w:pPr>
        <w:numPr>
          <w:ilvl w:val="0"/>
          <w:numId w:val="67"/>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leave may not be authorized for an employee occupying one of those positions until at least one year has elapsed from the date on which the employee assumed that position;</w:t>
      </w:r>
    </w:p>
    <w:p w14:paraId="5B9747A1" w14:textId="77777777" w:rsidR="00386AE3" w:rsidRPr="00DF609E" w:rsidRDefault="00386AE3" w:rsidP="00386AE3">
      <w:pPr>
        <w:numPr>
          <w:ilvl w:val="0"/>
          <w:numId w:val="67"/>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restrictions are imposed on promotion where the leave exceeds four consecutive years; and</w:t>
      </w:r>
    </w:p>
    <w:p w14:paraId="55A3D68F" w14:textId="77777777" w:rsidR="00386AE3" w:rsidRPr="00DF609E" w:rsidRDefault="00386AE3" w:rsidP="00386AE3">
      <w:pPr>
        <w:numPr>
          <w:ilvl w:val="0"/>
          <w:numId w:val="67"/>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method for determining seniority upon return after leave exceeding four years is regulated.</w:t>
      </w:r>
    </w:p>
    <w:p w14:paraId="096B1B72"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Accordingly, the statutory structure may be summarized as follows:</w:t>
      </w:r>
    </w:p>
    <w:p w14:paraId="6D08A2AD"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entitlement to, or permissibility of, leave → continuation of the employment relationship during the leave → specified consequences for promotion and seniority → regulation of the employee's position upon return.</w:t>
      </w:r>
    </w:p>
    <w:p w14:paraId="7F55C4E0"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Second: What the provision does not regulate</w:t>
      </w:r>
    </w:p>
    <w:p w14:paraId="186EB34C"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This point is decisive for the study.</w:t>
      </w:r>
    </w:p>
    <w:p w14:paraId="69E13011"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The provision </w:t>
      </w:r>
      <w:r w:rsidRPr="00DF609E">
        <w:rPr>
          <w:rFonts w:ascii="Times New Roman" w:eastAsia="Times New Roman" w:hAnsi="Times New Roman" w:cs="Times New Roman"/>
          <w:b/>
          <w:bCs/>
          <w:kern w:val="0"/>
          <w14:ligatures w14:val="none"/>
        </w:rPr>
        <w:t>does not establish that service terminates merely because a certain period of leave has been exceeded</w:t>
      </w:r>
      <w:r w:rsidRPr="00DF609E">
        <w:rPr>
          <w:rFonts w:ascii="Times New Roman" w:eastAsia="Times New Roman" w:hAnsi="Times New Roman" w:cs="Times New Roman"/>
          <w:kern w:val="0"/>
          <w14:ligatures w14:val="none"/>
        </w:rPr>
        <w:t>.</w:t>
      </w:r>
    </w:p>
    <w:p w14:paraId="7EFDE49F"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Nor does it contain:</w:t>
      </w:r>
    </w:p>
    <w:p w14:paraId="6D38AFE7" w14:textId="77777777" w:rsidR="00386AE3" w:rsidRPr="00DF609E" w:rsidRDefault="00386AE3" w:rsidP="00386AE3">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 decision terminating service;</w:t>
      </w:r>
    </w:p>
    <w:p w14:paraId="32C132C5" w14:textId="77777777" w:rsidR="00386AE3" w:rsidRPr="00DF609E" w:rsidRDefault="00386AE3" w:rsidP="00386AE3">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 notice period preceding termination;</w:t>
      </w:r>
    </w:p>
    <w:p w14:paraId="38C5812A" w14:textId="77777777" w:rsidR="00386AE3" w:rsidRPr="00DF609E" w:rsidRDefault="00386AE3" w:rsidP="00386AE3">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 right of the employee to submit a defense before termination;</w:t>
      </w:r>
    </w:p>
    <w:p w14:paraId="0BF8FAAF" w14:textId="77777777" w:rsidR="00386AE3" w:rsidRPr="00DF609E" w:rsidRDefault="00386AE3" w:rsidP="00386AE3">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any jurisdiction assigned to a university council or faculty council;</w:t>
      </w:r>
    </w:p>
    <w:p w14:paraId="69B5B78E" w14:textId="77777777" w:rsidR="00386AE3" w:rsidRPr="00DF609E" w:rsidRDefault="00386AE3" w:rsidP="00386AE3">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disciplinary procedures;</w:t>
      </w:r>
    </w:p>
    <w:p w14:paraId="7B4FB453" w14:textId="77777777" w:rsidR="00386AE3" w:rsidRPr="00DF609E" w:rsidRDefault="00386AE3" w:rsidP="00386AE3">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an investigation committee;</w:t>
      </w:r>
    </w:p>
    <w:p w14:paraId="3BC5CA04" w14:textId="77777777" w:rsidR="00386AE3" w:rsidRPr="00DF609E" w:rsidRDefault="00386AE3" w:rsidP="00386AE3">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 hearing;</w:t>
      </w:r>
    </w:p>
    <w:p w14:paraId="2DE3CAA7" w14:textId="77777777" w:rsidR="00386AE3" w:rsidRPr="00DF609E" w:rsidRDefault="00386AE3" w:rsidP="00386AE3">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or a specified period after which service must be terminated.</w:t>
      </w:r>
    </w:p>
    <w:p w14:paraId="16E2424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Accordingly, the element of </w:t>
      </w:r>
      <w:r w:rsidRPr="00DF609E">
        <w:rPr>
          <w:rFonts w:ascii="Times New Roman" w:eastAsia="Times New Roman" w:hAnsi="Times New Roman" w:cs="Times New Roman"/>
          <w:b/>
          <w:bCs/>
          <w:kern w:val="0"/>
          <w14:ligatures w14:val="none"/>
        </w:rPr>
        <w:t>"a procedure preceding the termination of the service of a faculty member" is not present in the provision under examination at all</w:t>
      </w:r>
      <w:r w:rsidRPr="00DF609E">
        <w:rPr>
          <w:rFonts w:ascii="Times New Roman" w:eastAsia="Times New Roman" w:hAnsi="Times New Roman" w:cs="Times New Roman"/>
          <w:kern w:val="0"/>
          <w14:ligatures w14:val="none"/>
        </w:rPr>
        <w:t>.</w:t>
      </w:r>
    </w:p>
    <w:p w14:paraId="0115A74A"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Likewise, there is no provision concerning any role for "competent university bodies." If this element was intended to form part of the study design, there appears to be </w:t>
      </w:r>
      <w:r w:rsidRPr="00DF609E">
        <w:rPr>
          <w:rFonts w:ascii="Times New Roman" w:eastAsia="Times New Roman" w:hAnsi="Times New Roman" w:cs="Times New Roman"/>
          <w:b/>
          <w:bCs/>
          <w:kern w:val="0"/>
          <w14:ligatures w14:val="none"/>
        </w:rPr>
        <w:t>a mismatch between the text provided in Case Study 1 and the provision targeted by the required questions</w:t>
      </w:r>
      <w:r w:rsidRPr="00DF609E">
        <w:rPr>
          <w:rFonts w:ascii="Times New Roman" w:eastAsia="Times New Roman" w:hAnsi="Times New Roman" w:cs="Times New Roman"/>
          <w:kern w:val="0"/>
          <w14:ligatures w14:val="none"/>
        </w:rPr>
        <w:t>.</w:t>
      </w:r>
    </w:p>
    <w:p w14:paraId="36BF8146" w14:textId="77777777" w:rsidR="00386AE3" w:rsidRPr="00DF609E"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47D23A2">
          <v:rect id="_x0000_i1063" style="width:0;height:1.5pt" o:hralign="center" o:hrstd="t" o:hr="t" fillcolor="#a0a0a0" stroked="f"/>
        </w:pict>
      </w:r>
    </w:p>
    <w:p w14:paraId="6BCF2788"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2. Potential Legislative Omissions</w:t>
      </w:r>
    </w:p>
    <w:p w14:paraId="052C6E31"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lastRenderedPageBreak/>
        <w:t>Nevertheless, the provision itself may be examined for potential omissions without presupposing the existence of a defect.</w:t>
      </w:r>
    </w:p>
    <w:p w14:paraId="148C02EE"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(1) Absence of detailed criteria governing the exercise of discretionary authority</w:t>
      </w:r>
    </w:p>
    <w:p w14:paraId="5A590F9E"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Paragraph (2) permits the competent authority to grant leave:</w:t>
      </w:r>
    </w:p>
    <w:p w14:paraId="25B91237"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w:t>
      </w:r>
      <w:proofErr w:type="gramStart"/>
      <w:r w:rsidRPr="00DF609E">
        <w:rPr>
          <w:rFonts w:ascii="Times New Roman" w:eastAsia="Times New Roman" w:hAnsi="Times New Roman" w:cs="Times New Roman"/>
          <w:kern w:val="0"/>
          <w14:ligatures w14:val="none"/>
        </w:rPr>
        <w:t>for</w:t>
      </w:r>
      <w:proofErr w:type="gramEnd"/>
      <w:r w:rsidRPr="00DF609E">
        <w:rPr>
          <w:rFonts w:ascii="Times New Roman" w:eastAsia="Times New Roman" w:hAnsi="Times New Roman" w:cs="Times New Roman"/>
          <w:kern w:val="0"/>
          <w14:ligatures w14:val="none"/>
        </w:rPr>
        <w:t xml:space="preserve"> the reasons stated by the employee and assessed by the competent authority, in accordance with the rules it follows."</w:t>
      </w:r>
    </w:p>
    <w:p w14:paraId="47FC9E73"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It may be observed that the provision itself does not establish an exhaustive list of reasons justifying the granting of leave.</w:t>
      </w:r>
    </w:p>
    <w:p w14:paraId="41576CC8"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Why might this matter legally?</w:t>
      </w:r>
    </w:p>
    <w:p w14:paraId="51F507AD"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Because the granting of leave in this situation is not an absolute right of the employee, but is subject to the discretion of the competent authority.</w:t>
      </w:r>
    </w:p>
    <w:p w14:paraId="40345B94"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Theoretically, the breadth of that discretion could result in unequal treatment among employees if it were not governed by objective standards.</w:t>
      </w:r>
    </w:p>
    <w:p w14:paraId="33AA0D8A"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Is this omission material?</w:t>
      </w:r>
    </w:p>
    <w:p w14:paraId="1DD639A2"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Not necessarily.</w:t>
      </w:r>
    </w:p>
    <w:p w14:paraId="3E6DAECE"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provision itself refers to:</w:t>
      </w:r>
    </w:p>
    <w:p w14:paraId="10D7DC1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w:t>
      </w:r>
      <w:proofErr w:type="gramStart"/>
      <w:r w:rsidRPr="00DF609E">
        <w:rPr>
          <w:rFonts w:ascii="Times New Roman" w:eastAsia="Times New Roman" w:hAnsi="Times New Roman" w:cs="Times New Roman"/>
          <w:kern w:val="0"/>
          <w14:ligatures w14:val="none"/>
        </w:rPr>
        <w:t>the</w:t>
      </w:r>
      <w:proofErr w:type="gramEnd"/>
      <w:r w:rsidRPr="00DF609E">
        <w:rPr>
          <w:rFonts w:ascii="Times New Roman" w:eastAsia="Times New Roman" w:hAnsi="Times New Roman" w:cs="Times New Roman"/>
          <w:kern w:val="0"/>
          <w14:ligatures w14:val="none"/>
        </w:rPr>
        <w:t xml:space="preserve"> rules it follows"</w:t>
      </w:r>
    </w:p>
    <w:p w14:paraId="44235498"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This indicates that the legislature left part of the regulatory framework to executive and administrative rules.</w:t>
      </w:r>
    </w:p>
    <w:p w14:paraId="1A7116D3"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That may reasonably be understood as an intentional legislative choice allowing different administrative bodies to take account of their differing circumstances and operational requirements.</w:t>
      </w:r>
    </w:p>
    <w:p w14:paraId="7F855AB0"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Accordingly, the mere fact that the provision does not enumerate the grounds for leave is insufficient to establish a legislative gap.</w:t>
      </w:r>
    </w:p>
    <w:p w14:paraId="39F5216D" w14:textId="77777777" w:rsidR="00386AE3" w:rsidRPr="00DF609E"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FCCD346">
          <v:rect id="_x0000_i1064" style="width:0;height:1.5pt" o:hralign="center" o:hrstd="t" o:hr="t" fillcolor="#a0a0a0" stroked="f"/>
        </w:pict>
      </w:r>
    </w:p>
    <w:p w14:paraId="0C102672"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(2) Absence of an express maximum period of leave in all circumstances</w:t>
      </w:r>
    </w:p>
    <w:p w14:paraId="629FA0B4"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lastRenderedPageBreak/>
        <w:t>The provision establishes particular consequences when the leave exceeds four years, but it does not generally state:</w:t>
      </w:r>
    </w:p>
    <w:p w14:paraId="20E5098F"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leave may not exceed a period of ..."</w:t>
      </w:r>
    </w:p>
    <w:p w14:paraId="0DAC8992"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This might initially appear to constitute an omission.</w:t>
      </w:r>
    </w:p>
    <w:p w14:paraId="2F26589E"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However, a comprehensive reading of the provision weakens that conclusion because the legislature expressly addressed </w:t>
      </w:r>
      <w:r w:rsidRPr="00DF609E">
        <w:rPr>
          <w:rFonts w:ascii="Times New Roman" w:eastAsia="Times New Roman" w:hAnsi="Times New Roman" w:cs="Times New Roman"/>
          <w:b/>
          <w:bCs/>
          <w:kern w:val="0"/>
          <w14:ligatures w14:val="none"/>
        </w:rPr>
        <w:t>leave exceeding four years</w:t>
      </w:r>
      <w:r w:rsidRPr="00DF609E">
        <w:rPr>
          <w:rFonts w:ascii="Times New Roman" w:eastAsia="Times New Roman" w:hAnsi="Times New Roman" w:cs="Times New Roman"/>
          <w:kern w:val="0"/>
          <w14:ligatures w14:val="none"/>
        </w:rPr>
        <w:t xml:space="preserve"> and attached consequences to it with respect to promotion and seniority.</w:t>
      </w:r>
    </w:p>
    <w:p w14:paraId="6D22702D"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It therefore appears that the legislature was aware that leave could extend beyond four years and did not treat such extension as automatically terminating the employee's service.</w:t>
      </w:r>
    </w:p>
    <w:p w14:paraId="5D3652D3"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Accordingly, this is more appropriately understood as a </w:t>
      </w:r>
      <w:r w:rsidRPr="00DF609E">
        <w:rPr>
          <w:rFonts w:ascii="Times New Roman" w:eastAsia="Times New Roman" w:hAnsi="Times New Roman" w:cs="Times New Roman"/>
          <w:b/>
          <w:bCs/>
          <w:kern w:val="0"/>
          <w14:ligatures w14:val="none"/>
        </w:rPr>
        <w:t>legislative policy choice concerning the regulation of the employment consequences of prolonged leave</w:t>
      </w:r>
      <w:r w:rsidRPr="00DF609E">
        <w:rPr>
          <w:rFonts w:ascii="Times New Roman" w:eastAsia="Times New Roman" w:hAnsi="Times New Roman" w:cs="Times New Roman"/>
          <w:kern w:val="0"/>
          <w14:ligatures w14:val="none"/>
        </w:rPr>
        <w:t xml:space="preserve"> than as a legislative gap.</w:t>
      </w:r>
    </w:p>
    <w:p w14:paraId="081458D3" w14:textId="77777777" w:rsidR="00386AE3" w:rsidRPr="00DF609E"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FD1DA9A">
          <v:rect id="_x0000_i1065" style="width:0;height:1.5pt" o:hralign="center" o:hrstd="t" o:hr="t" fillcolor="#a0a0a0" stroked="f"/>
        </w:pict>
      </w:r>
    </w:p>
    <w:p w14:paraId="0FA046E9"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(3) Absence of a detailed procedure for hearing the employee before refusing leave</w:t>
      </w:r>
    </w:p>
    <w:p w14:paraId="12CD0B3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It could also be argued that the provision does not require the competent authority, in the discretionary case, to:</w:t>
      </w:r>
    </w:p>
    <w:p w14:paraId="5F34547C" w14:textId="77777777" w:rsidR="00386AE3" w:rsidRPr="00DF609E" w:rsidRDefault="00386AE3" w:rsidP="00386AE3">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notify the employee of the reason for refusal;</w:t>
      </w:r>
    </w:p>
    <w:p w14:paraId="7599FD86" w14:textId="77777777" w:rsidR="00386AE3" w:rsidRPr="00DF609E" w:rsidRDefault="00386AE3" w:rsidP="00386AE3">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allow the employee to respond; or</w:t>
      </w:r>
    </w:p>
    <w:p w14:paraId="2F9FEDC6" w14:textId="77777777" w:rsidR="00386AE3" w:rsidRPr="00DF609E" w:rsidRDefault="00386AE3" w:rsidP="00386AE3">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provide an administrative grievance mechanism.</w:t>
      </w:r>
    </w:p>
    <w:p w14:paraId="25719495"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However, this omission concerns </w:t>
      </w:r>
      <w:r w:rsidRPr="00DF609E">
        <w:rPr>
          <w:rFonts w:ascii="Times New Roman" w:eastAsia="Times New Roman" w:hAnsi="Times New Roman" w:cs="Times New Roman"/>
          <w:b/>
          <w:bCs/>
          <w:kern w:val="0"/>
          <w14:ligatures w14:val="none"/>
        </w:rPr>
        <w:t>the decision to grant or refuse leave</w:t>
      </w:r>
      <w:r w:rsidRPr="00DF609E">
        <w:rPr>
          <w:rFonts w:ascii="Times New Roman" w:eastAsia="Times New Roman" w:hAnsi="Times New Roman" w:cs="Times New Roman"/>
          <w:kern w:val="0"/>
          <w14:ligatures w14:val="none"/>
        </w:rPr>
        <w:t>, not termination of service.</w:t>
      </w:r>
    </w:p>
    <w:p w14:paraId="115DCED4"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Moreover, imposing a right to be heard before every discretionary administrative decision is not a general constitutional requirement that can simply be presumed from the absence of such a provision.</w:t>
      </w:r>
    </w:p>
    <w:p w14:paraId="56D4656B"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safeguards of judicial review of administrative decisions may be sufficient, depending on the nature of the decision and its consequences.</w:t>
      </w:r>
    </w:p>
    <w:p w14:paraId="2D43A1DF"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Therefore, this matter cannot, by itself, be characterized as a constitutional omission.</w:t>
      </w:r>
    </w:p>
    <w:p w14:paraId="16A5C659" w14:textId="77777777" w:rsidR="00386AE3" w:rsidRPr="00DF609E"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0BC2C4B">
          <v:rect id="_x0000_i1066" style="width:0;height:1.5pt" o:hralign="center" o:hrstd="t" o:hr="t" fillcolor="#a0a0a0" stroked="f"/>
        </w:pict>
      </w:r>
    </w:p>
    <w:p w14:paraId="70B7121B"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(4) Absence of a procedural safeguard before termination of service</w:t>
      </w:r>
    </w:p>
    <w:p w14:paraId="3A3E847A"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This is the point on which the question specifically asks the analysis to focus.</w:t>
      </w:r>
    </w:p>
    <w:p w14:paraId="0B6D211A"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lastRenderedPageBreak/>
        <w:t>However, the precise textual conclusion is:</w:t>
      </w:r>
    </w:p>
    <w:p w14:paraId="749BA1AF"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The safeguard is absent because Article (69) does not itself establish any authority to terminate service.</w:t>
      </w:r>
    </w:p>
    <w:p w14:paraId="11969C1B"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It would therefore be logically incorrect to attribute to the provision an omission consisting of the failure to regulate a procedure preceding termination of service when termination is not a legal consequence established by the provision.</w:t>
      </w:r>
    </w:p>
    <w:p w14:paraId="59EF7014"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This is particularly important when evaluating the model's performance; assuming a connection between "leave without pay" and "termination of service" merely because the question asks the model to look for a safeguard preceding termination would constitute an </w:t>
      </w:r>
      <w:r w:rsidRPr="00DF609E">
        <w:rPr>
          <w:rFonts w:ascii="Times New Roman" w:eastAsia="Times New Roman" w:hAnsi="Times New Roman" w:cs="Times New Roman"/>
          <w:b/>
          <w:bCs/>
          <w:kern w:val="0"/>
          <w14:ligatures w14:val="none"/>
        </w:rPr>
        <w:t>inference going beyond the statutory text</w:t>
      </w:r>
      <w:r w:rsidRPr="00DF609E">
        <w:rPr>
          <w:rFonts w:ascii="Times New Roman" w:eastAsia="Times New Roman" w:hAnsi="Times New Roman" w:cs="Times New Roman"/>
          <w:kern w:val="0"/>
          <w14:ligatures w14:val="none"/>
        </w:rPr>
        <w:t>.</w:t>
      </w:r>
    </w:p>
    <w:p w14:paraId="51AB98EA" w14:textId="77777777" w:rsidR="00386AE3" w:rsidRPr="00DF609E"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DFC3E17">
          <v:rect id="_x0000_i1067" style="width:0;height:1.5pt" o:hralign="center" o:hrstd="t" o:hr="t" fillcolor="#a0a0a0" stroked="f"/>
        </w:pict>
      </w:r>
    </w:p>
    <w:p w14:paraId="3F162731"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3. Constitutional Assessment</w:t>
      </w:r>
    </w:p>
    <w:p w14:paraId="4FEA6901"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The constitutional framework</w:t>
      </w:r>
    </w:p>
    <w:p w14:paraId="6ECB1BE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Egyptian Constitution provides in Article (14) that public employment is a right of citizens based on competence, and that the State guarantees the rights and protection of public employees. It further provides that:</w:t>
      </w:r>
    </w:p>
    <w:p w14:paraId="00FA9D9A"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"They may not be dismissed other than through disciplinary proceedings, except in the cases specified by law."</w:t>
      </w:r>
    </w:p>
    <w:p w14:paraId="297CDC6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Article (53) establishes equality before the law, while Article (97) guarantees the right of access to courts.</w:t>
      </w:r>
    </w:p>
    <w:p w14:paraId="36207C37"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However, applying these principles to Article (69) first requires identifying </w:t>
      </w:r>
      <w:r w:rsidRPr="00DF609E">
        <w:rPr>
          <w:rFonts w:ascii="Times New Roman" w:eastAsia="Times New Roman" w:hAnsi="Times New Roman" w:cs="Times New Roman"/>
          <w:b/>
          <w:bCs/>
          <w:kern w:val="0"/>
          <w14:ligatures w14:val="none"/>
        </w:rPr>
        <w:t>the legal effect created by the provision</w:t>
      </w:r>
      <w:r w:rsidRPr="00DF609E">
        <w:rPr>
          <w:rFonts w:ascii="Times New Roman" w:eastAsia="Times New Roman" w:hAnsi="Times New Roman" w:cs="Times New Roman"/>
          <w:kern w:val="0"/>
          <w14:ligatures w14:val="none"/>
        </w:rPr>
        <w:t>.</w:t>
      </w:r>
    </w:p>
    <w:p w14:paraId="174A27AE"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provision does not create termination of service.</w:t>
      </w:r>
    </w:p>
    <w:p w14:paraId="12E10A57"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A. The argument that a constitutional problem exists</w:t>
      </w:r>
    </w:p>
    <w:p w14:paraId="5E56740F"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 hypothetical argument could be constructed as follows:</w:t>
      </w:r>
    </w:p>
    <w:p w14:paraId="35AF5617"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If the provisions concerning prolonged leave were understood as permitting the administration to terminate the employee's service because of the continuation of the leave or the exceeding of a specified period, the absence of:</w:t>
      </w:r>
    </w:p>
    <w:p w14:paraId="228686C0" w14:textId="77777777" w:rsidR="00386AE3" w:rsidRPr="00DF609E" w:rsidRDefault="00386AE3" w:rsidP="00386AE3">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notice;</w:t>
      </w:r>
    </w:p>
    <w:p w14:paraId="1DEC37CA" w14:textId="77777777" w:rsidR="00386AE3" w:rsidRPr="00DF609E" w:rsidRDefault="00386AE3" w:rsidP="00386AE3">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investigation;</w:t>
      </w:r>
    </w:p>
    <w:p w14:paraId="0A24F12A" w14:textId="77777777" w:rsidR="00386AE3" w:rsidRPr="00DF609E" w:rsidRDefault="00386AE3" w:rsidP="00386AE3">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 hearing;</w:t>
      </w:r>
    </w:p>
    <w:p w14:paraId="46449540" w14:textId="77777777" w:rsidR="00386AE3" w:rsidRPr="00DF609E" w:rsidRDefault="00386AE3" w:rsidP="00386AE3">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an opportunity to provide an explanation; or</w:t>
      </w:r>
    </w:p>
    <w:p w14:paraId="501E8C8B" w14:textId="77777777" w:rsidR="00386AE3" w:rsidRPr="00DF609E" w:rsidRDefault="00386AE3" w:rsidP="00386AE3">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independent review of the decision,</w:t>
      </w:r>
    </w:p>
    <w:p w14:paraId="3F02979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lastRenderedPageBreak/>
        <w:t>could raise a constitutional question as to the adequacy of the protection required by Article (14) of the Constitution, particularly if the decision results in the loss of public employment.</w:t>
      </w:r>
    </w:p>
    <w:p w14:paraId="617EA006"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This is a legally plausible constitutional argument </w:t>
      </w:r>
      <w:r w:rsidRPr="00DF609E">
        <w:rPr>
          <w:rFonts w:ascii="Times New Roman" w:eastAsia="Times New Roman" w:hAnsi="Times New Roman" w:cs="Times New Roman"/>
          <w:b/>
          <w:bCs/>
          <w:kern w:val="0"/>
          <w14:ligatures w14:val="none"/>
        </w:rPr>
        <w:t>if another statutory provision actually makes termination of service a consequence of one of the circumstances regulated by Article (69)</w:t>
      </w:r>
      <w:r w:rsidRPr="00DF609E">
        <w:rPr>
          <w:rFonts w:ascii="Times New Roman" w:eastAsia="Times New Roman" w:hAnsi="Times New Roman" w:cs="Times New Roman"/>
          <w:kern w:val="0"/>
          <w14:ligatures w14:val="none"/>
        </w:rPr>
        <w:t>.</w:t>
      </w:r>
    </w:p>
    <w:p w14:paraId="51CDDF0B"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B. The counterargument</w:t>
      </w:r>
    </w:p>
    <w:p w14:paraId="61F2932B"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However, applying this argument to Article (69) itself encounters a fundamental problem:</w:t>
      </w:r>
    </w:p>
    <w:p w14:paraId="3204C13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The provision does not provide for termination of service in the first place.</w:t>
      </w:r>
    </w:p>
    <w:p w14:paraId="7B75710F"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It distinguishes between:</w:t>
      </w:r>
    </w:p>
    <w:p w14:paraId="637F45FB" w14:textId="77777777" w:rsidR="00386AE3" w:rsidRPr="00DF609E" w:rsidRDefault="00386AE3" w:rsidP="00386AE3">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employee's continuation in service during the leave;</w:t>
      </w:r>
    </w:p>
    <w:p w14:paraId="24ACA000" w14:textId="77777777" w:rsidR="00386AE3" w:rsidRPr="00DF609E" w:rsidRDefault="00386AE3" w:rsidP="00386AE3">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effect of the leave on promotion; and</w:t>
      </w:r>
    </w:p>
    <w:p w14:paraId="0D82F678" w14:textId="77777777" w:rsidR="00386AE3" w:rsidRPr="00DF609E" w:rsidRDefault="00386AE3" w:rsidP="00386AE3">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its effect on seniority upon return.</w:t>
      </w:r>
    </w:p>
    <w:p w14:paraId="74362498"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Accordingly, it is not possible to infer a violation of Article (14) merely because the provision does not establish a procedure preceding termination of service when the provision does not regulate termination at all.</w:t>
      </w:r>
    </w:p>
    <w:p w14:paraId="5C26D49A"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Moreover, the structure of the provision appears to assume </w:t>
      </w:r>
      <w:r w:rsidRPr="00DF609E">
        <w:rPr>
          <w:rFonts w:ascii="Times New Roman" w:eastAsia="Times New Roman" w:hAnsi="Times New Roman" w:cs="Times New Roman"/>
          <w:b/>
          <w:bCs/>
          <w:kern w:val="0"/>
          <w14:ligatures w14:val="none"/>
        </w:rPr>
        <w:t>the continuation of the employment relationship</w:t>
      </w:r>
      <w:r w:rsidRPr="00DF609E">
        <w:rPr>
          <w:rFonts w:ascii="Times New Roman" w:eastAsia="Times New Roman" w:hAnsi="Times New Roman" w:cs="Times New Roman"/>
          <w:kern w:val="0"/>
          <w14:ligatures w14:val="none"/>
        </w:rPr>
        <w:t>, since it expressly refers to:</w:t>
      </w:r>
    </w:p>
    <w:p w14:paraId="58B6FBAC"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w:t>
      </w:r>
      <w:proofErr w:type="gramStart"/>
      <w:r w:rsidRPr="00DF609E">
        <w:rPr>
          <w:rFonts w:ascii="Times New Roman" w:eastAsia="Times New Roman" w:hAnsi="Times New Roman" w:cs="Times New Roman"/>
          <w:kern w:val="0"/>
          <w14:ligatures w14:val="none"/>
        </w:rPr>
        <w:t>the</w:t>
      </w:r>
      <w:proofErr w:type="gramEnd"/>
      <w:r w:rsidRPr="00DF609E">
        <w:rPr>
          <w:rFonts w:ascii="Times New Roman" w:eastAsia="Times New Roman" w:hAnsi="Times New Roman" w:cs="Times New Roman"/>
          <w:kern w:val="0"/>
          <w14:ligatures w14:val="none"/>
        </w:rPr>
        <w:t xml:space="preserve"> employee's return from leave"</w:t>
      </w:r>
    </w:p>
    <w:p w14:paraId="7EE1EC9E"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and to determining the employee's seniority upon return.</w:t>
      </w:r>
    </w:p>
    <w:p w14:paraId="3C3F6242"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This is structurally inconsistent with the assumption that prolonged leave, by itself, causes the employment relationship to terminate.</w:t>
      </w:r>
    </w:p>
    <w:p w14:paraId="66A9575D"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Constitutional conclusion</w:t>
      </w:r>
    </w:p>
    <w:p w14:paraId="09897F61"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Article (69), considered on its own, does not reveal a constitutionally significant omission concerning a procedural safeguard preceding termination of service.</w:t>
      </w:r>
    </w:p>
    <w:p w14:paraId="7AE851A0"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If a constitutional problem exists, the inquiry should instead turn to </w:t>
      </w:r>
      <w:r w:rsidRPr="00DF609E">
        <w:rPr>
          <w:rFonts w:ascii="Times New Roman" w:eastAsia="Times New Roman" w:hAnsi="Times New Roman" w:cs="Times New Roman"/>
          <w:b/>
          <w:bCs/>
          <w:kern w:val="0"/>
          <w14:ligatures w14:val="none"/>
        </w:rPr>
        <w:t xml:space="preserve">the other statutory provision that regulates termination of service or connects prolonged leave </w:t>
      </w:r>
      <w:proofErr w:type="spellStart"/>
      <w:r w:rsidRPr="00DF609E">
        <w:rPr>
          <w:rFonts w:ascii="Times New Roman" w:eastAsia="Times New Roman" w:hAnsi="Times New Roman" w:cs="Times New Roman"/>
          <w:b/>
          <w:bCs/>
          <w:kern w:val="0"/>
          <w14:ligatures w14:val="none"/>
        </w:rPr>
        <w:t>or</w:t>
      </w:r>
      <w:proofErr w:type="spellEnd"/>
      <w:r w:rsidRPr="00DF609E">
        <w:rPr>
          <w:rFonts w:ascii="Times New Roman" w:eastAsia="Times New Roman" w:hAnsi="Times New Roman" w:cs="Times New Roman"/>
          <w:b/>
          <w:bCs/>
          <w:kern w:val="0"/>
          <w14:ligatures w14:val="none"/>
        </w:rPr>
        <w:t xml:space="preserve"> absence with termination of service</w:t>
      </w:r>
      <w:r w:rsidRPr="00DF609E">
        <w:rPr>
          <w:rFonts w:ascii="Times New Roman" w:eastAsia="Times New Roman" w:hAnsi="Times New Roman" w:cs="Times New Roman"/>
          <w:kern w:val="0"/>
          <w14:ligatures w14:val="none"/>
        </w:rPr>
        <w:t>, rather than treating Article (69) as the provision creating that consequence.</w:t>
      </w:r>
    </w:p>
    <w:p w14:paraId="3D905977" w14:textId="77777777" w:rsidR="00386AE3" w:rsidRPr="00DF609E"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0E6FA81">
          <v:rect id="_x0000_i1068" style="width:0;height:1.5pt" o:hralign="center" o:hrstd="t" o:hr="t" fillcolor="#a0a0a0" stroked="f"/>
        </w:pict>
      </w:r>
    </w:p>
    <w:p w14:paraId="65C50B43"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4. Legislative-Gap Classification</w:t>
      </w:r>
    </w:p>
    <w:p w14:paraId="534DEBCB"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 would classify the principal issue as follows:</w:t>
      </w:r>
    </w:p>
    <w:p w14:paraId="6F5BBE82"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lastRenderedPageBreak/>
        <w:t>No legislative gap — with respect to a safeguard preceding termination of service.</w:t>
      </w:r>
    </w:p>
    <w:p w14:paraId="2DA8736B"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reason is not that the provision supplies an adequate procedural safeguard. Rather, the more precise reason is that:</w:t>
      </w:r>
    </w:p>
    <w:p w14:paraId="3260A2D1"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the supposed issue does not form part of the statutory scheme established by Article (69) in the first place.</w:t>
      </w:r>
    </w:p>
    <w:p w14:paraId="405308B0"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As for some secondary matters, such as the absence of detailed criteria governing the exercise of discretionary authority in granting leave, these may, at most, be characterized as:</w:t>
      </w:r>
    </w:p>
    <w:p w14:paraId="4C811CD5" w14:textId="77777777" w:rsidR="00386AE3" w:rsidRPr="0007652A" w:rsidRDefault="00386AE3" w:rsidP="00386AE3">
      <w:pPr>
        <w:ind w:firstLine="0"/>
        <w:rPr>
          <w:rFonts w:asciiTheme="majorBidi" w:hAnsiTheme="majorBidi" w:cstheme="majorBidi"/>
          <w:b/>
          <w:bCs/>
          <w:sz w:val="27"/>
          <w:szCs w:val="27"/>
        </w:rPr>
      </w:pPr>
      <w:r w:rsidRPr="0007652A">
        <w:rPr>
          <w:rFonts w:asciiTheme="majorBidi" w:hAnsiTheme="majorBidi" w:cstheme="majorBidi"/>
          <w:b/>
          <w:bCs/>
          <w:sz w:val="27"/>
          <w:szCs w:val="27"/>
        </w:rPr>
        <w:t>Textual omission without constitutional significance</w:t>
      </w:r>
    </w:p>
    <w:p w14:paraId="103BE981"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I do not find, from the text alone, a sufficient basis to elevate them to the status of a </w:t>
      </w:r>
      <w:r w:rsidRPr="00DF609E">
        <w:rPr>
          <w:rFonts w:ascii="Times New Roman" w:eastAsia="Times New Roman" w:hAnsi="Times New Roman" w:cs="Times New Roman"/>
          <w:b/>
          <w:bCs/>
          <w:kern w:val="0"/>
          <w14:ligatures w14:val="none"/>
        </w:rPr>
        <w:t>material legislative gap</w:t>
      </w:r>
      <w:r w:rsidRPr="00DF609E">
        <w:rPr>
          <w:rFonts w:ascii="Times New Roman" w:eastAsia="Times New Roman" w:hAnsi="Times New Roman" w:cs="Times New Roman"/>
          <w:kern w:val="0"/>
          <w14:ligatures w14:val="none"/>
        </w:rPr>
        <w:t xml:space="preserve">, much less a </w:t>
      </w:r>
      <w:r w:rsidRPr="00DF609E">
        <w:rPr>
          <w:rFonts w:ascii="Times New Roman" w:eastAsia="Times New Roman" w:hAnsi="Times New Roman" w:cs="Times New Roman"/>
          <w:b/>
          <w:bCs/>
          <w:kern w:val="0"/>
          <w14:ligatures w14:val="none"/>
        </w:rPr>
        <w:t>constitutionally significant legislative omission</w:t>
      </w:r>
      <w:r w:rsidRPr="00DF609E">
        <w:rPr>
          <w:rFonts w:ascii="Times New Roman" w:eastAsia="Times New Roman" w:hAnsi="Times New Roman" w:cs="Times New Roman"/>
          <w:kern w:val="0"/>
          <w14:ligatures w14:val="none"/>
        </w:rPr>
        <w:t>.</w:t>
      </w:r>
    </w:p>
    <w:p w14:paraId="6579B056"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It is important not to confuse:</w:t>
      </w:r>
    </w:p>
    <w:p w14:paraId="086EAF1C"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absence of regulation</w:t>
      </w:r>
    </w:p>
    <w:p w14:paraId="19406CD0"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with</w:t>
      </w:r>
    </w:p>
    <w:p w14:paraId="579B1E6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constitutional legislative omission</w:t>
      </w:r>
      <w:r w:rsidRPr="00DF609E">
        <w:rPr>
          <w:rFonts w:ascii="Times New Roman" w:eastAsia="Times New Roman" w:hAnsi="Times New Roman" w:cs="Times New Roman"/>
          <w:kern w:val="0"/>
          <w14:ligatures w14:val="none"/>
        </w:rPr>
        <w:t>.</w:t>
      </w:r>
    </w:p>
    <w:p w14:paraId="74EA7A7B"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Not everything that the legislature leaves unregulated constitutes a legislative gap, and not every legislative gap constitutes a constitutional defect.</w:t>
      </w:r>
    </w:p>
    <w:p w14:paraId="6269C6CE" w14:textId="77777777" w:rsidR="00386AE3" w:rsidRPr="00DF609E"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8251455">
          <v:rect id="_x0000_i1069" style="width:0;height:1.5pt" o:hralign="center" o:hrstd="t" o:hr="t" fillcolor="#a0a0a0" stroked="f"/>
        </w:pict>
      </w:r>
    </w:p>
    <w:p w14:paraId="0EFCAC13"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5. Judicial-Review Perspective</w:t>
      </w:r>
    </w:p>
    <w:p w14:paraId="0E620336"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If we assume that an affected employee brought a constitutional challenge arguing that Article (69) does not provide an adequate procedural safeguard before termination of service, the first question that should be examined by the Supreme Constitutional Court would be:</w:t>
      </w:r>
    </w:p>
    <w:p w14:paraId="6121EBD5"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Is Article (69) actually the provision that produces the termination-of-service consequence?</w:t>
      </w:r>
    </w:p>
    <w:p w14:paraId="6D613393"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This is not merely a formal issue; it concerns the </w:t>
      </w:r>
      <w:r w:rsidRPr="00DF609E">
        <w:rPr>
          <w:rFonts w:ascii="Times New Roman" w:eastAsia="Times New Roman" w:hAnsi="Times New Roman" w:cs="Times New Roman"/>
          <w:b/>
          <w:bCs/>
          <w:kern w:val="0"/>
          <w14:ligatures w14:val="none"/>
        </w:rPr>
        <w:t>subject matter of the constitutional challenge and the connection between the challenged provision and the substantive relief sought</w:t>
      </w:r>
      <w:r w:rsidRPr="00DF609E">
        <w:rPr>
          <w:rFonts w:ascii="Times New Roman" w:eastAsia="Times New Roman" w:hAnsi="Times New Roman" w:cs="Times New Roman"/>
          <w:kern w:val="0"/>
          <w14:ligatures w14:val="none"/>
        </w:rPr>
        <w:t>.</w:t>
      </w:r>
    </w:p>
    <w:p w14:paraId="45048F81"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Supreme Constitutional Court has emphasized, in the context of its review of civil-service provisions, the importance of the constitutional issue being connected to the statutory provision necessary for resolution of the underlying dispute.</w:t>
      </w:r>
    </w:p>
    <w:p w14:paraId="5B022081"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lastRenderedPageBreak/>
        <w:t>Accordingly, the judicial analysis could proceed through three stages:</w:t>
      </w:r>
    </w:p>
    <w:p w14:paraId="7BA5CA21" w14:textId="77777777" w:rsidR="00386AE3" w:rsidRPr="00C55509" w:rsidRDefault="00386AE3" w:rsidP="00386AE3">
      <w:pPr>
        <w:ind w:firstLine="0"/>
        <w:rPr>
          <w:rFonts w:asciiTheme="majorBidi" w:hAnsiTheme="majorBidi" w:cstheme="majorBidi"/>
          <w:b/>
          <w:bCs/>
          <w:sz w:val="27"/>
          <w:szCs w:val="27"/>
        </w:rPr>
      </w:pPr>
      <w:r w:rsidRPr="00C55509">
        <w:rPr>
          <w:rFonts w:asciiTheme="majorBidi" w:hAnsiTheme="majorBidi" w:cstheme="majorBidi"/>
          <w:b/>
          <w:bCs/>
          <w:sz w:val="27"/>
          <w:szCs w:val="27"/>
        </w:rPr>
        <w:t>First stage: Identifying the legal effect of the provision</w:t>
      </w:r>
    </w:p>
    <w:p w14:paraId="224848F4"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Court would read Article (69) as regulating leave without pay and its effects on promotion and seniority.</w:t>
      </w:r>
    </w:p>
    <w:p w14:paraId="4A2380F2" w14:textId="77777777" w:rsidR="00386AE3" w:rsidRPr="00C55509" w:rsidRDefault="00386AE3" w:rsidP="00386AE3">
      <w:pPr>
        <w:ind w:firstLine="0"/>
        <w:rPr>
          <w:rFonts w:asciiTheme="majorBidi" w:hAnsiTheme="majorBidi" w:cstheme="majorBidi"/>
          <w:b/>
          <w:bCs/>
          <w:sz w:val="27"/>
          <w:szCs w:val="27"/>
        </w:rPr>
      </w:pPr>
      <w:r w:rsidRPr="00C55509">
        <w:rPr>
          <w:rFonts w:asciiTheme="majorBidi" w:hAnsiTheme="majorBidi" w:cstheme="majorBidi"/>
          <w:b/>
          <w:bCs/>
          <w:sz w:val="27"/>
          <w:szCs w:val="27"/>
        </w:rPr>
        <w:t>Second stage: Determining whether the provision results in termination of service</w:t>
      </w:r>
    </w:p>
    <w:p w14:paraId="4F16A89E"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If it does not, the allegation that Article (69) lacks a procedural safeguard preceding termination of service would not be connected to the legal effect regulated by the provision.</w:t>
      </w:r>
    </w:p>
    <w:p w14:paraId="334F9409" w14:textId="77777777" w:rsidR="00386AE3" w:rsidRPr="00C55509" w:rsidRDefault="00386AE3" w:rsidP="00386AE3">
      <w:pPr>
        <w:ind w:firstLine="0"/>
        <w:rPr>
          <w:rFonts w:asciiTheme="majorBidi" w:hAnsiTheme="majorBidi" w:cstheme="majorBidi"/>
          <w:b/>
          <w:bCs/>
          <w:sz w:val="27"/>
          <w:szCs w:val="27"/>
        </w:rPr>
      </w:pPr>
      <w:r w:rsidRPr="00C55509">
        <w:rPr>
          <w:rFonts w:asciiTheme="majorBidi" w:hAnsiTheme="majorBidi" w:cstheme="majorBidi"/>
          <w:b/>
          <w:bCs/>
          <w:sz w:val="27"/>
          <w:szCs w:val="27"/>
        </w:rPr>
        <w:t>Third stage: If termination is based on another provision</w:t>
      </w:r>
    </w:p>
    <w:p w14:paraId="0EEEE08F"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The constitutional inquiry would then shift to </w:t>
      </w:r>
      <w:r w:rsidRPr="00DF609E">
        <w:rPr>
          <w:rFonts w:ascii="Times New Roman" w:eastAsia="Times New Roman" w:hAnsi="Times New Roman" w:cs="Times New Roman"/>
          <w:b/>
          <w:bCs/>
          <w:kern w:val="0"/>
          <w14:ligatures w14:val="none"/>
        </w:rPr>
        <w:t>the provision that creates the termination-of-service consequence</w:t>
      </w:r>
      <w:r w:rsidRPr="00DF609E">
        <w:rPr>
          <w:rFonts w:ascii="Times New Roman" w:eastAsia="Times New Roman" w:hAnsi="Times New Roman" w:cs="Times New Roman"/>
          <w:kern w:val="0"/>
          <w14:ligatures w14:val="none"/>
        </w:rPr>
        <w:t>.</w:t>
      </w:r>
    </w:p>
    <w:p w14:paraId="7D2985C4"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There is independent constitutional significance in the question of procedural safeguards preceding termination where the law provides for automatic or quasi-automatic termination as a consequence of an employee's conduct. This can also be seen in the modern constitutional discussion surrounding civil-service provisions concerning absence from work, where the absence of written notice and an opportunity to submit an excuse has specifically been raised.</w:t>
      </w:r>
    </w:p>
    <w:p w14:paraId="3CFDBCC5"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However, that reasoning should not simply be transposed onto the old Article (69) merely because there is a thematic similarity.</w:t>
      </w:r>
    </w:p>
    <w:p w14:paraId="6D3FA21D" w14:textId="77777777" w:rsidR="00386AE3" w:rsidRPr="00C55509" w:rsidRDefault="00386AE3" w:rsidP="00386AE3">
      <w:pPr>
        <w:ind w:firstLine="0"/>
        <w:rPr>
          <w:rFonts w:asciiTheme="majorBidi" w:hAnsiTheme="majorBidi" w:cstheme="majorBidi"/>
          <w:b/>
          <w:bCs/>
          <w:sz w:val="27"/>
          <w:szCs w:val="27"/>
        </w:rPr>
      </w:pPr>
      <w:r w:rsidRPr="00C55509">
        <w:rPr>
          <w:rFonts w:asciiTheme="majorBidi" w:hAnsiTheme="majorBidi" w:cstheme="majorBidi"/>
          <w:b/>
          <w:bCs/>
          <w:sz w:val="27"/>
          <w:szCs w:val="27"/>
        </w:rPr>
        <w:t>The stronger position</w:t>
      </w:r>
    </w:p>
    <w:p w14:paraId="3D3B167D"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Accordingly, if the constitutional challenge is directed </w:t>
      </w:r>
      <w:r w:rsidRPr="00DF609E">
        <w:rPr>
          <w:rFonts w:ascii="Times New Roman" w:eastAsia="Times New Roman" w:hAnsi="Times New Roman" w:cs="Times New Roman"/>
          <w:b/>
          <w:bCs/>
          <w:kern w:val="0"/>
          <w14:ligatures w14:val="none"/>
        </w:rPr>
        <w:t>against Article (69) alone</w:t>
      </w:r>
      <w:r w:rsidRPr="00DF609E">
        <w:rPr>
          <w:rFonts w:ascii="Times New Roman" w:eastAsia="Times New Roman" w:hAnsi="Times New Roman" w:cs="Times New Roman"/>
          <w:kern w:val="0"/>
          <w14:ligatures w14:val="none"/>
        </w:rPr>
        <w:t xml:space="preserve"> on the ground that it does not provide a safeguard preceding termination of service, the stronger legal argument is that </w:t>
      </w:r>
      <w:r w:rsidRPr="00DF609E">
        <w:rPr>
          <w:rFonts w:ascii="Times New Roman" w:eastAsia="Times New Roman" w:hAnsi="Times New Roman" w:cs="Times New Roman"/>
          <w:b/>
          <w:bCs/>
          <w:kern w:val="0"/>
          <w14:ligatures w14:val="none"/>
        </w:rPr>
        <w:t>the subject matter of the challenge is not textually aligned with the provision</w:t>
      </w:r>
      <w:r w:rsidRPr="00DF609E">
        <w:rPr>
          <w:rFonts w:ascii="Times New Roman" w:eastAsia="Times New Roman" w:hAnsi="Times New Roman" w:cs="Times New Roman"/>
          <w:kern w:val="0"/>
          <w14:ligatures w14:val="none"/>
        </w:rPr>
        <w:t>, because Article (69) does not establish termination of service.</w:t>
      </w:r>
    </w:p>
    <w:p w14:paraId="1EDA9F3D"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If, however, the challenge concerns another provision that establishes termination of service because of leave </w:t>
      </w:r>
      <w:proofErr w:type="spellStart"/>
      <w:r w:rsidRPr="00DF609E">
        <w:rPr>
          <w:rFonts w:ascii="Times New Roman" w:eastAsia="Times New Roman" w:hAnsi="Times New Roman" w:cs="Times New Roman"/>
          <w:kern w:val="0"/>
          <w14:ligatures w14:val="none"/>
        </w:rPr>
        <w:t>or</w:t>
      </w:r>
      <w:proofErr w:type="spellEnd"/>
      <w:r w:rsidRPr="00DF609E">
        <w:rPr>
          <w:rFonts w:ascii="Times New Roman" w:eastAsia="Times New Roman" w:hAnsi="Times New Roman" w:cs="Times New Roman"/>
          <w:kern w:val="0"/>
          <w14:ligatures w14:val="none"/>
        </w:rPr>
        <w:t xml:space="preserve"> absence, then it would be possible to undertake a genuine balancing of:</w:t>
      </w:r>
    </w:p>
    <w:p w14:paraId="441BBB3B" w14:textId="77777777" w:rsidR="00386AE3" w:rsidRPr="00DF609E" w:rsidRDefault="00386AE3" w:rsidP="00386AE3">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protection of the stability of public employment;</w:t>
      </w:r>
    </w:p>
    <w:p w14:paraId="76EA98A0" w14:textId="77777777" w:rsidR="00386AE3" w:rsidRPr="00DF609E" w:rsidRDefault="00386AE3" w:rsidP="00386AE3">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need for the regular functioning of public services;</w:t>
      </w:r>
    </w:p>
    <w:p w14:paraId="20EE3C4C" w14:textId="77777777" w:rsidR="00386AE3" w:rsidRPr="00DF609E" w:rsidRDefault="00386AE3" w:rsidP="00386AE3">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legislature's authority to define grounds for termination of service;</w:t>
      </w:r>
    </w:p>
    <w:p w14:paraId="6E8BE0FC" w14:textId="77777777" w:rsidR="00386AE3" w:rsidRPr="00DF609E" w:rsidRDefault="00386AE3" w:rsidP="00386AE3">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constitutional safeguard against dismissal except through disciplinary proceedings, save in cases specified by law; and</w:t>
      </w:r>
    </w:p>
    <w:p w14:paraId="0743184A" w14:textId="77777777" w:rsidR="00386AE3" w:rsidRPr="00DF609E" w:rsidRDefault="00386AE3" w:rsidP="00386AE3">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procedural safeguards necessary to protect the employee against automatic or arbitrary application.</w:t>
      </w:r>
    </w:p>
    <w:p w14:paraId="3407825C" w14:textId="77777777" w:rsidR="00386AE3" w:rsidRPr="00DF609E"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pict w14:anchorId="5189E92E">
          <v:rect id="_x0000_i1070" style="width:0;height:1.5pt" o:hralign="center" o:hrstd="t" o:hr="t" fillcolor="#a0a0a0" stroked="f"/>
        </w:pict>
      </w:r>
    </w:p>
    <w:p w14:paraId="1F20D519"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6. Proposed Legislative Amendment</w:t>
      </w:r>
    </w:p>
    <w:p w14:paraId="499BD31C"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I would not recommend amending Article (69) to add a safeguard preceding termination of service.</w:t>
      </w:r>
    </w:p>
    <w:p w14:paraId="79FEA765"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Adding a provision such as:</w:t>
      </w:r>
    </w:p>
    <w:p w14:paraId="3968BFCF"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employee's service may not be terminated before notifying him and hearing his statements..."</w:t>
      </w:r>
    </w:p>
    <w:p w14:paraId="02933441"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would, in the context of this particular provision, constitute an </w:t>
      </w:r>
      <w:r w:rsidRPr="00DF609E">
        <w:rPr>
          <w:rFonts w:ascii="Times New Roman" w:eastAsia="Times New Roman" w:hAnsi="Times New Roman" w:cs="Times New Roman"/>
          <w:b/>
          <w:bCs/>
          <w:kern w:val="0"/>
          <w14:ligatures w14:val="none"/>
        </w:rPr>
        <w:t>unfocused legislative addition</w:t>
      </w:r>
      <w:r w:rsidRPr="00DF609E">
        <w:rPr>
          <w:rFonts w:ascii="Times New Roman" w:eastAsia="Times New Roman" w:hAnsi="Times New Roman" w:cs="Times New Roman"/>
          <w:kern w:val="0"/>
          <w14:ligatures w14:val="none"/>
        </w:rPr>
        <w:t>, because it would introduce a new regulation of termination of service into an article whose subject matter is leave without pay, while the legal source of the authority to terminate service should instead be the provision regulating termination of service.</w:t>
      </w:r>
    </w:p>
    <w:p w14:paraId="64486319"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This is methodologically important for the study: </w:t>
      </w:r>
      <w:r w:rsidRPr="00DF609E">
        <w:rPr>
          <w:rFonts w:ascii="Times New Roman" w:eastAsia="Times New Roman" w:hAnsi="Times New Roman" w:cs="Times New Roman"/>
          <w:b/>
          <w:bCs/>
          <w:kern w:val="0"/>
          <w14:ligatures w14:val="none"/>
        </w:rPr>
        <w:t>an amendment should not be proposed merely because the question presupposes the existence of a deficiency</w:t>
      </w:r>
      <w:r w:rsidRPr="00DF609E">
        <w:rPr>
          <w:rFonts w:ascii="Times New Roman" w:eastAsia="Times New Roman" w:hAnsi="Times New Roman" w:cs="Times New Roman"/>
          <w:kern w:val="0"/>
          <w14:ligatures w14:val="none"/>
        </w:rPr>
        <w:t>.</w:t>
      </w:r>
    </w:p>
    <w:p w14:paraId="480EACD8"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If examination of another statutory provision establishes that termination of service is in fact connected to leave or absence and that no adequate procedural safeguard exists, the amendment should be directed specifically to </w:t>
      </w:r>
      <w:r w:rsidRPr="00DF609E">
        <w:rPr>
          <w:rFonts w:ascii="Times New Roman" w:eastAsia="Times New Roman" w:hAnsi="Times New Roman" w:cs="Times New Roman"/>
          <w:b/>
          <w:bCs/>
          <w:kern w:val="0"/>
          <w14:ligatures w14:val="none"/>
        </w:rPr>
        <w:t>that provision</w:t>
      </w:r>
      <w:r w:rsidRPr="00DF609E">
        <w:rPr>
          <w:rFonts w:ascii="Times New Roman" w:eastAsia="Times New Roman" w:hAnsi="Times New Roman" w:cs="Times New Roman"/>
          <w:kern w:val="0"/>
          <w14:ligatures w14:val="none"/>
        </w:rPr>
        <w:t>.</w:t>
      </w:r>
    </w:p>
    <w:p w14:paraId="7609C77D"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In addition, Law No. 47 of 1978 has now been repealed by Civil Service Law No. 81 of 2016. It would therefore not be appropriate to propose a current legislative amendment to the former Article (69) itself.</w:t>
      </w:r>
    </w:p>
    <w:p w14:paraId="7036EB43" w14:textId="77777777" w:rsidR="00386AE3" w:rsidRPr="00DF609E"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2C35D8F">
          <v:rect id="_x0000_i1071" style="width:0;height:1.5pt" o:hralign="center" o:hrstd="t" o:hr="t" fillcolor="#a0a0a0" stroked="f"/>
        </w:pict>
      </w:r>
    </w:p>
    <w:p w14:paraId="05EC5611"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7. Confidence and Limitations</w:t>
      </w:r>
    </w:p>
    <w:p w14:paraId="56AE6CDE"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1. Overall conclusion</w:t>
      </w:r>
    </w:p>
    <w:p w14:paraId="7C935E4E"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Article (69) does not, on the basis of its text alone, reveal a constitutionally significant legislative gap concerning the absence of a procedural safeguard preceding termination of service.</w:t>
      </w:r>
    </w:p>
    <w:p w14:paraId="3C95D87D"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decisive reason is that the provision does not regulate termination of service in the first place; rather, it regulates leave without pay and its employment-related effects.</w:t>
      </w:r>
    </w:p>
    <w:p w14:paraId="5B9EFA84"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2. Strongest argument supporting the conclusion</w:t>
      </w:r>
    </w:p>
    <w:p w14:paraId="7CFD8240"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The strongest argument is the </w:t>
      </w:r>
      <w:r w:rsidRPr="00DF609E">
        <w:rPr>
          <w:rFonts w:ascii="Times New Roman" w:eastAsia="Times New Roman" w:hAnsi="Times New Roman" w:cs="Times New Roman"/>
          <w:b/>
          <w:bCs/>
          <w:kern w:val="0"/>
          <w14:ligatures w14:val="none"/>
        </w:rPr>
        <w:t>structural textual analysis</w:t>
      </w:r>
      <w:r w:rsidRPr="00DF609E">
        <w:rPr>
          <w:rFonts w:ascii="Times New Roman" w:eastAsia="Times New Roman" w:hAnsi="Times New Roman" w:cs="Times New Roman"/>
          <w:kern w:val="0"/>
          <w14:ligatures w14:val="none"/>
        </w:rPr>
        <w:t>:</w:t>
      </w:r>
    </w:p>
    <w:p w14:paraId="247ACB76" w14:textId="77777777" w:rsidR="00386AE3" w:rsidRPr="00DF609E" w:rsidRDefault="00386AE3" w:rsidP="00386AE3">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provision regulates the granting of leave;</w:t>
      </w:r>
    </w:p>
    <w:p w14:paraId="15DC2B3D" w14:textId="77777777" w:rsidR="00386AE3" w:rsidRPr="00DF609E" w:rsidRDefault="00386AE3" w:rsidP="00386AE3">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it regulates the effects of leave on promotion;</w:t>
      </w:r>
    </w:p>
    <w:p w14:paraId="3A736D92" w14:textId="77777777" w:rsidR="00386AE3" w:rsidRPr="00DF609E" w:rsidRDefault="00386AE3" w:rsidP="00386AE3">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it regulates seniority upon return; and</w:t>
      </w:r>
    </w:p>
    <w:p w14:paraId="793F4C88" w14:textId="77777777" w:rsidR="00386AE3" w:rsidRPr="00DF609E" w:rsidRDefault="00386AE3" w:rsidP="00386AE3">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lastRenderedPageBreak/>
        <w:t>it does not establish termination of service as a consequence of the leave.</w:t>
      </w:r>
    </w:p>
    <w:p w14:paraId="0C67FD16"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Accordingly, a constitutionally required safeguard cannot properly be characterized as missing from a provision that does not regulate the underlying termination in the first place.</w:t>
      </w:r>
    </w:p>
    <w:p w14:paraId="0C64FC41"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3. Strongest argument against the conclusion</w:t>
      </w:r>
    </w:p>
    <w:p w14:paraId="192DF320"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 strongest counterargument is that prolonged leave may, in practice, intersect with other rules governing termination of service, and that leaving the relationship between the leave regime and those rules insufficiently specified could create problems in protecting the employee's legal position.</w:t>
      </w:r>
    </w:p>
    <w:p w14:paraId="12D4DE3B"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However, this argument </w:t>
      </w:r>
      <w:r w:rsidRPr="00DF609E">
        <w:rPr>
          <w:rFonts w:ascii="Times New Roman" w:eastAsia="Times New Roman" w:hAnsi="Times New Roman" w:cs="Times New Roman"/>
          <w:b/>
          <w:bCs/>
          <w:kern w:val="0"/>
          <w14:ligatures w14:val="none"/>
        </w:rPr>
        <w:t>requires examination of other statutory provisions</w:t>
      </w:r>
      <w:r w:rsidRPr="00DF609E">
        <w:rPr>
          <w:rFonts w:ascii="Times New Roman" w:eastAsia="Times New Roman" w:hAnsi="Times New Roman" w:cs="Times New Roman"/>
          <w:kern w:val="0"/>
          <w14:ligatures w14:val="none"/>
        </w:rPr>
        <w:t xml:space="preserve"> to establish its basis and cannot be attributed to Article (69) alone.</w:t>
      </w:r>
    </w:p>
    <w:p w14:paraId="0B5E3B7A"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4. Limits of certainty</w:t>
      </w:r>
    </w:p>
    <w:p w14:paraId="391C7A15"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There are two important limitations:</w:t>
      </w:r>
    </w:p>
    <w:p w14:paraId="14844B67" w14:textId="77777777" w:rsidR="00386AE3" w:rsidRPr="00DF609E" w:rsidRDefault="00386AE3" w:rsidP="00386AE3">
      <w:pPr>
        <w:numPr>
          <w:ilvl w:val="0"/>
          <w:numId w:val="74"/>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Article (69) alone is insufficient to assess the entire system governing termination of service</w:t>
      </w:r>
      <w:r w:rsidRPr="00DF609E">
        <w:rPr>
          <w:rFonts w:ascii="Times New Roman" w:eastAsia="Times New Roman" w:hAnsi="Times New Roman" w:cs="Times New Roman"/>
          <w:kern w:val="0"/>
          <w14:ligatures w14:val="none"/>
        </w:rPr>
        <w:t>; it is necessary to examine the other provisions that regulated the termination of service of civil servants during the period in which Law No. 47 of 1978 was in force.</w:t>
      </w:r>
    </w:p>
    <w:p w14:paraId="324D64BE" w14:textId="77777777" w:rsidR="00386AE3" w:rsidRPr="00DF609E" w:rsidRDefault="00386AE3" w:rsidP="00386AE3">
      <w:pPr>
        <w:numPr>
          <w:ilvl w:val="0"/>
          <w:numId w:val="74"/>
        </w:numPr>
        <w:spacing w:before="100" w:beforeAutospacing="1" w:after="100" w:afterAutospacing="1" w:line="240" w:lineRule="auto"/>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Judicial rulings or principles concerning Article (69) of Civil Service Law No. 81 of 2016 should not be transferred to Article (69) of Law No. 47 of 1978 merely because the article numbers are identical; the two provisions differ in both subject matter and wording.</w:t>
      </w:r>
    </w:p>
    <w:p w14:paraId="5E1E9AF3" w14:textId="77777777" w:rsidR="00386AE3" w:rsidRPr="00C55509" w:rsidRDefault="00386AE3" w:rsidP="00386AE3">
      <w:pPr>
        <w:ind w:firstLine="0"/>
        <w:rPr>
          <w:rFonts w:asciiTheme="majorBidi" w:hAnsiTheme="majorBidi" w:cstheme="majorBidi"/>
          <w:b/>
          <w:bCs/>
          <w:sz w:val="27"/>
          <w:szCs w:val="27"/>
        </w:rPr>
      </w:pPr>
      <w:r w:rsidRPr="00C55509">
        <w:rPr>
          <w:rFonts w:asciiTheme="majorBidi" w:hAnsiTheme="majorBidi" w:cstheme="majorBidi"/>
          <w:b/>
          <w:bCs/>
          <w:sz w:val="27"/>
          <w:szCs w:val="27"/>
        </w:rPr>
        <w:t>Final conclusion for the study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31"/>
        <w:gridCol w:w="4285"/>
      </w:tblGrid>
      <w:tr w:rsidR="00386AE3" w:rsidRPr="00DF609E" w14:paraId="76E455AC" w14:textId="77777777" w:rsidTr="00B021F2">
        <w:trPr>
          <w:tblHeader/>
          <w:tblCellSpacing w:w="15" w:type="dxa"/>
        </w:trPr>
        <w:tc>
          <w:tcPr>
            <w:tcW w:w="0" w:type="auto"/>
            <w:vAlign w:val="center"/>
            <w:hideMark/>
          </w:tcPr>
          <w:p w14:paraId="572B3285" w14:textId="77777777" w:rsidR="00386AE3" w:rsidRPr="00DF609E" w:rsidRDefault="00386AE3" w:rsidP="00B021F2">
            <w:pPr>
              <w:spacing w:before="0" w:after="0" w:line="240" w:lineRule="auto"/>
              <w:ind w:firstLine="0"/>
              <w:jc w:val="center"/>
              <w:rPr>
                <w:rFonts w:ascii="Times New Roman" w:eastAsia="Times New Roman" w:hAnsi="Times New Roman" w:cs="Times New Roman"/>
                <w:b/>
                <w:bCs/>
                <w:kern w:val="0"/>
                <w14:ligatures w14:val="none"/>
              </w:rPr>
            </w:pPr>
            <w:r w:rsidRPr="00DF609E">
              <w:rPr>
                <w:rFonts w:ascii="Times New Roman" w:eastAsia="Times New Roman" w:hAnsi="Times New Roman" w:cs="Times New Roman"/>
                <w:b/>
                <w:bCs/>
                <w:kern w:val="0"/>
                <w14:ligatures w14:val="none"/>
              </w:rPr>
              <w:t>Issue</w:t>
            </w:r>
          </w:p>
        </w:tc>
        <w:tc>
          <w:tcPr>
            <w:tcW w:w="0" w:type="auto"/>
            <w:vAlign w:val="center"/>
            <w:hideMark/>
          </w:tcPr>
          <w:p w14:paraId="2F3DF4C7" w14:textId="77777777" w:rsidR="00386AE3" w:rsidRPr="00DF609E" w:rsidRDefault="00386AE3" w:rsidP="00B021F2">
            <w:pPr>
              <w:spacing w:before="0" w:after="0" w:line="240" w:lineRule="auto"/>
              <w:ind w:firstLine="0"/>
              <w:jc w:val="center"/>
              <w:rPr>
                <w:rFonts w:ascii="Times New Roman" w:eastAsia="Times New Roman" w:hAnsi="Times New Roman" w:cs="Times New Roman"/>
                <w:b/>
                <w:bCs/>
                <w:kern w:val="0"/>
                <w14:ligatures w14:val="none"/>
              </w:rPr>
            </w:pPr>
            <w:r w:rsidRPr="00DF609E">
              <w:rPr>
                <w:rFonts w:ascii="Times New Roman" w:eastAsia="Times New Roman" w:hAnsi="Times New Roman" w:cs="Times New Roman"/>
                <w:b/>
                <w:bCs/>
                <w:kern w:val="0"/>
                <w14:ligatures w14:val="none"/>
              </w:rPr>
              <w:t>Conclusion</w:t>
            </w:r>
          </w:p>
        </w:tc>
      </w:tr>
      <w:tr w:rsidR="00386AE3" w:rsidRPr="00DF609E" w14:paraId="1F528B45" w14:textId="77777777" w:rsidTr="00B021F2">
        <w:trPr>
          <w:tblCellSpacing w:w="15" w:type="dxa"/>
        </w:trPr>
        <w:tc>
          <w:tcPr>
            <w:tcW w:w="0" w:type="auto"/>
            <w:vAlign w:val="center"/>
            <w:hideMark/>
          </w:tcPr>
          <w:p w14:paraId="30B7B074"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Regulation of leave without pay</w:t>
            </w:r>
          </w:p>
        </w:tc>
        <w:tc>
          <w:tcPr>
            <w:tcW w:w="0" w:type="auto"/>
            <w:vAlign w:val="center"/>
            <w:hideMark/>
          </w:tcPr>
          <w:p w14:paraId="11F92D7B"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Yes</w:t>
            </w:r>
          </w:p>
        </w:tc>
      </w:tr>
      <w:tr w:rsidR="00386AE3" w:rsidRPr="00DF609E" w14:paraId="16E40700" w14:textId="77777777" w:rsidTr="00B021F2">
        <w:trPr>
          <w:tblCellSpacing w:w="15" w:type="dxa"/>
        </w:trPr>
        <w:tc>
          <w:tcPr>
            <w:tcW w:w="0" w:type="auto"/>
            <w:vAlign w:val="center"/>
            <w:hideMark/>
          </w:tcPr>
          <w:p w14:paraId="3CB5A9C3"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Discretionary authority in one category of leave</w:t>
            </w:r>
          </w:p>
        </w:tc>
        <w:tc>
          <w:tcPr>
            <w:tcW w:w="0" w:type="auto"/>
            <w:vAlign w:val="center"/>
            <w:hideMark/>
          </w:tcPr>
          <w:p w14:paraId="203E738F"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Yes</w:t>
            </w:r>
          </w:p>
        </w:tc>
      </w:tr>
      <w:tr w:rsidR="00386AE3" w:rsidRPr="00DF609E" w14:paraId="45ACC075" w14:textId="77777777" w:rsidTr="00B021F2">
        <w:trPr>
          <w:tblCellSpacing w:w="15" w:type="dxa"/>
        </w:trPr>
        <w:tc>
          <w:tcPr>
            <w:tcW w:w="0" w:type="auto"/>
            <w:vAlign w:val="center"/>
            <w:hideMark/>
          </w:tcPr>
          <w:p w14:paraId="44ED3A81"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Regulation of the effects of prolonged leave</w:t>
            </w:r>
          </w:p>
        </w:tc>
        <w:tc>
          <w:tcPr>
            <w:tcW w:w="0" w:type="auto"/>
            <w:vAlign w:val="center"/>
            <w:hideMark/>
          </w:tcPr>
          <w:p w14:paraId="5BEA46D8"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Yes</w:t>
            </w:r>
          </w:p>
        </w:tc>
      </w:tr>
      <w:tr w:rsidR="00386AE3" w:rsidRPr="00DF609E" w14:paraId="5AA089E8" w14:textId="77777777" w:rsidTr="00B021F2">
        <w:trPr>
          <w:tblCellSpacing w:w="15" w:type="dxa"/>
        </w:trPr>
        <w:tc>
          <w:tcPr>
            <w:tcW w:w="0" w:type="auto"/>
            <w:vAlign w:val="center"/>
            <w:hideMark/>
          </w:tcPr>
          <w:p w14:paraId="0F60293D"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Regulation of return from leave</w:t>
            </w:r>
          </w:p>
        </w:tc>
        <w:tc>
          <w:tcPr>
            <w:tcW w:w="0" w:type="auto"/>
            <w:vAlign w:val="center"/>
            <w:hideMark/>
          </w:tcPr>
          <w:p w14:paraId="771ACFBD"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Yes, through the effects of return on seniority</w:t>
            </w:r>
          </w:p>
        </w:tc>
      </w:tr>
      <w:tr w:rsidR="00386AE3" w:rsidRPr="00DF609E" w14:paraId="556AD5C1" w14:textId="77777777" w:rsidTr="00B021F2">
        <w:trPr>
          <w:tblCellSpacing w:w="15" w:type="dxa"/>
        </w:trPr>
        <w:tc>
          <w:tcPr>
            <w:tcW w:w="0" w:type="auto"/>
            <w:vAlign w:val="center"/>
            <w:hideMark/>
          </w:tcPr>
          <w:p w14:paraId="5BD77A0C"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Existence of a university council or competent university body</w:t>
            </w:r>
          </w:p>
        </w:tc>
        <w:tc>
          <w:tcPr>
            <w:tcW w:w="0" w:type="auto"/>
            <w:vAlign w:val="center"/>
            <w:hideMark/>
          </w:tcPr>
          <w:p w14:paraId="7472065B"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No</w:t>
            </w:r>
          </w:p>
        </w:tc>
      </w:tr>
      <w:tr w:rsidR="00386AE3" w:rsidRPr="00DF609E" w14:paraId="4721E01D" w14:textId="77777777" w:rsidTr="00B021F2">
        <w:trPr>
          <w:tblCellSpacing w:w="15" w:type="dxa"/>
        </w:trPr>
        <w:tc>
          <w:tcPr>
            <w:tcW w:w="0" w:type="auto"/>
            <w:vAlign w:val="center"/>
            <w:hideMark/>
          </w:tcPr>
          <w:p w14:paraId="7E974153"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Existence of a period upon whose expiry the employment position terminates</w:t>
            </w:r>
          </w:p>
        </w:tc>
        <w:tc>
          <w:tcPr>
            <w:tcW w:w="0" w:type="auto"/>
            <w:vAlign w:val="center"/>
            <w:hideMark/>
          </w:tcPr>
          <w:p w14:paraId="0BB202CB"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No</w:t>
            </w:r>
          </w:p>
        </w:tc>
      </w:tr>
      <w:tr w:rsidR="00386AE3" w:rsidRPr="00DF609E" w14:paraId="10F2D472" w14:textId="77777777" w:rsidTr="00B021F2">
        <w:trPr>
          <w:tblCellSpacing w:w="15" w:type="dxa"/>
        </w:trPr>
        <w:tc>
          <w:tcPr>
            <w:tcW w:w="0" w:type="auto"/>
            <w:vAlign w:val="center"/>
            <w:hideMark/>
          </w:tcPr>
          <w:p w14:paraId="799FA57A"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Termination of service provided for in the article</w:t>
            </w:r>
          </w:p>
        </w:tc>
        <w:tc>
          <w:tcPr>
            <w:tcW w:w="0" w:type="auto"/>
            <w:vAlign w:val="center"/>
            <w:hideMark/>
          </w:tcPr>
          <w:p w14:paraId="7C9C3D91"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No</w:t>
            </w:r>
          </w:p>
        </w:tc>
      </w:tr>
      <w:tr w:rsidR="00386AE3" w:rsidRPr="00DF609E" w14:paraId="1244571E" w14:textId="77777777" w:rsidTr="00B021F2">
        <w:trPr>
          <w:tblCellSpacing w:w="15" w:type="dxa"/>
        </w:trPr>
        <w:tc>
          <w:tcPr>
            <w:tcW w:w="0" w:type="auto"/>
            <w:vAlign w:val="center"/>
            <w:hideMark/>
          </w:tcPr>
          <w:p w14:paraId="4ECCDB20"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Procedural safeguard preceding termination of service</w:t>
            </w:r>
          </w:p>
        </w:tc>
        <w:tc>
          <w:tcPr>
            <w:tcW w:w="0" w:type="auto"/>
            <w:vAlign w:val="center"/>
            <w:hideMark/>
          </w:tcPr>
          <w:p w14:paraId="23FF3FEE"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 xml:space="preserve">No, but </w:t>
            </w:r>
            <w:r w:rsidRPr="00DF609E">
              <w:rPr>
                <w:rFonts w:ascii="Times New Roman" w:eastAsia="Times New Roman" w:hAnsi="Times New Roman" w:cs="Times New Roman"/>
                <w:b/>
                <w:bCs/>
                <w:kern w:val="0"/>
                <w14:ligatures w14:val="none"/>
              </w:rPr>
              <w:t>not as an omission</w:t>
            </w:r>
            <w:r w:rsidRPr="00DF609E">
              <w:rPr>
                <w:rFonts w:ascii="Times New Roman" w:eastAsia="Times New Roman" w:hAnsi="Times New Roman" w:cs="Times New Roman"/>
                <w:kern w:val="0"/>
                <w14:ligatures w14:val="none"/>
              </w:rPr>
              <w:t>, because termination itself is not regulated</w:t>
            </w:r>
          </w:p>
        </w:tc>
      </w:tr>
      <w:tr w:rsidR="00386AE3" w:rsidRPr="00DF609E" w14:paraId="1A4ABC4F" w14:textId="77777777" w:rsidTr="00B021F2">
        <w:trPr>
          <w:tblCellSpacing w:w="15" w:type="dxa"/>
        </w:trPr>
        <w:tc>
          <w:tcPr>
            <w:tcW w:w="0" w:type="auto"/>
            <w:vAlign w:val="center"/>
            <w:hideMark/>
          </w:tcPr>
          <w:p w14:paraId="62CEE294"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lastRenderedPageBreak/>
              <w:t>Legislative gap concerning termination of service</w:t>
            </w:r>
          </w:p>
        </w:tc>
        <w:tc>
          <w:tcPr>
            <w:tcW w:w="0" w:type="auto"/>
            <w:vAlign w:val="center"/>
            <w:hideMark/>
          </w:tcPr>
          <w:p w14:paraId="35D728F3"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Not established by the text</w:t>
            </w:r>
          </w:p>
        </w:tc>
      </w:tr>
      <w:tr w:rsidR="00386AE3" w:rsidRPr="00DF609E" w14:paraId="35EE8D67" w14:textId="77777777" w:rsidTr="00B021F2">
        <w:trPr>
          <w:tblCellSpacing w:w="15" w:type="dxa"/>
        </w:trPr>
        <w:tc>
          <w:tcPr>
            <w:tcW w:w="0" w:type="auto"/>
            <w:vAlign w:val="center"/>
            <w:hideMark/>
          </w:tcPr>
          <w:p w14:paraId="4026E7DC"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Constitutional legislative gap</w:t>
            </w:r>
          </w:p>
        </w:tc>
        <w:tc>
          <w:tcPr>
            <w:tcW w:w="0" w:type="auto"/>
            <w:vAlign w:val="center"/>
            <w:hideMark/>
          </w:tcPr>
          <w:p w14:paraId="2F99AF80"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No</w:t>
            </w:r>
          </w:p>
        </w:tc>
      </w:tr>
      <w:tr w:rsidR="00386AE3" w:rsidRPr="00DF609E" w14:paraId="0474F697" w14:textId="77777777" w:rsidTr="00B021F2">
        <w:trPr>
          <w:tblCellSpacing w:w="15" w:type="dxa"/>
        </w:trPr>
        <w:tc>
          <w:tcPr>
            <w:tcW w:w="0" w:type="auto"/>
            <w:vAlign w:val="center"/>
            <w:hideMark/>
          </w:tcPr>
          <w:p w14:paraId="1BB38256"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kern w:val="0"/>
                <w14:ligatures w14:val="none"/>
              </w:rPr>
              <w:t>Need to amend the provision on this ground</w:t>
            </w:r>
          </w:p>
        </w:tc>
        <w:tc>
          <w:tcPr>
            <w:tcW w:w="0" w:type="auto"/>
            <w:vAlign w:val="center"/>
            <w:hideMark/>
          </w:tcPr>
          <w:p w14:paraId="509BCF85" w14:textId="77777777" w:rsidR="00386AE3" w:rsidRPr="00DF609E" w:rsidRDefault="00386AE3" w:rsidP="00B021F2">
            <w:pPr>
              <w:spacing w:before="0" w:after="0"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No</w:t>
            </w:r>
          </w:p>
        </w:tc>
      </w:tr>
    </w:tbl>
    <w:p w14:paraId="1624A718" w14:textId="77777777" w:rsidR="00386AE3" w:rsidRPr="00DF609E"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DF609E">
        <w:rPr>
          <w:rFonts w:ascii="Times New Roman" w:eastAsia="Times New Roman" w:hAnsi="Times New Roman" w:cs="Times New Roman"/>
          <w:b/>
          <w:bCs/>
          <w:kern w:val="0"/>
          <w14:ligatures w14:val="none"/>
        </w:rPr>
        <w:t>Important methodological observation for the empirical study:</w:t>
      </w:r>
      <w:r w:rsidRPr="00DF609E">
        <w:rPr>
          <w:rFonts w:ascii="Times New Roman" w:eastAsia="Times New Roman" w:hAnsi="Times New Roman" w:cs="Times New Roman"/>
          <w:kern w:val="0"/>
          <w14:ligatures w14:val="none"/>
        </w:rPr>
        <w:t xml:space="preserve"> The wording of the Required Analysis appears to target another provision specifically concerning </w:t>
      </w:r>
      <w:r w:rsidRPr="00DF609E">
        <w:rPr>
          <w:rFonts w:ascii="Times New Roman" w:eastAsia="Times New Roman" w:hAnsi="Times New Roman" w:cs="Times New Roman"/>
          <w:b/>
          <w:bCs/>
          <w:kern w:val="0"/>
          <w14:ligatures w14:val="none"/>
        </w:rPr>
        <w:t>a faculty member, termination of service, and the role of university bodies</w:t>
      </w:r>
      <w:r w:rsidRPr="00DF609E">
        <w:rPr>
          <w:rFonts w:ascii="Times New Roman" w:eastAsia="Times New Roman" w:hAnsi="Times New Roman" w:cs="Times New Roman"/>
          <w:kern w:val="0"/>
          <w14:ligatures w14:val="none"/>
        </w:rPr>
        <w:t xml:space="preserve">. The text supplied here, however, is Article (69) of Law No. 47 of 1978 concerning leave without pay. Therefore, if this is indeed the intended </w:t>
      </w:r>
      <w:r w:rsidRPr="00DF609E">
        <w:rPr>
          <w:rFonts w:ascii="Times New Roman" w:eastAsia="Times New Roman" w:hAnsi="Times New Roman" w:cs="Times New Roman"/>
          <w:b/>
          <w:bCs/>
          <w:kern w:val="0"/>
          <w14:ligatures w14:val="none"/>
        </w:rPr>
        <w:t>Case Study 1</w:t>
      </w:r>
      <w:r w:rsidRPr="00DF609E">
        <w:rPr>
          <w:rFonts w:ascii="Times New Roman" w:eastAsia="Times New Roman" w:hAnsi="Times New Roman" w:cs="Times New Roman"/>
          <w:kern w:val="0"/>
          <w14:ligatures w14:val="none"/>
        </w:rPr>
        <w:t>, the methodologically correct approach is to record this discrepancy rather than inventing elements concerning "the university" or "termination of service" that are not present in the statutory text.</w:t>
      </w:r>
    </w:p>
    <w:p w14:paraId="172B0BF4" w14:textId="77777777" w:rsidR="00386AE3" w:rsidRDefault="00386AE3" w:rsidP="00386AE3">
      <w:pPr>
        <w:jc w:val="both"/>
        <w:rPr>
          <w:rtl/>
          <w:lang w:bidi="ar-EG"/>
        </w:rPr>
      </w:pPr>
      <w:r>
        <w:rPr>
          <w:lang w:bidi="ar-EG"/>
        </w:rPr>
        <w:br w:type="page"/>
      </w:r>
    </w:p>
    <w:p w14:paraId="69764703" w14:textId="4B26977F" w:rsidR="00386AE3" w:rsidRPr="00797A5A" w:rsidRDefault="00386AE3" w:rsidP="00797A5A">
      <w:pPr>
        <w:pStyle w:val="2"/>
        <w:rPr>
          <w:rFonts w:asciiTheme="majorBidi" w:hAnsiTheme="majorBidi" w:cstheme="majorBidi"/>
        </w:rPr>
      </w:pPr>
      <w:r w:rsidRPr="00797A5A">
        <w:rPr>
          <w:rFonts w:asciiTheme="majorBidi" w:hAnsiTheme="majorBidi" w:cstheme="majorBidi"/>
        </w:rPr>
        <w:lastRenderedPageBreak/>
        <w:t xml:space="preserve">Gemini </w:t>
      </w:r>
      <w:r w:rsidR="00797A5A" w:rsidRPr="00797A5A">
        <w:rPr>
          <w:rFonts w:asciiTheme="majorBidi" w:hAnsiTheme="majorBidi" w:cstheme="majorBidi"/>
        </w:rPr>
        <w:t>Output</w:t>
      </w:r>
    </w:p>
    <w:p w14:paraId="798F20D8"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1. Statutory Structure</w:t>
      </w:r>
    </w:p>
    <w:p w14:paraId="02EBE7BF"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statutory provision establishes a dual legal mechanism governing unpaid leaves and their administrative, promotional, and seniority consequences for civil servants under the former Egyptian Civil Service Framework (Law No. 47 of 1978).</w:t>
      </w:r>
    </w:p>
    <w:p w14:paraId="2F2645CE" w14:textId="77777777" w:rsidR="00386AE3" w:rsidRPr="00AC42DF" w:rsidRDefault="00386AE3" w:rsidP="00386AE3">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The Triggering Event:</w:t>
      </w:r>
    </w:p>
    <w:p w14:paraId="6A50CB40" w14:textId="77777777" w:rsidR="00386AE3" w:rsidRPr="00AC42DF" w:rsidRDefault="00386AE3" w:rsidP="00386AE3">
      <w:pPr>
        <w:numPr>
          <w:ilvl w:val="1"/>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For </w:t>
      </w:r>
      <w:r w:rsidRPr="00AC42DF">
        <w:rPr>
          <w:rFonts w:ascii="Times New Roman" w:eastAsia="Times New Roman" w:hAnsi="Times New Roman" w:cs="Times New Roman"/>
          <w:b/>
          <w:bCs/>
          <w:kern w:val="0"/>
          <w14:ligatures w14:val="none"/>
        </w:rPr>
        <w:t>Paragraph (1)</w:t>
      </w:r>
      <w:r w:rsidRPr="00AC42DF">
        <w:rPr>
          <w:rFonts w:ascii="Times New Roman" w:eastAsia="Times New Roman" w:hAnsi="Times New Roman" w:cs="Times New Roman"/>
          <w:kern w:val="0"/>
          <w14:ligatures w14:val="none"/>
        </w:rPr>
        <w:t>: The travel of a spouse (husband or wife) abroad for work or study for a minimum duration of six months.</w:t>
      </w:r>
    </w:p>
    <w:p w14:paraId="389237CF" w14:textId="77777777" w:rsidR="00386AE3" w:rsidRPr="00AC42DF" w:rsidRDefault="00386AE3" w:rsidP="00386AE3">
      <w:pPr>
        <w:numPr>
          <w:ilvl w:val="1"/>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For </w:t>
      </w:r>
      <w:r w:rsidRPr="00AC42DF">
        <w:rPr>
          <w:rFonts w:ascii="Times New Roman" w:eastAsia="Times New Roman" w:hAnsi="Times New Roman" w:cs="Times New Roman"/>
          <w:b/>
          <w:bCs/>
          <w:kern w:val="0"/>
          <w14:ligatures w14:val="none"/>
        </w:rPr>
        <w:t>Paragraph (2)</w:t>
      </w:r>
      <w:r w:rsidRPr="00AC42DF">
        <w:rPr>
          <w:rFonts w:ascii="Times New Roman" w:eastAsia="Times New Roman" w:hAnsi="Times New Roman" w:cs="Times New Roman"/>
          <w:kern w:val="0"/>
          <w14:ligatures w14:val="none"/>
        </w:rPr>
        <w:t>: Reasons presented by the employee that require an unpaid leave, subject to the evaluation and discretion of the competent authority. Furthermore, secondment exceeding four continuous years triggers specific career seniority adjustments upon return.</w:t>
      </w:r>
    </w:p>
    <w:p w14:paraId="5C73C6B5" w14:textId="77777777" w:rsidR="00386AE3" w:rsidRPr="00AC42DF" w:rsidRDefault="00386AE3" w:rsidP="00386AE3">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The Statutory Period:</w:t>
      </w:r>
    </w:p>
    <w:p w14:paraId="609AE4AB" w14:textId="77777777" w:rsidR="00386AE3" w:rsidRPr="00AC42DF" w:rsidRDefault="00386AE3" w:rsidP="00386AE3">
      <w:pPr>
        <w:numPr>
          <w:ilvl w:val="1"/>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For spousal leave (Paragraph 1), the period is tied to the duration of the spouse's stay abroad ("</w:t>
      </w:r>
      <w:r w:rsidRPr="00AC42DF">
        <w:rPr>
          <w:rFonts w:ascii="Times New Roman" w:eastAsia="Times New Roman" w:hAnsi="Times New Roman" w:cs="Times New Roman"/>
          <w:kern w:val="0"/>
          <w:rtl/>
          <w14:ligatures w14:val="none"/>
        </w:rPr>
        <w:t>ولا يجوز أن تجاوز هذه الإجازة مدة بقاء الزوج في الخارج</w:t>
      </w:r>
      <w:r w:rsidRPr="00AC42DF">
        <w:rPr>
          <w:rFonts w:ascii="Times New Roman" w:eastAsia="Times New Roman" w:hAnsi="Times New Roman" w:cs="Times New Roman"/>
          <w:kern w:val="0"/>
          <w14:ligatures w14:val="none"/>
        </w:rPr>
        <w:t>").</w:t>
      </w:r>
    </w:p>
    <w:p w14:paraId="314368EF" w14:textId="77777777" w:rsidR="00386AE3" w:rsidRPr="00AC42DF" w:rsidRDefault="00386AE3" w:rsidP="00386AE3">
      <w:pPr>
        <w:numPr>
          <w:ilvl w:val="1"/>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For secondment/leave consequences, periods exceeding four continuous years are expressly regulated regarding seniority calculations.</w:t>
      </w:r>
    </w:p>
    <w:p w14:paraId="021D797C" w14:textId="77777777" w:rsidR="00386AE3" w:rsidRPr="00AC42DF" w:rsidRDefault="00386AE3" w:rsidP="00386AE3">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The Legal Consequence:</w:t>
      </w:r>
    </w:p>
    <w:p w14:paraId="3FCA49A9" w14:textId="77777777" w:rsidR="00386AE3" w:rsidRPr="00AC42DF" w:rsidRDefault="00386AE3" w:rsidP="00386AE3">
      <w:pPr>
        <w:numPr>
          <w:ilvl w:val="1"/>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For spousal leave, the administrative body </w:t>
      </w:r>
      <w:r w:rsidRPr="00AC42DF">
        <w:rPr>
          <w:rFonts w:ascii="Times New Roman" w:eastAsia="Times New Roman" w:hAnsi="Times New Roman" w:cs="Times New Roman"/>
          <w:b/>
          <w:bCs/>
          <w:kern w:val="0"/>
          <w14:ligatures w14:val="none"/>
        </w:rPr>
        <w:t>must</w:t>
      </w:r>
      <w:r w:rsidRPr="00AC42DF">
        <w:rPr>
          <w:rFonts w:ascii="Times New Roman" w:eastAsia="Times New Roman" w:hAnsi="Times New Roman" w:cs="Times New Roman"/>
          <w:kern w:val="0"/>
          <w14:ligatures w14:val="none"/>
        </w:rPr>
        <w:t xml:space="preserve"> grant the leave ("</w:t>
      </w:r>
      <w:r w:rsidRPr="00AC42DF">
        <w:rPr>
          <w:rFonts w:ascii="Times New Roman" w:eastAsia="Times New Roman" w:hAnsi="Times New Roman" w:cs="Times New Roman"/>
          <w:kern w:val="0"/>
          <w:rtl/>
          <w14:ligatures w14:val="none"/>
        </w:rPr>
        <w:t>يتعين على الجهة الإدارية أن تستجيب لطلب الزوج أو الزوجة في جميع الأحوال</w:t>
      </w:r>
      <w:r w:rsidRPr="00AC42DF">
        <w:rPr>
          <w:rFonts w:ascii="Times New Roman" w:eastAsia="Times New Roman" w:hAnsi="Times New Roman" w:cs="Times New Roman"/>
          <w:kern w:val="0"/>
          <w14:ligatures w14:val="none"/>
        </w:rPr>
        <w:t>"), rendering it a binding, non-discretionary right.</w:t>
      </w:r>
    </w:p>
    <w:p w14:paraId="4E78BA67" w14:textId="77777777" w:rsidR="00386AE3" w:rsidRPr="00AC42DF" w:rsidRDefault="00386AE3" w:rsidP="00386AE3">
      <w:pPr>
        <w:numPr>
          <w:ilvl w:val="1"/>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For discretionary leaves (Paragraph 2), restrictions apply regarding promotions to high-ranking positions (e.g., prohibition of promotion during the leave, and a one-year mandatory service requirement post-return before being eligible for senior-level promotions).</w:t>
      </w:r>
    </w:p>
    <w:p w14:paraId="0893E261" w14:textId="77777777" w:rsidR="00386AE3" w:rsidRPr="00AC42DF" w:rsidRDefault="00386AE3" w:rsidP="00386AE3">
      <w:pPr>
        <w:numPr>
          <w:ilvl w:val="1"/>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For long leaves/secondments exceeding four years, an altered seniority rule applies upon return (matching the employee with peers who preceded them or all current position holders, whichever is less).</w:t>
      </w:r>
    </w:p>
    <w:p w14:paraId="2C60585D" w14:textId="77777777" w:rsidR="00386AE3" w:rsidRPr="00AC42DF" w:rsidRDefault="00386AE3" w:rsidP="00386AE3">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Possibility of Returning within the Prescribed Period:</w:t>
      </w:r>
      <w:r w:rsidRPr="00AC42DF">
        <w:rPr>
          <w:rFonts w:ascii="Times New Roman" w:eastAsia="Times New Roman" w:hAnsi="Times New Roman" w:cs="Times New Roman"/>
          <w:kern w:val="0"/>
          <w14:ligatures w14:val="none"/>
        </w:rPr>
        <w:t xml:space="preserve"> The framework inherently presupposes the employee's return upon the expiration of the foreign stay or leave duration, adjusting seniority and promotion tracks upon reinstatement.</w:t>
      </w:r>
    </w:p>
    <w:p w14:paraId="072AB950" w14:textId="77777777" w:rsidR="00386AE3" w:rsidRPr="00AC42DF" w:rsidRDefault="00386AE3" w:rsidP="00386AE3">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Role of Competent University/Administrative Bodies:</w:t>
      </w:r>
      <w:r w:rsidRPr="00AC42DF">
        <w:rPr>
          <w:rFonts w:ascii="Times New Roman" w:eastAsia="Times New Roman" w:hAnsi="Times New Roman" w:cs="Times New Roman"/>
          <w:kern w:val="0"/>
          <w14:ligatures w14:val="none"/>
        </w:rPr>
        <w:t xml:space="preserve"> The competent administrative authority holds discretionary power under Paragraph (2) to evaluate reasons for general unpaid leave, whereas it has a zero-discretion obligation (bound competence) to approve spousal leave under Paragraph (1). </w:t>
      </w:r>
      <w:r w:rsidRPr="00AC42DF">
        <w:rPr>
          <w:rFonts w:ascii="Times New Roman" w:eastAsia="Times New Roman" w:hAnsi="Times New Roman" w:cs="Times New Roman"/>
          <w:i/>
          <w:iCs/>
          <w:kern w:val="0"/>
          <w14:ligatures w14:val="none"/>
        </w:rPr>
        <w:t>(Note: While the prompt mentions "academic staff", this provision stems from the general civil service law, though it historically influenced or applied parallel public sector frameworks; the administrative body retains the duty of implementation).</w:t>
      </w:r>
    </w:p>
    <w:p w14:paraId="0D13D728" w14:textId="77777777" w:rsidR="00386AE3" w:rsidRPr="00AC42DF" w:rsidRDefault="00386AE3" w:rsidP="00386AE3">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Procedural Safeguards Expressly Included:</w:t>
      </w:r>
      <w:r w:rsidRPr="00AC42DF">
        <w:rPr>
          <w:rFonts w:ascii="Times New Roman" w:eastAsia="Times New Roman" w:hAnsi="Times New Roman" w:cs="Times New Roman"/>
          <w:kern w:val="0"/>
          <w14:ligatures w14:val="none"/>
        </w:rPr>
        <w:t xml:space="preserve"> The text explicitly mandates that the administration </w:t>
      </w:r>
      <w:r w:rsidRPr="00AC42DF">
        <w:rPr>
          <w:rFonts w:ascii="Times New Roman" w:eastAsia="Times New Roman" w:hAnsi="Times New Roman" w:cs="Times New Roman"/>
          <w:i/>
          <w:iCs/>
          <w:kern w:val="0"/>
          <w14:ligatures w14:val="none"/>
        </w:rPr>
        <w:t>must</w:t>
      </w:r>
      <w:r w:rsidRPr="00AC42DF">
        <w:rPr>
          <w:rFonts w:ascii="Times New Roman" w:eastAsia="Times New Roman" w:hAnsi="Times New Roman" w:cs="Times New Roman"/>
          <w:kern w:val="0"/>
          <w14:ligatures w14:val="none"/>
        </w:rPr>
        <w:t xml:space="preserve"> respond favorably to spousal leave requests in all cases, protecting family unity as a statutory right. It also sets clear, objective chronological markers for seniority adjustment and promotion bans.</w:t>
      </w:r>
    </w:p>
    <w:p w14:paraId="4D31C9A2"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2. Potential Legislative Omissions</w:t>
      </w:r>
    </w:p>
    <w:p w14:paraId="0A113D39" w14:textId="77777777" w:rsidR="00386AE3" w:rsidRPr="00AC42DF" w:rsidRDefault="00386AE3" w:rsidP="00386AE3">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lastRenderedPageBreak/>
        <w:t>What is Absent:</w:t>
      </w:r>
      <w:r w:rsidRPr="00AC42DF">
        <w:rPr>
          <w:rFonts w:ascii="Times New Roman" w:eastAsia="Times New Roman" w:hAnsi="Times New Roman" w:cs="Times New Roman"/>
          <w:kern w:val="0"/>
          <w14:ligatures w14:val="none"/>
        </w:rPr>
        <w:t xml:space="preserve"> The text lacks an explicit mechanism or procedural framework for notifying the employee, providing a grace period, or conducting a formal administrative inquiry/warning before service termination occurs if an employee fails to report back upon the expiration of an approved unpaid leave.</w:t>
      </w:r>
    </w:p>
    <w:p w14:paraId="5266605D" w14:textId="77777777" w:rsidR="00386AE3" w:rsidRPr="00AC42DF" w:rsidRDefault="00386AE3" w:rsidP="00386AE3">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Why it Might Matter Legally:</w:t>
      </w:r>
      <w:r w:rsidRPr="00AC42DF">
        <w:rPr>
          <w:rFonts w:ascii="Times New Roman" w:eastAsia="Times New Roman" w:hAnsi="Times New Roman" w:cs="Times New Roman"/>
          <w:kern w:val="0"/>
          <w14:ligatures w14:val="none"/>
        </w:rPr>
        <w:t xml:space="preserve"> Total silence on post-leave reinstatement procedures creates a risk of abrupt administrative severance or ambiguity regarding whether overstaying an </w:t>
      </w:r>
      <w:proofErr w:type="gramStart"/>
      <w:r w:rsidRPr="00AC42DF">
        <w:rPr>
          <w:rFonts w:ascii="Times New Roman" w:eastAsia="Times New Roman" w:hAnsi="Times New Roman" w:cs="Times New Roman"/>
          <w:kern w:val="0"/>
          <w14:ligatures w14:val="none"/>
        </w:rPr>
        <w:t>unpaid leave amounts</w:t>
      </w:r>
      <w:proofErr w:type="gramEnd"/>
      <w:r w:rsidRPr="00AC42DF">
        <w:rPr>
          <w:rFonts w:ascii="Times New Roman" w:eastAsia="Times New Roman" w:hAnsi="Times New Roman" w:cs="Times New Roman"/>
          <w:kern w:val="0"/>
          <w14:ligatures w14:val="none"/>
        </w:rPr>
        <w:t xml:space="preserve"> to an automatic resignation (deemed resignation) or requires formal disciplinary action.</w:t>
      </w:r>
    </w:p>
    <w:p w14:paraId="3C8BB384" w14:textId="77777777" w:rsidR="00386AE3" w:rsidRPr="00AC42DF" w:rsidRDefault="00386AE3" w:rsidP="00386AE3">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Material vs. Incidental:</w:t>
      </w:r>
      <w:r w:rsidRPr="00AC42DF">
        <w:rPr>
          <w:rFonts w:ascii="Times New Roman" w:eastAsia="Times New Roman" w:hAnsi="Times New Roman" w:cs="Times New Roman"/>
          <w:kern w:val="0"/>
          <w14:ligatures w14:val="none"/>
        </w:rPr>
        <w:t xml:space="preserve"> This omission is </w:t>
      </w:r>
      <w:r w:rsidRPr="00AC42DF">
        <w:rPr>
          <w:rFonts w:ascii="Times New Roman" w:eastAsia="Times New Roman" w:hAnsi="Times New Roman" w:cs="Times New Roman"/>
          <w:b/>
          <w:bCs/>
          <w:kern w:val="0"/>
          <w14:ligatures w14:val="none"/>
        </w:rPr>
        <w:t>material</w:t>
      </w:r>
      <w:r w:rsidRPr="00AC42DF">
        <w:rPr>
          <w:rFonts w:ascii="Times New Roman" w:eastAsia="Times New Roman" w:hAnsi="Times New Roman" w:cs="Times New Roman"/>
          <w:kern w:val="0"/>
          <w14:ligatures w14:val="none"/>
        </w:rPr>
        <w:t xml:space="preserve"> because it touches directly upon job security and the continuation of the public employment relationship.</w:t>
      </w:r>
    </w:p>
    <w:p w14:paraId="56729FBA" w14:textId="77777777" w:rsidR="00386AE3" w:rsidRPr="00AC42DF" w:rsidRDefault="00386AE3" w:rsidP="00386AE3">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Legislative Intent:</w:t>
      </w:r>
      <w:r w:rsidRPr="00AC42DF">
        <w:rPr>
          <w:rFonts w:ascii="Times New Roman" w:eastAsia="Times New Roman" w:hAnsi="Times New Roman" w:cs="Times New Roman"/>
          <w:kern w:val="0"/>
          <w14:ligatures w14:val="none"/>
        </w:rPr>
        <w:t xml:space="preserve"> The legislature could reasonably have intended to rely on general provisions of the civil service law governing job abandonment, automatic termination, or unexcused absence, rather than repeating procedural safeguards inside every specific leave provision.</w:t>
      </w:r>
    </w:p>
    <w:p w14:paraId="06667512"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3. Constitutional Assessment</w:t>
      </w:r>
    </w:p>
    <w:p w14:paraId="23A5E67E" w14:textId="77777777" w:rsidR="00386AE3" w:rsidRPr="00AC42DF" w:rsidRDefault="00386AE3" w:rsidP="00386AE3">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Relevant Constitutional Principles:</w:t>
      </w:r>
    </w:p>
    <w:p w14:paraId="2E883708" w14:textId="77777777" w:rsidR="00386AE3" w:rsidRPr="00AC42DF" w:rsidRDefault="00386AE3" w:rsidP="00386AE3">
      <w:pPr>
        <w:numPr>
          <w:ilvl w:val="1"/>
          <w:numId w:val="77"/>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Article 14 of the Egyptian Constitution (2014) establishes that public employment is a duty for serving the people, based on competence and without favoritism.</w:t>
      </w:r>
    </w:p>
    <w:p w14:paraId="3AB3FDC8" w14:textId="77777777" w:rsidR="00386AE3" w:rsidRPr="00AC42DF" w:rsidRDefault="00386AE3" w:rsidP="00386AE3">
      <w:pPr>
        <w:numPr>
          <w:ilvl w:val="1"/>
          <w:numId w:val="77"/>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principle of the rule of law, legal security, and the right to a defense/due process (implicit in judicial safeguards of administrative acts).</w:t>
      </w:r>
    </w:p>
    <w:p w14:paraId="261BAD43" w14:textId="77777777" w:rsidR="00386AE3" w:rsidRPr="00AC42DF" w:rsidRDefault="00386AE3" w:rsidP="00386AE3">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A. The Argument that the Omission is Constitutionally Problematic:</w:t>
      </w:r>
      <w:r w:rsidRPr="00AC42DF">
        <w:rPr>
          <w:rFonts w:ascii="Times New Roman" w:eastAsia="Times New Roman" w:hAnsi="Times New Roman" w:cs="Times New Roman"/>
          <w:kern w:val="0"/>
          <w14:ligatures w14:val="none"/>
        </w:rPr>
        <w:t xml:space="preserve"> A constitutional challenge could assert that failing to mandate a clear notice or warning procedure before cutting off an employee's service after an unpaid leave violates the constitutional guarantee of due process and protection of public servants. Without procedural guardrails, an administrative body could arbitrarily treat a delayed return as an immediate severance, infringing upon job stability and property rights associated with public office.</w:t>
      </w:r>
    </w:p>
    <w:p w14:paraId="0ED2A162" w14:textId="77777777" w:rsidR="00386AE3" w:rsidRPr="00AC42DF" w:rsidRDefault="00386AE3" w:rsidP="00386AE3">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B. The Counterargument that the Omission Represents a Permissible Legislative Choice:</w:t>
      </w:r>
      <w:r w:rsidRPr="00AC42DF">
        <w:rPr>
          <w:rFonts w:ascii="Times New Roman" w:eastAsia="Times New Roman" w:hAnsi="Times New Roman" w:cs="Times New Roman"/>
          <w:kern w:val="0"/>
          <w14:ligatures w14:val="none"/>
        </w:rPr>
        <w:t xml:space="preserve"> Conversely, the legislature enjoys wide discretion (</w:t>
      </w:r>
      <w:proofErr w:type="spellStart"/>
      <w:r w:rsidRPr="00AC42DF">
        <w:rPr>
          <w:rFonts w:ascii="Times New Roman" w:eastAsia="Times New Roman" w:hAnsi="Times New Roman" w:cs="Times New Roman"/>
          <w:i/>
          <w:iCs/>
          <w:kern w:val="0"/>
          <w14:ligatures w14:val="none"/>
        </w:rPr>
        <w:t>sultat</w:t>
      </w:r>
      <w:proofErr w:type="spellEnd"/>
      <w:r w:rsidRPr="00AC42DF">
        <w:rPr>
          <w:rFonts w:ascii="Times New Roman" w:eastAsia="Times New Roman" w:hAnsi="Times New Roman" w:cs="Times New Roman"/>
          <w:i/>
          <w:iCs/>
          <w:kern w:val="0"/>
          <w14:ligatures w14:val="none"/>
        </w:rPr>
        <w:t xml:space="preserve"> al-</w:t>
      </w:r>
      <w:proofErr w:type="spellStart"/>
      <w:proofErr w:type="gramStart"/>
      <w:r w:rsidRPr="00AC42DF">
        <w:rPr>
          <w:rFonts w:ascii="Times New Roman" w:eastAsia="Times New Roman" w:hAnsi="Times New Roman" w:cs="Times New Roman"/>
          <w:i/>
          <w:iCs/>
          <w:kern w:val="0"/>
          <w14:ligatures w14:val="none"/>
        </w:rPr>
        <w:t>tashree</w:t>
      </w:r>
      <w:proofErr w:type="spellEnd"/>
      <w:r w:rsidRPr="00AC42DF">
        <w:rPr>
          <w:rFonts w:ascii="Times New Roman" w:eastAsia="Times New Roman" w:hAnsi="Times New Roman" w:cs="Times New Roman"/>
          <w:i/>
          <w:iCs/>
          <w:kern w:val="0"/>
          <w14:ligatures w14:val="none"/>
        </w:rPr>
        <w:t>‘</w:t>
      </w:r>
      <w:proofErr w:type="gramEnd"/>
      <w:r w:rsidRPr="00AC42DF">
        <w:rPr>
          <w:rFonts w:ascii="Times New Roman" w:eastAsia="Times New Roman" w:hAnsi="Times New Roman" w:cs="Times New Roman"/>
          <w:kern w:val="0"/>
          <w14:ligatures w14:val="none"/>
        </w:rPr>
        <w:t xml:space="preserve">) in organizing public utilities and civil service efficiency. The statute does not explicitly authorize arbitrary termination; rather, it regulates the </w:t>
      </w:r>
      <w:r w:rsidRPr="00AC42DF">
        <w:rPr>
          <w:rFonts w:ascii="Times New Roman" w:eastAsia="Times New Roman" w:hAnsi="Times New Roman" w:cs="Times New Roman"/>
          <w:i/>
          <w:iCs/>
          <w:kern w:val="0"/>
          <w14:ligatures w14:val="none"/>
        </w:rPr>
        <w:t>conditions</w:t>
      </w:r>
      <w:r w:rsidRPr="00AC42DF">
        <w:rPr>
          <w:rFonts w:ascii="Times New Roman" w:eastAsia="Times New Roman" w:hAnsi="Times New Roman" w:cs="Times New Roman"/>
          <w:kern w:val="0"/>
          <w14:ligatures w14:val="none"/>
        </w:rPr>
        <w:t xml:space="preserve"> of leave and seniority. General principles of Egyptian administrative law—supervised by the State Council (</w:t>
      </w:r>
      <w:r w:rsidRPr="00AC42DF">
        <w:rPr>
          <w:rFonts w:ascii="Times New Roman" w:eastAsia="Times New Roman" w:hAnsi="Times New Roman" w:cs="Times New Roman"/>
          <w:i/>
          <w:iCs/>
          <w:kern w:val="0"/>
          <w14:ligatures w14:val="none"/>
        </w:rPr>
        <w:t>Majlis Al-</w:t>
      </w:r>
      <w:proofErr w:type="spellStart"/>
      <w:r w:rsidRPr="00AC42DF">
        <w:rPr>
          <w:rFonts w:ascii="Times New Roman" w:eastAsia="Times New Roman" w:hAnsi="Times New Roman" w:cs="Times New Roman"/>
          <w:i/>
          <w:iCs/>
          <w:kern w:val="0"/>
          <w14:ligatures w14:val="none"/>
        </w:rPr>
        <w:t>Dawla</w:t>
      </w:r>
      <w:proofErr w:type="spellEnd"/>
      <w:r w:rsidRPr="00AC42DF">
        <w:rPr>
          <w:rFonts w:ascii="Times New Roman" w:eastAsia="Times New Roman" w:hAnsi="Times New Roman" w:cs="Times New Roman"/>
          <w:kern w:val="0"/>
          <w14:ligatures w14:val="none"/>
        </w:rPr>
        <w:t>)—require a formal, reasoned administrative decision and inherently forbid arbitrary dismissals. Thus, the silence of this specific article does not create a constitutional void, as the broader legal system supplies the necessary procedural guarantees.</w:t>
      </w:r>
    </w:p>
    <w:p w14:paraId="4185EF5D"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4. Legislative-Gap Classification</w:t>
      </w:r>
    </w:p>
    <w:p w14:paraId="4A3C968E" w14:textId="77777777" w:rsidR="00386AE3" w:rsidRPr="00AC42DF" w:rsidRDefault="00386AE3" w:rsidP="00386AE3">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Classification:</w:t>
      </w:r>
      <w:r w:rsidRPr="00AC42DF">
        <w:rPr>
          <w:rFonts w:ascii="Times New Roman" w:eastAsia="Times New Roman" w:hAnsi="Times New Roman" w:cs="Times New Roman"/>
          <w:kern w:val="0"/>
          <w14:ligatures w14:val="none"/>
        </w:rPr>
        <w:t xml:space="preserve"> </w:t>
      </w:r>
      <w:r w:rsidRPr="00AC42DF">
        <w:rPr>
          <w:rFonts w:ascii="Times New Roman" w:eastAsia="Times New Roman" w:hAnsi="Times New Roman" w:cs="Times New Roman"/>
          <w:b/>
          <w:bCs/>
          <w:kern w:val="0"/>
          <w14:ligatures w14:val="none"/>
        </w:rPr>
        <w:t>Textual omission without constitutional significance.</w:t>
      </w:r>
    </w:p>
    <w:p w14:paraId="1168A247" w14:textId="77777777" w:rsidR="00386AE3" w:rsidRPr="00AC42DF" w:rsidRDefault="00386AE3" w:rsidP="00386AE3">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Explanation:</w:t>
      </w:r>
      <w:r w:rsidRPr="00AC42DF">
        <w:rPr>
          <w:rFonts w:ascii="Times New Roman" w:eastAsia="Times New Roman" w:hAnsi="Times New Roman" w:cs="Times New Roman"/>
          <w:kern w:val="0"/>
          <w14:ligatures w14:val="none"/>
        </w:rPr>
        <w:t xml:space="preserve"> While the text does not exhaustively detail the administrative steps for reinstatement or post-leave default, this does not translate into a structural constitutional defect. The Egyptian legal and administrative ecosystem regulates service termination through dedicated disciplinary and general service chapters, </w:t>
      </w:r>
      <w:r w:rsidRPr="00AC42DF">
        <w:rPr>
          <w:rFonts w:ascii="Times New Roman" w:eastAsia="Times New Roman" w:hAnsi="Times New Roman" w:cs="Times New Roman"/>
          <w:kern w:val="0"/>
          <w14:ligatures w14:val="none"/>
        </w:rPr>
        <w:lastRenderedPageBreak/>
        <w:t>meaning the omission is safely integrated into a coherent statutory matrix rather than constituting an unconstitutional vacuum.</w:t>
      </w:r>
    </w:p>
    <w:p w14:paraId="7626255A"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5. Judicial-Review Perspective</w:t>
      </w:r>
    </w:p>
    <w:p w14:paraId="3073EA4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If an affected employee challenges the provision for lacking specific procedural termination safeguards, the Egyptian Supreme Constitutional Court (</w:t>
      </w:r>
      <w:proofErr w:type="spellStart"/>
      <w:r w:rsidRPr="00AC42DF">
        <w:rPr>
          <w:rFonts w:ascii="Times New Roman" w:eastAsia="Times New Roman" w:hAnsi="Times New Roman" w:cs="Times New Roman"/>
          <w:i/>
          <w:iCs/>
          <w:kern w:val="0"/>
          <w14:ligatures w14:val="none"/>
        </w:rPr>
        <w:t>Mahkama</w:t>
      </w:r>
      <w:proofErr w:type="spellEnd"/>
      <w:r w:rsidRPr="00AC42DF">
        <w:rPr>
          <w:rFonts w:ascii="Times New Roman" w:eastAsia="Times New Roman" w:hAnsi="Times New Roman" w:cs="Times New Roman"/>
          <w:i/>
          <w:iCs/>
          <w:kern w:val="0"/>
          <w14:ligatures w14:val="none"/>
        </w:rPr>
        <w:t xml:space="preserve"> Al-</w:t>
      </w:r>
      <w:proofErr w:type="spellStart"/>
      <w:r w:rsidRPr="00AC42DF">
        <w:rPr>
          <w:rFonts w:ascii="Times New Roman" w:eastAsia="Times New Roman" w:hAnsi="Times New Roman" w:cs="Times New Roman"/>
          <w:i/>
          <w:iCs/>
          <w:kern w:val="0"/>
          <w14:ligatures w14:val="none"/>
        </w:rPr>
        <w:t>Dustooriyya</w:t>
      </w:r>
      <w:proofErr w:type="spellEnd"/>
      <w:r w:rsidRPr="00AC42DF">
        <w:rPr>
          <w:rFonts w:ascii="Times New Roman" w:eastAsia="Times New Roman" w:hAnsi="Times New Roman" w:cs="Times New Roman"/>
          <w:i/>
          <w:iCs/>
          <w:kern w:val="0"/>
          <w14:ligatures w14:val="none"/>
        </w:rPr>
        <w:t xml:space="preserve"> Al-</w:t>
      </w:r>
      <w:proofErr w:type="spellStart"/>
      <w:r w:rsidRPr="00AC42DF">
        <w:rPr>
          <w:rFonts w:ascii="Times New Roman" w:eastAsia="Times New Roman" w:hAnsi="Times New Roman" w:cs="Times New Roman"/>
          <w:i/>
          <w:iCs/>
          <w:kern w:val="0"/>
          <w14:ligatures w14:val="none"/>
        </w:rPr>
        <w:t>Ulya</w:t>
      </w:r>
      <w:proofErr w:type="spellEnd"/>
      <w:r w:rsidRPr="00AC42DF">
        <w:rPr>
          <w:rFonts w:ascii="Times New Roman" w:eastAsia="Times New Roman" w:hAnsi="Times New Roman" w:cs="Times New Roman"/>
          <w:kern w:val="0"/>
          <w14:ligatures w14:val="none"/>
        </w:rPr>
        <w:t>) would likely approach the matter by examining the text not in isolation, but within the organic unity of the entire civil service legislation.</w:t>
      </w:r>
    </w:p>
    <w:p w14:paraId="69F06882"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 Court typically holds that the legislature is not required to enshrine every procedural guarantee within a single provision. As long as the general legal framework prevents </w:t>
      </w:r>
      <w:proofErr w:type="spellStart"/>
      <w:r w:rsidRPr="00AC42DF">
        <w:rPr>
          <w:rFonts w:ascii="Times New Roman" w:eastAsia="Times New Roman" w:hAnsi="Times New Roman" w:cs="Times New Roman"/>
          <w:kern w:val="0"/>
          <w14:ligatures w14:val="none"/>
        </w:rPr>
        <w:t>arbitratry</w:t>
      </w:r>
      <w:proofErr w:type="spellEnd"/>
      <w:r w:rsidRPr="00AC42DF">
        <w:rPr>
          <w:rFonts w:ascii="Times New Roman" w:eastAsia="Times New Roman" w:hAnsi="Times New Roman" w:cs="Times New Roman"/>
          <w:kern w:val="0"/>
          <w14:ligatures w14:val="none"/>
        </w:rPr>
        <w:t xml:space="preserve"> administrative action and </w:t>
      </w:r>
      <w:proofErr w:type="gramStart"/>
      <w:r w:rsidRPr="00AC42DF">
        <w:rPr>
          <w:rFonts w:ascii="Times New Roman" w:eastAsia="Times New Roman" w:hAnsi="Times New Roman" w:cs="Times New Roman"/>
          <w:kern w:val="0"/>
          <w14:ligatures w14:val="none"/>
        </w:rPr>
        <w:t>subjects</w:t>
      </w:r>
      <w:proofErr w:type="gramEnd"/>
      <w:r w:rsidRPr="00AC42DF">
        <w:rPr>
          <w:rFonts w:ascii="Times New Roman" w:eastAsia="Times New Roman" w:hAnsi="Times New Roman" w:cs="Times New Roman"/>
          <w:kern w:val="0"/>
          <w14:ligatures w14:val="none"/>
        </w:rPr>
        <w:t xml:space="preserve"> administrative decisions to judicial review before the Administrative Courts, the constitutional requirement of due process is satisfied. Therefore, the interpretation upholding the statute's validity is legally stronger, because judicial oversight and general administrative guarantees adequately cure any micro-procedural silence in a specific leave article.</w:t>
      </w:r>
    </w:p>
    <w:p w14:paraId="46E62994"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6. Proposed Legislative Amendment</w:t>
      </w:r>
    </w:p>
    <w:p w14:paraId="06D5F141"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Because the analysis concludes that the textual silence does not amount to a material unconstitutional gap—given that general administrative procedures govern service termination—</w:t>
      </w:r>
      <w:r w:rsidRPr="00AC42DF">
        <w:rPr>
          <w:rFonts w:ascii="Times New Roman" w:eastAsia="Times New Roman" w:hAnsi="Times New Roman" w:cs="Times New Roman"/>
          <w:b/>
          <w:bCs/>
          <w:kern w:val="0"/>
          <w14:ligatures w14:val="none"/>
        </w:rPr>
        <w:t>no legislative amendment is legally necessary.</w:t>
      </w:r>
      <w:r w:rsidRPr="00AC42DF">
        <w:rPr>
          <w:rFonts w:ascii="Times New Roman" w:eastAsia="Times New Roman" w:hAnsi="Times New Roman" w:cs="Times New Roman"/>
          <w:kern w:val="0"/>
          <w14:ligatures w14:val="none"/>
        </w:rPr>
        <w:t xml:space="preserve"> Proposing an amendment would be redundant, as the broader framework of Egyptian administrative law already provides the procedural safeguards required to protect employees against arbitrary severance.</w:t>
      </w:r>
    </w:p>
    <w:p w14:paraId="5894FFF6"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7. Confidence and Limitations</w:t>
      </w:r>
    </w:p>
    <w:p w14:paraId="672C66CB" w14:textId="77777777" w:rsidR="00386AE3" w:rsidRPr="00AC42DF" w:rsidRDefault="00386AE3" w:rsidP="00386AE3">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Overall Conclusion:</w:t>
      </w:r>
      <w:r w:rsidRPr="00AC42DF">
        <w:rPr>
          <w:rFonts w:ascii="Times New Roman" w:eastAsia="Times New Roman" w:hAnsi="Times New Roman" w:cs="Times New Roman"/>
          <w:kern w:val="0"/>
          <w14:ligatures w14:val="none"/>
        </w:rPr>
        <w:t xml:space="preserve"> The statutory provision is constitutionally sound and legally coherent; its silence on post-leave termination mechanics is remedied by general Egyptian administrative jurisprudence.</w:t>
      </w:r>
    </w:p>
    <w:p w14:paraId="2D705F33" w14:textId="77777777" w:rsidR="00386AE3" w:rsidRPr="00AC42DF" w:rsidRDefault="00386AE3" w:rsidP="00386AE3">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Strongest Argument Supporting Conclusion:</w:t>
      </w:r>
      <w:r w:rsidRPr="00AC42DF">
        <w:rPr>
          <w:rFonts w:ascii="Times New Roman" w:eastAsia="Times New Roman" w:hAnsi="Times New Roman" w:cs="Times New Roman"/>
          <w:kern w:val="0"/>
          <w14:ligatures w14:val="none"/>
        </w:rPr>
        <w:t xml:space="preserve"> The principle of legal unity, whereby specialized leave provisions rely on the general administrative guarantees and judicial oversight embedded in Egyptian public law.</w:t>
      </w:r>
    </w:p>
    <w:p w14:paraId="4B00FF1E" w14:textId="77777777" w:rsidR="00386AE3" w:rsidRPr="00AC42DF" w:rsidRDefault="00386AE3" w:rsidP="00386AE3">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Strongest Argument Against It:</w:t>
      </w:r>
      <w:r w:rsidRPr="00AC42DF">
        <w:rPr>
          <w:rFonts w:ascii="Times New Roman" w:eastAsia="Times New Roman" w:hAnsi="Times New Roman" w:cs="Times New Roman"/>
          <w:kern w:val="0"/>
          <w14:ligatures w14:val="none"/>
        </w:rPr>
        <w:t xml:space="preserve"> The potential for administrative misinterpretation or abrupt application by local bureaucratic bodies lacking clear statutory text detailing reinstatement notifications.</w:t>
      </w:r>
    </w:p>
    <w:p w14:paraId="004808B4" w14:textId="77777777" w:rsidR="00386AE3" w:rsidRPr="00AC42DF" w:rsidRDefault="00386AE3" w:rsidP="00386AE3">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Uncertainties:</w:t>
      </w:r>
      <w:r w:rsidRPr="00AC42DF">
        <w:rPr>
          <w:rFonts w:ascii="Times New Roman" w:eastAsia="Times New Roman" w:hAnsi="Times New Roman" w:cs="Times New Roman"/>
          <w:kern w:val="0"/>
          <w14:ligatures w14:val="none"/>
        </w:rPr>
        <w:t xml:space="preserve"> Absence of specific internal executive regulations (</w:t>
      </w:r>
      <w:proofErr w:type="spellStart"/>
      <w:r w:rsidRPr="00AC42DF">
        <w:rPr>
          <w:rFonts w:ascii="Times New Roman" w:eastAsia="Times New Roman" w:hAnsi="Times New Roman" w:cs="Times New Roman"/>
          <w:i/>
          <w:iCs/>
          <w:kern w:val="0"/>
          <w14:ligatures w14:val="none"/>
        </w:rPr>
        <w:t>la'iha</w:t>
      </w:r>
      <w:proofErr w:type="spellEnd"/>
      <w:r w:rsidRPr="00AC42DF">
        <w:rPr>
          <w:rFonts w:ascii="Times New Roman" w:eastAsia="Times New Roman" w:hAnsi="Times New Roman" w:cs="Times New Roman"/>
          <w:i/>
          <w:iCs/>
          <w:kern w:val="0"/>
          <w14:ligatures w14:val="none"/>
        </w:rPr>
        <w:t xml:space="preserve"> </w:t>
      </w:r>
      <w:proofErr w:type="spellStart"/>
      <w:r w:rsidRPr="00AC42DF">
        <w:rPr>
          <w:rFonts w:ascii="Times New Roman" w:eastAsia="Times New Roman" w:hAnsi="Times New Roman" w:cs="Times New Roman"/>
          <w:i/>
          <w:iCs/>
          <w:kern w:val="0"/>
          <w14:ligatures w14:val="none"/>
        </w:rPr>
        <w:t>tanfeethiyya</w:t>
      </w:r>
      <w:proofErr w:type="spellEnd"/>
      <w:r w:rsidRPr="00AC42DF">
        <w:rPr>
          <w:rFonts w:ascii="Times New Roman" w:eastAsia="Times New Roman" w:hAnsi="Times New Roman" w:cs="Times New Roman"/>
          <w:kern w:val="0"/>
          <w14:ligatures w14:val="none"/>
        </w:rPr>
        <w:t>) or historical parliamentary preparatory works (</w:t>
      </w:r>
      <w:proofErr w:type="spellStart"/>
      <w:r w:rsidRPr="00AC42DF">
        <w:rPr>
          <w:rFonts w:ascii="Times New Roman" w:eastAsia="Times New Roman" w:hAnsi="Times New Roman" w:cs="Times New Roman"/>
          <w:i/>
          <w:iCs/>
          <w:kern w:val="0"/>
          <w14:ligatures w14:val="none"/>
        </w:rPr>
        <w:t>mazahir</w:t>
      </w:r>
      <w:proofErr w:type="spellEnd"/>
      <w:r w:rsidRPr="00AC42DF">
        <w:rPr>
          <w:rFonts w:ascii="Times New Roman" w:eastAsia="Times New Roman" w:hAnsi="Times New Roman" w:cs="Times New Roman"/>
          <w:i/>
          <w:iCs/>
          <w:kern w:val="0"/>
          <w14:ligatures w14:val="none"/>
        </w:rPr>
        <w:t xml:space="preserve"> al-</w:t>
      </w:r>
      <w:proofErr w:type="spellStart"/>
      <w:r w:rsidRPr="00AC42DF">
        <w:rPr>
          <w:rFonts w:ascii="Times New Roman" w:eastAsia="Times New Roman" w:hAnsi="Times New Roman" w:cs="Times New Roman"/>
          <w:i/>
          <w:iCs/>
          <w:kern w:val="0"/>
          <w14:ligatures w14:val="none"/>
        </w:rPr>
        <w:t>a'mal</w:t>
      </w:r>
      <w:proofErr w:type="spellEnd"/>
      <w:r w:rsidRPr="00AC42DF">
        <w:rPr>
          <w:rFonts w:ascii="Times New Roman" w:eastAsia="Times New Roman" w:hAnsi="Times New Roman" w:cs="Times New Roman"/>
          <w:i/>
          <w:iCs/>
          <w:kern w:val="0"/>
          <w14:ligatures w14:val="none"/>
        </w:rPr>
        <w:t xml:space="preserve"> al-</w:t>
      </w:r>
      <w:proofErr w:type="spellStart"/>
      <w:r w:rsidRPr="00AC42DF">
        <w:rPr>
          <w:rFonts w:ascii="Times New Roman" w:eastAsia="Times New Roman" w:hAnsi="Times New Roman" w:cs="Times New Roman"/>
          <w:i/>
          <w:iCs/>
          <w:kern w:val="0"/>
          <w14:ligatures w14:val="none"/>
        </w:rPr>
        <w:t>tashree'iyya</w:t>
      </w:r>
      <w:proofErr w:type="spellEnd"/>
      <w:r w:rsidRPr="00AC42DF">
        <w:rPr>
          <w:rFonts w:ascii="Times New Roman" w:eastAsia="Times New Roman" w:hAnsi="Times New Roman" w:cs="Times New Roman"/>
          <w:kern w:val="0"/>
          <w14:ligatures w14:val="none"/>
        </w:rPr>
        <w:t>) attached strictly to this specific clause, though this does not alter the macro-constitutional evaluation based on established Egyptian constitutional principles.</w:t>
      </w:r>
    </w:p>
    <w:p w14:paraId="66829CF5" w14:textId="77777777" w:rsidR="00386AE3" w:rsidRPr="001F4172"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Follow-up Question:</w:t>
      </w:r>
      <w:r w:rsidRPr="00AC42DF">
        <w:rPr>
          <w:rFonts w:ascii="Times New Roman" w:eastAsia="Times New Roman" w:hAnsi="Times New Roman" w:cs="Times New Roman"/>
          <w:kern w:val="0"/>
          <w14:ligatures w14:val="none"/>
        </w:rPr>
        <w:t xml:space="preserve"> Given that general administrative law fills procedural gaps for civil servants, should specialized employment sectors (such as university academics) maintain entirely independent procedural thresholds for leave overstays compared to standard administrative staff?</w:t>
      </w:r>
    </w:p>
    <w:p w14:paraId="3BCC4C5B" w14:textId="00A83C7D" w:rsidR="00386AE3" w:rsidRPr="00797A5A" w:rsidRDefault="00386AE3" w:rsidP="00797A5A">
      <w:pPr>
        <w:pStyle w:val="2"/>
        <w:rPr>
          <w:rFonts w:asciiTheme="majorBidi" w:hAnsiTheme="majorBidi" w:cstheme="majorBidi"/>
        </w:rPr>
      </w:pPr>
      <w:proofErr w:type="spellStart"/>
      <w:r w:rsidRPr="00797A5A">
        <w:rPr>
          <w:rFonts w:asciiTheme="majorBidi" w:hAnsiTheme="majorBidi" w:cstheme="majorBidi"/>
        </w:rPr>
        <w:lastRenderedPageBreak/>
        <w:t>DeepSeek</w:t>
      </w:r>
      <w:proofErr w:type="spellEnd"/>
      <w:r w:rsidRPr="00797A5A">
        <w:rPr>
          <w:rFonts w:asciiTheme="majorBidi" w:hAnsiTheme="majorBidi" w:cstheme="majorBidi"/>
        </w:rPr>
        <w:t xml:space="preserve"> </w:t>
      </w:r>
      <w:r w:rsidR="00797A5A" w:rsidRPr="00797A5A">
        <w:rPr>
          <w:rFonts w:asciiTheme="majorBidi" w:hAnsiTheme="majorBidi" w:cstheme="majorBidi"/>
        </w:rPr>
        <w:t>Output</w:t>
      </w:r>
    </w:p>
    <w:p w14:paraId="279A0FC2"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1. Statutory Structure</w:t>
      </w:r>
    </w:p>
    <w:p w14:paraId="5C5B5101"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Legal Mechanism Established by Article (69) of Law No. 47 of 1978</w:t>
      </w:r>
    </w:p>
    <w:p w14:paraId="363F70CD"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provision establishes a dual-track system for granting unpaid leave to public employees:</w:t>
      </w:r>
    </w:p>
    <w:p w14:paraId="3AD72F5B"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First Track (Paragraph 1): Mandatory Unpaid Leave for Spousal Reunification</w:t>
      </w:r>
    </w:p>
    <w:p w14:paraId="6C408974" w14:textId="77777777" w:rsidR="00386AE3" w:rsidRPr="00AC42DF" w:rsidRDefault="00386AE3" w:rsidP="00386AE3">
      <w:pPr>
        <w:numPr>
          <w:ilvl w:val="0"/>
          <w:numId w:val="8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Triggering Event:</w:t>
      </w:r>
      <w:r w:rsidRPr="00AC42DF">
        <w:rPr>
          <w:rFonts w:ascii="Segoe UI" w:eastAsia="Times New Roman" w:hAnsi="Segoe UI" w:cs="Segoe UI"/>
          <w:color w:val="0F1115"/>
          <w:kern w:val="0"/>
          <w14:ligatures w14:val="none"/>
        </w:rPr>
        <w:t> The spouse of an employee travels abroad for work or study for a minimum period of six months.</w:t>
      </w:r>
    </w:p>
    <w:p w14:paraId="02E6075A" w14:textId="77777777" w:rsidR="00386AE3" w:rsidRPr="00AC42DF" w:rsidRDefault="00386AE3" w:rsidP="00386AE3">
      <w:pPr>
        <w:numPr>
          <w:ilvl w:val="0"/>
          <w:numId w:val="8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Statutory Period:</w:t>
      </w:r>
      <w:r w:rsidRPr="00AC42DF">
        <w:rPr>
          <w:rFonts w:ascii="Segoe UI" w:eastAsia="Times New Roman" w:hAnsi="Segoe UI" w:cs="Segoe UI"/>
          <w:color w:val="0F1115"/>
          <w:kern w:val="0"/>
          <w14:ligatures w14:val="none"/>
        </w:rPr>
        <w:t> The leave duration cannot exceed the period of the spouse's stay abroad.</w:t>
      </w:r>
    </w:p>
    <w:p w14:paraId="4DB4C3DD" w14:textId="77777777" w:rsidR="00386AE3" w:rsidRPr="00AC42DF" w:rsidRDefault="00386AE3" w:rsidP="00386AE3">
      <w:pPr>
        <w:numPr>
          <w:ilvl w:val="0"/>
          <w:numId w:val="8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Legal Consequence:</w:t>
      </w:r>
      <w:r w:rsidRPr="00AC42DF">
        <w:rPr>
          <w:rFonts w:ascii="Segoe UI" w:eastAsia="Times New Roman" w:hAnsi="Segoe UI" w:cs="Segoe UI"/>
          <w:color w:val="0F1115"/>
          <w:kern w:val="0"/>
          <w14:ligatures w14:val="none"/>
        </w:rPr>
        <w:t> The administrative authority is obligated to grant the leave ("</w:t>
      </w:r>
      <w:r w:rsidRPr="00AC42DF">
        <w:rPr>
          <w:rFonts w:ascii="Segoe UI" w:eastAsia="Times New Roman" w:hAnsi="Segoe UI" w:cs="Segoe UI"/>
          <w:color w:val="0F1115"/>
          <w:kern w:val="0"/>
          <w:rtl/>
          <w14:ligatures w14:val="none"/>
        </w:rPr>
        <w:t>تتعين على الجهة الإدارية أن تستجيب</w:t>
      </w:r>
      <w:r w:rsidRPr="00AC42DF">
        <w:rPr>
          <w:rFonts w:ascii="Segoe UI" w:eastAsia="Times New Roman" w:hAnsi="Segoe UI" w:cs="Segoe UI"/>
          <w:color w:val="0F1115"/>
          <w:kern w:val="0"/>
          <w14:ligatures w14:val="none"/>
        </w:rPr>
        <w:t>") — this is a mandatory entitlement, not discretionary.</w:t>
      </w:r>
    </w:p>
    <w:p w14:paraId="2ACAC9A9" w14:textId="77777777" w:rsidR="00386AE3" w:rsidRPr="00AC42DF" w:rsidRDefault="00386AE3" w:rsidP="00386AE3">
      <w:pPr>
        <w:numPr>
          <w:ilvl w:val="0"/>
          <w:numId w:val="8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Scope:</w:t>
      </w:r>
      <w:r w:rsidRPr="00AC42DF">
        <w:rPr>
          <w:rFonts w:ascii="Segoe UI" w:eastAsia="Times New Roman" w:hAnsi="Segoe UI" w:cs="Segoe UI"/>
          <w:color w:val="0F1115"/>
          <w:kern w:val="0"/>
          <w14:ligatures w14:val="none"/>
        </w:rPr>
        <w:t> Applies regardless of whether the traveling spouse works in government, the public sector, public business sector, or the private sector.</w:t>
      </w:r>
    </w:p>
    <w:p w14:paraId="40A710BE" w14:textId="77777777" w:rsidR="00386AE3" w:rsidRPr="00AC42DF" w:rsidRDefault="00386AE3" w:rsidP="00386AE3">
      <w:pPr>
        <w:numPr>
          <w:ilvl w:val="0"/>
          <w:numId w:val="8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Return Possibility:</w:t>
      </w:r>
      <w:r w:rsidRPr="00AC42DF">
        <w:rPr>
          <w:rFonts w:ascii="Segoe UI" w:eastAsia="Times New Roman" w:hAnsi="Segoe UI" w:cs="Segoe UI"/>
          <w:color w:val="0F1115"/>
          <w:kern w:val="0"/>
          <w14:ligatures w14:val="none"/>
        </w:rPr>
        <w:t xml:space="preserve"> The </w:t>
      </w:r>
      <w:proofErr w:type="spellStart"/>
      <w:r w:rsidRPr="00AC42DF">
        <w:rPr>
          <w:rFonts w:ascii="Segoe UI" w:eastAsia="Times New Roman" w:hAnsi="Segoe UI" w:cs="Segoe UI"/>
          <w:color w:val="0F1115"/>
          <w:kern w:val="0"/>
          <w14:ligatures w14:val="none"/>
        </w:rPr>
        <w:t>leave</w:t>
      </w:r>
      <w:proofErr w:type="spellEnd"/>
      <w:r w:rsidRPr="00AC42DF">
        <w:rPr>
          <w:rFonts w:ascii="Segoe UI" w:eastAsia="Times New Roman" w:hAnsi="Segoe UI" w:cs="Segoe UI"/>
          <w:color w:val="0F1115"/>
          <w:kern w:val="0"/>
          <w14:ligatures w14:val="none"/>
        </w:rPr>
        <w:t xml:space="preserve"> expires when the spouse returns from abroad; the provision implies automatic termination of the leave upon the spouse's return.</w:t>
      </w:r>
    </w:p>
    <w:p w14:paraId="643A1347" w14:textId="77777777" w:rsidR="00386AE3" w:rsidRPr="00AC42DF" w:rsidRDefault="00386AE3" w:rsidP="00386AE3">
      <w:pPr>
        <w:numPr>
          <w:ilvl w:val="0"/>
          <w:numId w:val="8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Role of Competent Bodies:</w:t>
      </w:r>
      <w:r w:rsidRPr="00AC42DF">
        <w:rPr>
          <w:rFonts w:ascii="Segoe UI" w:eastAsia="Times New Roman" w:hAnsi="Segoe UI" w:cs="Segoe UI"/>
          <w:color w:val="0F1115"/>
          <w:kern w:val="0"/>
          <w14:ligatures w14:val="none"/>
        </w:rPr>
        <w:t> No express role for any university or specialized bodies; the decision is vested solely in the administrative authority.</w:t>
      </w:r>
    </w:p>
    <w:p w14:paraId="230264DC" w14:textId="77777777" w:rsidR="00386AE3" w:rsidRPr="00AC42DF" w:rsidRDefault="00386AE3" w:rsidP="00386AE3">
      <w:pPr>
        <w:numPr>
          <w:ilvl w:val="0"/>
          <w:numId w:val="8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Procedural Safeguards:</w:t>
      </w:r>
      <w:r w:rsidRPr="00AC42DF">
        <w:rPr>
          <w:rFonts w:ascii="Segoe UI" w:eastAsia="Times New Roman" w:hAnsi="Segoe UI" w:cs="Segoe UI"/>
          <w:color w:val="0F1115"/>
          <w:kern w:val="0"/>
          <w14:ligatures w14:val="none"/>
        </w:rPr>
        <w:t> The only express safeguard is the mandatory nature of the grant (no discretion to deny), which protects the employee's right to family unity.</w:t>
      </w:r>
    </w:p>
    <w:p w14:paraId="2DE40C23"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Second Track (Paragraph 2): Discretionary Unpaid Leave</w:t>
      </w:r>
    </w:p>
    <w:p w14:paraId="20B267BE" w14:textId="77777777" w:rsidR="00386AE3" w:rsidRPr="00AC42DF" w:rsidRDefault="00386AE3" w:rsidP="00386AE3">
      <w:pPr>
        <w:numPr>
          <w:ilvl w:val="0"/>
          <w:numId w:val="8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Triggering Event:</w:t>
      </w:r>
      <w:r w:rsidRPr="00AC42DF">
        <w:rPr>
          <w:rFonts w:ascii="Segoe UI" w:eastAsia="Times New Roman" w:hAnsi="Segoe UI" w:cs="Segoe UI"/>
          <w:color w:val="0F1115"/>
          <w:kern w:val="0"/>
          <w14:ligatures w14:val="none"/>
        </w:rPr>
        <w:t> The employee's request for unpaid leave for reasons they specify.</w:t>
      </w:r>
    </w:p>
    <w:p w14:paraId="7742B35F" w14:textId="77777777" w:rsidR="00386AE3" w:rsidRPr="00AC42DF" w:rsidRDefault="00386AE3" w:rsidP="00386AE3">
      <w:pPr>
        <w:numPr>
          <w:ilvl w:val="0"/>
          <w:numId w:val="8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Statutory Period:</w:t>
      </w:r>
      <w:r w:rsidRPr="00AC42DF">
        <w:rPr>
          <w:rFonts w:ascii="Segoe UI" w:eastAsia="Times New Roman" w:hAnsi="Segoe UI" w:cs="Segoe UI"/>
          <w:color w:val="0F1115"/>
          <w:kern w:val="0"/>
          <w14:ligatures w14:val="none"/>
        </w:rPr>
        <w:t> No fixed maximum period is specified for discretionary leave; however, the provision addresses consequences after four consecutive years.</w:t>
      </w:r>
    </w:p>
    <w:p w14:paraId="54E82B10" w14:textId="77777777" w:rsidR="00386AE3" w:rsidRPr="00AC42DF" w:rsidRDefault="00386AE3" w:rsidP="00386AE3">
      <w:pPr>
        <w:numPr>
          <w:ilvl w:val="0"/>
          <w:numId w:val="8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Legal Consequence:</w:t>
      </w:r>
      <w:r w:rsidRPr="00AC42DF">
        <w:rPr>
          <w:rFonts w:ascii="Segoe UI" w:eastAsia="Times New Roman" w:hAnsi="Segoe UI" w:cs="Segoe UI"/>
          <w:color w:val="0F1115"/>
          <w:kern w:val="0"/>
          <w14:ligatures w14:val="none"/>
        </w:rPr>
        <w:t> The competent authority has discretion to grant or deny the leave based on the employee's stated reasons and applicable rules.</w:t>
      </w:r>
    </w:p>
    <w:p w14:paraId="69C8DFD9" w14:textId="77777777" w:rsidR="00386AE3" w:rsidRPr="00AC42DF" w:rsidRDefault="00386AE3" w:rsidP="00386AE3">
      <w:pPr>
        <w:numPr>
          <w:ilvl w:val="0"/>
          <w:numId w:val="81"/>
        </w:numPr>
        <w:shd w:val="clear" w:color="auto" w:fill="FFFFFF"/>
        <w:spacing w:before="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Promotion Restrictions:</w:t>
      </w:r>
    </w:p>
    <w:p w14:paraId="5A407C45" w14:textId="77777777" w:rsidR="00386AE3" w:rsidRPr="00AC42DF" w:rsidRDefault="00386AE3" w:rsidP="00386AE3">
      <w:pPr>
        <w:numPr>
          <w:ilvl w:val="1"/>
          <w:numId w:val="8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Promotion to higher-level positions is prohibited until after the employee returns.</w:t>
      </w:r>
    </w:p>
    <w:p w14:paraId="76EC473E" w14:textId="77777777" w:rsidR="00386AE3" w:rsidRPr="00AC42DF" w:rsidRDefault="00386AE3" w:rsidP="00386AE3">
      <w:pPr>
        <w:numPr>
          <w:ilvl w:val="1"/>
          <w:numId w:val="8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For those already holding higher-level positions, leave cannot be granted until at least one year has passed since assuming the position.</w:t>
      </w:r>
    </w:p>
    <w:p w14:paraId="6176101B" w14:textId="77777777" w:rsidR="00386AE3" w:rsidRPr="00AC42DF" w:rsidRDefault="00386AE3" w:rsidP="00386AE3">
      <w:pPr>
        <w:numPr>
          <w:ilvl w:val="1"/>
          <w:numId w:val="8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lastRenderedPageBreak/>
        <w:t>For promotions below higher-level positions, no promotion is permitted if the employee's secondment exceeds four consecutive years.</w:t>
      </w:r>
    </w:p>
    <w:p w14:paraId="0954BBF2" w14:textId="77777777" w:rsidR="00386AE3" w:rsidRPr="00AC42DF" w:rsidRDefault="00386AE3" w:rsidP="00386AE3">
      <w:pPr>
        <w:numPr>
          <w:ilvl w:val="0"/>
          <w:numId w:val="8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Seniority Calculation:</w:t>
      </w:r>
      <w:r w:rsidRPr="00AC42DF">
        <w:rPr>
          <w:rFonts w:ascii="Segoe UI" w:eastAsia="Times New Roman" w:hAnsi="Segoe UI" w:cs="Segoe UI"/>
          <w:color w:val="0F1115"/>
          <w:kern w:val="0"/>
          <w14:ligatures w14:val="none"/>
        </w:rPr>
        <w:t> Upon return from leave exceeding four years, seniority is determined by placing the employee behind either the same number of employees who preceded them at the end of the four-year period, or all employees occupying the position grade upon return—whichever is fewer.</w:t>
      </w:r>
    </w:p>
    <w:p w14:paraId="12BAE81E" w14:textId="77777777" w:rsidR="00386AE3" w:rsidRPr="00AC42DF" w:rsidRDefault="00386AE3" w:rsidP="00386AE3">
      <w:pPr>
        <w:numPr>
          <w:ilvl w:val="0"/>
          <w:numId w:val="8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Role of Competent Bodies:</w:t>
      </w:r>
      <w:r w:rsidRPr="00AC42DF">
        <w:rPr>
          <w:rFonts w:ascii="Segoe UI" w:eastAsia="Times New Roman" w:hAnsi="Segoe UI" w:cs="Segoe UI"/>
          <w:color w:val="0F1115"/>
          <w:kern w:val="0"/>
          <w14:ligatures w14:val="none"/>
        </w:rPr>
        <w:t> No role for university bodies or any specialized review mechanism.</w:t>
      </w:r>
    </w:p>
    <w:p w14:paraId="27677907" w14:textId="77777777" w:rsidR="00386AE3" w:rsidRPr="00AC42DF" w:rsidRDefault="00386AE3" w:rsidP="00386AE3">
      <w:pPr>
        <w:numPr>
          <w:ilvl w:val="0"/>
          <w:numId w:val="8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Procedural Safeguards:</w:t>
      </w:r>
      <w:r w:rsidRPr="00AC42DF">
        <w:rPr>
          <w:rFonts w:ascii="Segoe UI" w:eastAsia="Times New Roman" w:hAnsi="Segoe UI" w:cs="Segoe UI"/>
          <w:color w:val="0F1115"/>
          <w:kern w:val="0"/>
          <w14:ligatures w14:val="none"/>
        </w:rPr>
        <w:t> Minimal; the sole safeguards are the promotion restrictions and seniority calculation rules, which protect other employees' career progression rather than the leave-seeking employee's procedural rights.</w:t>
      </w:r>
    </w:p>
    <w:p w14:paraId="479AC8E0"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Critical Observation:</w:t>
      </w:r>
      <w:r w:rsidRPr="00AC42DF">
        <w:rPr>
          <w:rFonts w:ascii="Segoe UI" w:eastAsia="Times New Roman" w:hAnsi="Segoe UI" w:cs="Segoe UI"/>
          <w:color w:val="0F1115"/>
          <w:kern w:val="0"/>
          <w14:ligatures w14:val="none"/>
        </w:rPr>
        <w:t> The provision makes no reference to termination of service. The entire mechanism addresses leave grants, duration, promotion, and seniority—not termination. This is a threshold point of interpretation.</w:t>
      </w:r>
    </w:p>
    <w:p w14:paraId="18191038"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BE8F43E">
          <v:rect id="_x0000_i1072" style="width:0;height:.75pt" o:hralign="center" o:hrstd="t" o:hr="t" fillcolor="#a0a0a0" stroked="f"/>
        </w:pict>
      </w:r>
    </w:p>
    <w:p w14:paraId="148FFBD4"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2. Potential Legislative Omissions</w:t>
      </w:r>
    </w:p>
    <w:p w14:paraId="72BCB26E"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Identified Potential Omissions</w:t>
      </w:r>
    </w:p>
    <w:p w14:paraId="4C160B90" w14:textId="77777777" w:rsidR="00386AE3" w:rsidRPr="00386AE3" w:rsidRDefault="00386AE3" w:rsidP="00386AE3">
      <w:pPr>
        <w:ind w:firstLine="0"/>
        <w:rPr>
          <w:rFonts w:asciiTheme="majorBidi" w:hAnsiTheme="majorBidi" w:cstheme="majorBidi"/>
          <w:b/>
          <w:bCs/>
        </w:rPr>
      </w:pPr>
      <w:r w:rsidRPr="00386AE3">
        <w:rPr>
          <w:rFonts w:asciiTheme="majorBidi" w:hAnsiTheme="majorBidi" w:cstheme="majorBidi"/>
          <w:b/>
          <w:bCs/>
        </w:rPr>
        <w:t>Omission 1: Absence of Procedural Safeguards Before Leave Denial (Discretionary Track)</w:t>
      </w:r>
    </w:p>
    <w:p w14:paraId="04C678D8"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What is absent:</w:t>
      </w:r>
      <w:r w:rsidRPr="00AC42DF">
        <w:rPr>
          <w:rFonts w:ascii="Segoe UI" w:eastAsia="Times New Roman" w:hAnsi="Segoe UI" w:cs="Segoe UI"/>
          <w:color w:val="0F1115"/>
          <w:kern w:val="0"/>
          <w14:ligatures w14:val="none"/>
        </w:rPr>
        <w:t> No requirement for:</w:t>
      </w:r>
    </w:p>
    <w:p w14:paraId="4D16AEAA" w14:textId="77777777" w:rsidR="00386AE3" w:rsidRPr="00AC42DF" w:rsidRDefault="00386AE3" w:rsidP="00386AE3">
      <w:pPr>
        <w:numPr>
          <w:ilvl w:val="0"/>
          <w:numId w:val="82"/>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Written reasons for denial;</w:t>
      </w:r>
    </w:p>
    <w:p w14:paraId="7A37926F" w14:textId="77777777" w:rsidR="00386AE3" w:rsidRPr="00AC42DF" w:rsidRDefault="00386AE3" w:rsidP="00386AE3">
      <w:pPr>
        <w:numPr>
          <w:ilvl w:val="0"/>
          <w:numId w:val="82"/>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Prior notice to the employee;</w:t>
      </w:r>
    </w:p>
    <w:p w14:paraId="40F9B4FE" w14:textId="77777777" w:rsidR="00386AE3" w:rsidRPr="00AC42DF" w:rsidRDefault="00386AE3" w:rsidP="00386AE3">
      <w:pPr>
        <w:numPr>
          <w:ilvl w:val="0"/>
          <w:numId w:val="82"/>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Opportunity to be heard or submit additional evidence;</w:t>
      </w:r>
    </w:p>
    <w:p w14:paraId="46A15A1A" w14:textId="77777777" w:rsidR="00386AE3" w:rsidRPr="00AC42DF" w:rsidRDefault="00386AE3" w:rsidP="00386AE3">
      <w:pPr>
        <w:numPr>
          <w:ilvl w:val="0"/>
          <w:numId w:val="82"/>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Right to appeal the denial;</w:t>
      </w:r>
    </w:p>
    <w:p w14:paraId="370A6B84" w14:textId="77777777" w:rsidR="00386AE3" w:rsidRPr="00AC42DF" w:rsidRDefault="00386AE3" w:rsidP="00386AE3">
      <w:pPr>
        <w:numPr>
          <w:ilvl w:val="0"/>
          <w:numId w:val="82"/>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Time limits within which the authority must decide.</w:t>
      </w:r>
    </w:p>
    <w:p w14:paraId="25CB7927"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Why it matters legally:</w:t>
      </w:r>
      <w:r w:rsidRPr="00AC42DF">
        <w:rPr>
          <w:rFonts w:ascii="Segoe UI" w:eastAsia="Times New Roman" w:hAnsi="Segoe UI" w:cs="Segoe UI"/>
          <w:color w:val="0F1115"/>
          <w:kern w:val="0"/>
          <w14:ligatures w14:val="none"/>
        </w:rPr>
        <w:t> The discretionary track (Paragraph 2) gives the administrative authority broad power to accept or reject leave requests based on "reasons submitted by the employee and assessed by the competent authority according to applicable rules." Without procedural safeguards, employees are exposed to arbitrary or discriminatory denial of leave, which may affect their career progression, family stability, or personal circumstances.</w:t>
      </w:r>
    </w:p>
    <w:p w14:paraId="09F38A9D"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lastRenderedPageBreak/>
        <w:t>Materiality:</w:t>
      </w:r>
      <w:r w:rsidRPr="00AC42DF">
        <w:rPr>
          <w:rFonts w:ascii="Segoe UI" w:eastAsia="Times New Roman" w:hAnsi="Segoe UI" w:cs="Segoe UI"/>
          <w:color w:val="0F1115"/>
          <w:kern w:val="0"/>
          <w14:ligatures w14:val="none"/>
        </w:rPr>
        <w:t> Material but possibly incidental. The omission affects a significant number of employees seeking discretionary leave, but the legislature may have intended to leave procedural details to implementing regulations or internal administrative rules.</w:t>
      </w:r>
    </w:p>
    <w:p w14:paraId="5F195A69"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Legislative intent:</w:t>
      </w:r>
      <w:r w:rsidRPr="00AC42DF">
        <w:rPr>
          <w:rFonts w:ascii="Segoe UI" w:eastAsia="Times New Roman" w:hAnsi="Segoe UI" w:cs="Segoe UI"/>
          <w:color w:val="0F1115"/>
          <w:kern w:val="0"/>
          <w14:ligatures w14:val="none"/>
        </w:rPr>
        <w:t> The legislature could reasonably have intended to leave procedural details to executive regulations, as is common in Egyptian administrative law. The phrase "</w:t>
      </w:r>
      <w:r w:rsidRPr="00AC42DF">
        <w:rPr>
          <w:rFonts w:ascii="Segoe UI" w:eastAsia="Times New Roman" w:hAnsi="Segoe UI" w:cs="Segoe UI"/>
          <w:color w:val="0F1115"/>
          <w:kern w:val="0"/>
          <w:rtl/>
          <w14:ligatures w14:val="none"/>
        </w:rPr>
        <w:t>وفقًا للقواعد التي تتبعها</w:t>
      </w:r>
      <w:r w:rsidRPr="00AC42DF">
        <w:rPr>
          <w:rFonts w:ascii="Segoe UI" w:eastAsia="Times New Roman" w:hAnsi="Segoe UI" w:cs="Segoe UI"/>
          <w:color w:val="0F1115"/>
          <w:kern w:val="0"/>
          <w14:ligatures w14:val="none"/>
        </w:rPr>
        <w:t>" (according to the rules it follows) suggests delegation to internal administrative procedures rather than statutory prescription.</w:t>
      </w:r>
    </w:p>
    <w:p w14:paraId="6AAE62E1"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2EEB855">
          <v:rect id="_x0000_i1073" style="width:0;height:.75pt" o:hralign="center" o:hrstd="t" o:hr="t" fillcolor="#a0a0a0" stroked="f"/>
        </w:pict>
      </w:r>
    </w:p>
    <w:p w14:paraId="3F1451CB"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2: Absence of Criteria for "Valid Reasons" in Discretionary Leave</w:t>
      </w:r>
    </w:p>
    <w:p w14:paraId="09929C7C"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What is absent:</w:t>
      </w:r>
      <w:r w:rsidRPr="00AC42DF">
        <w:rPr>
          <w:rFonts w:ascii="Segoe UI" w:eastAsia="Times New Roman" w:hAnsi="Segoe UI" w:cs="Segoe UI"/>
          <w:color w:val="0F1115"/>
          <w:kern w:val="0"/>
          <w14:ligatures w14:val="none"/>
        </w:rPr>
        <w:t> The provision does not define what constitutes valid reasons for discretionary leave, nor does it establish minimum standards or categories of acceptable reasons.</w:t>
      </w:r>
    </w:p>
    <w:p w14:paraId="5889FC50"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Why it matters legally:</w:t>
      </w:r>
      <w:r w:rsidRPr="00AC42DF">
        <w:rPr>
          <w:rFonts w:ascii="Segoe UI" w:eastAsia="Times New Roman" w:hAnsi="Segoe UI" w:cs="Segoe UI"/>
          <w:color w:val="0F1115"/>
          <w:kern w:val="0"/>
          <w14:ligatures w14:val="none"/>
        </w:rPr>
        <w:t xml:space="preserve"> Without objective criteria, the competent authority's assessment is left entirely </w:t>
      </w:r>
      <w:proofErr w:type="spellStart"/>
      <w:r w:rsidRPr="00AC42DF">
        <w:rPr>
          <w:rFonts w:ascii="Segoe UI" w:eastAsia="Times New Roman" w:hAnsi="Segoe UI" w:cs="Segoe UI"/>
          <w:color w:val="0F1115"/>
          <w:kern w:val="0"/>
          <w14:ligatures w14:val="none"/>
        </w:rPr>
        <w:t>to</w:t>
      </w:r>
      <w:proofErr w:type="spellEnd"/>
      <w:r w:rsidRPr="00AC42DF">
        <w:rPr>
          <w:rFonts w:ascii="Segoe UI" w:eastAsia="Times New Roman" w:hAnsi="Segoe UI" w:cs="Segoe UI"/>
          <w:color w:val="0F1115"/>
          <w:kern w:val="0"/>
          <w14:ligatures w14:val="none"/>
        </w:rPr>
        <w:t xml:space="preserve"> subjective evaluation, increasing the risk of inconsistent or arbitrary application.</w:t>
      </w:r>
    </w:p>
    <w:p w14:paraId="40A17CE7"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Materiality:</w:t>
      </w:r>
      <w:r w:rsidRPr="00AC42DF">
        <w:rPr>
          <w:rFonts w:ascii="Segoe UI" w:eastAsia="Times New Roman" w:hAnsi="Segoe UI" w:cs="Segoe UI"/>
          <w:color w:val="0F1115"/>
          <w:kern w:val="0"/>
          <w14:ligatures w14:val="none"/>
        </w:rPr>
        <w:t> This is potentially material but likely reflects a deliberate legislative policy choice to grant broad administrative discretion, common in employment matters where individual circumstances vary greatly.</w:t>
      </w:r>
    </w:p>
    <w:p w14:paraId="0E417CB8"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Legislative intent:</w:t>
      </w:r>
      <w:r w:rsidRPr="00AC42DF">
        <w:rPr>
          <w:rFonts w:ascii="Segoe UI" w:eastAsia="Times New Roman" w:hAnsi="Segoe UI" w:cs="Segoe UI"/>
          <w:color w:val="0F1115"/>
          <w:kern w:val="0"/>
          <w14:ligatures w14:val="none"/>
        </w:rPr>
        <w:t> The legislature intentionally avoided rigid criteria to allow flexible responses to diverse employee needs, reflecting a policy choice rather than a gap.</w:t>
      </w:r>
    </w:p>
    <w:p w14:paraId="015A474F"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1B224523">
          <v:rect id="_x0000_i1074" style="width:0;height:.75pt" o:hralign="center" o:hrstd="t" o:hr="t" fillcolor="#a0a0a0" stroked="f"/>
        </w:pict>
      </w:r>
    </w:p>
    <w:p w14:paraId="7F6E5878"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3: Absence of Procedural Safeguards Before Termination of Service (Cross-Cutting Issue)</w:t>
      </w:r>
    </w:p>
    <w:p w14:paraId="4744EB55"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What is absent:</w:t>
      </w:r>
      <w:r w:rsidRPr="00AC42DF">
        <w:rPr>
          <w:rFonts w:ascii="Segoe UI" w:eastAsia="Times New Roman" w:hAnsi="Segoe UI" w:cs="Segoe UI"/>
          <w:color w:val="0F1115"/>
          <w:kern w:val="0"/>
          <w14:ligatures w14:val="none"/>
        </w:rPr>
        <w:t> The provision does not address termination of service at all. However, the analysis prompt repeatedly references "termination of service" and "before termination of his service." This suggests that the provision may interact with other legal provisions governing termination (e.g., exceeding leave duration, abandonment of post, or disciplinary dismissal).</w:t>
      </w:r>
    </w:p>
    <w:p w14:paraId="3A04E4EF"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lastRenderedPageBreak/>
        <w:t>Why it matters legally:</w:t>
      </w:r>
      <w:r w:rsidRPr="00AC42DF">
        <w:rPr>
          <w:rFonts w:ascii="Segoe UI" w:eastAsia="Times New Roman" w:hAnsi="Segoe UI" w:cs="Segoe UI"/>
          <w:color w:val="0F1115"/>
          <w:kern w:val="0"/>
          <w14:ligatures w14:val="none"/>
        </w:rPr>
        <w:t> If unpaid leave exceeding a certain period can lead to termination under other laws (e.g., Civil Service Law or regulations), the absence of procedural safeguards in this provision could be constitutionally significant.</w:t>
      </w:r>
    </w:p>
    <w:p w14:paraId="68CF827B"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Materiality:</w:t>
      </w:r>
      <w:r w:rsidRPr="00AC42DF">
        <w:rPr>
          <w:rFonts w:ascii="Segoe UI" w:eastAsia="Times New Roman" w:hAnsi="Segoe UI" w:cs="Segoe UI"/>
          <w:color w:val="0F1115"/>
          <w:kern w:val="0"/>
          <w14:ligatures w14:val="none"/>
        </w:rPr>
        <w:t> This is a threshold question. The provision itself does not provide for termination. Any gap would be in the interaction between this provision and other termination rules, not within Article (69) itself.</w:t>
      </w:r>
    </w:p>
    <w:p w14:paraId="7BCDAAD5"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Legislative intent:</w:t>
      </w:r>
      <w:r w:rsidRPr="00AC42DF">
        <w:rPr>
          <w:rFonts w:ascii="Segoe UI" w:eastAsia="Times New Roman" w:hAnsi="Segoe UI" w:cs="Segoe UI"/>
          <w:color w:val="0F1115"/>
          <w:kern w:val="0"/>
          <w14:ligatures w14:val="none"/>
        </w:rPr>
        <w:t> The legislature likely did not intend Article (69) to regulate termination; that would fall under separate provisions of the Civil Service Law or the Civil Service Law No. 81 of 2016 (which replaced Law No. 47 of 1978 but is not directly applicable here).</w:t>
      </w:r>
    </w:p>
    <w:p w14:paraId="1C1F9AC7"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CC3024C">
          <v:rect id="_x0000_i1075" style="width:0;height:.75pt" o:hralign="center" o:hrstd="t" o:hr="t" fillcolor="#a0a0a0" stroked="f"/>
        </w:pict>
      </w:r>
    </w:p>
    <w:p w14:paraId="03817F44"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4: Absence of Time Limits for Administrative Decision-Making</w:t>
      </w:r>
    </w:p>
    <w:p w14:paraId="19FC054F"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What is absent:</w:t>
      </w:r>
      <w:r w:rsidRPr="00AC42DF">
        <w:rPr>
          <w:rFonts w:ascii="Segoe UI" w:eastAsia="Times New Roman" w:hAnsi="Segoe UI" w:cs="Segoe UI"/>
          <w:color w:val="0F1115"/>
          <w:kern w:val="0"/>
          <w14:ligatures w14:val="none"/>
        </w:rPr>
        <w:t> No deadline is specified for the administrative authority to respond to leave requests under either track.</w:t>
      </w:r>
    </w:p>
    <w:p w14:paraId="7464649D"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Why it matters legally:</w:t>
      </w:r>
      <w:r w:rsidRPr="00AC42DF">
        <w:rPr>
          <w:rFonts w:ascii="Segoe UI" w:eastAsia="Times New Roman" w:hAnsi="Segoe UI" w:cs="Segoe UI"/>
          <w:color w:val="0F1115"/>
          <w:kern w:val="0"/>
          <w14:ligatures w14:val="none"/>
        </w:rPr>
        <w:t> Delays in decision-making could prejudice employees who need to arrange their affairs based on the leave grant, particularly in the mandatory spousal track where timing may be critical.</w:t>
      </w:r>
    </w:p>
    <w:p w14:paraId="4A74CEB9"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Materiality:</w:t>
      </w:r>
      <w:r w:rsidRPr="00AC42DF">
        <w:rPr>
          <w:rFonts w:ascii="Segoe UI" w:eastAsia="Times New Roman" w:hAnsi="Segoe UI" w:cs="Segoe UI"/>
          <w:color w:val="0F1115"/>
          <w:kern w:val="0"/>
          <w14:ligatures w14:val="none"/>
        </w:rPr>
        <w:t> Incidental; Egyptian administrative law generally implies a reasonable time for decision-making, and courts can address unreasonable delays.</w:t>
      </w:r>
    </w:p>
    <w:p w14:paraId="7E2B7A6D"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Legislative intent:</w:t>
      </w:r>
      <w:r w:rsidRPr="00AC42DF">
        <w:rPr>
          <w:rFonts w:ascii="Segoe UI" w:eastAsia="Times New Roman" w:hAnsi="Segoe UI" w:cs="Segoe UI"/>
          <w:color w:val="0F1115"/>
          <w:kern w:val="0"/>
          <w14:ligatures w14:val="none"/>
        </w:rPr>
        <w:t> The legislature likely considered fixed deadlines overly rigid and preferred to leave this to administrative practice.</w:t>
      </w:r>
    </w:p>
    <w:p w14:paraId="6504A507"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303BD907">
          <v:rect id="_x0000_i1076" style="width:0;height:.75pt" o:hralign="center" o:hrstd="t" o:hr="t" fillcolor="#a0a0a0" stroked="f"/>
        </w:pict>
      </w:r>
    </w:p>
    <w:p w14:paraId="7E3BDA13"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5: Absence of Safeguards in Seniority Determination</w:t>
      </w:r>
    </w:p>
    <w:p w14:paraId="592A179E"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What is absent:</w:t>
      </w:r>
      <w:r w:rsidRPr="00AC42DF">
        <w:rPr>
          <w:rFonts w:ascii="Segoe UI" w:eastAsia="Times New Roman" w:hAnsi="Segoe UI" w:cs="Segoe UI"/>
          <w:color w:val="0F1115"/>
          <w:kern w:val="0"/>
          <w14:ligatures w14:val="none"/>
        </w:rPr>
        <w:t> No mechanism for the employee to contest the seniority calculation upon return from extended leave.</w:t>
      </w:r>
    </w:p>
    <w:p w14:paraId="3ED8E709"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Why it matters legally:</w:t>
      </w:r>
      <w:r w:rsidRPr="00AC42DF">
        <w:rPr>
          <w:rFonts w:ascii="Segoe UI" w:eastAsia="Times New Roman" w:hAnsi="Segoe UI" w:cs="Segoe UI"/>
          <w:color w:val="0F1115"/>
          <w:kern w:val="0"/>
          <w14:ligatures w14:val="none"/>
        </w:rPr>
        <w:t> The seniority calculation formula is specific (placing the returning employee behind either the same number of employees who preceded them at the four-year mark, or all employees in the grade upon return—whichever is fewer). However, the calculation may require interpretation (e.g., what about promotions during the leave period?), and no challenge mechanism is provided.</w:t>
      </w:r>
    </w:p>
    <w:p w14:paraId="2224078F"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lastRenderedPageBreak/>
        <w:t>Materiality:</w:t>
      </w:r>
      <w:r w:rsidRPr="00AC42DF">
        <w:rPr>
          <w:rFonts w:ascii="Segoe UI" w:eastAsia="Times New Roman" w:hAnsi="Segoe UI" w:cs="Segoe UI"/>
          <w:color w:val="0F1115"/>
          <w:kern w:val="0"/>
          <w14:ligatures w14:val="none"/>
        </w:rPr>
        <w:t> Incidental; the provision provides a clear formula, and disputes could be resolved through general administrative litigation.</w:t>
      </w:r>
    </w:p>
    <w:p w14:paraId="5B42B0C5"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Legislative intent:</w:t>
      </w:r>
      <w:r w:rsidRPr="00AC42DF">
        <w:rPr>
          <w:rFonts w:ascii="Segoe UI" w:eastAsia="Times New Roman" w:hAnsi="Segoe UI" w:cs="Segoe UI"/>
          <w:color w:val="0F1115"/>
          <w:kern w:val="0"/>
          <w14:ligatures w14:val="none"/>
        </w:rPr>
        <w:t> The legislature provided a clear rule to avoid disputes, suggesting a deliberate choice rather than an omission.</w:t>
      </w:r>
    </w:p>
    <w:p w14:paraId="28845BC5"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301BCF6">
          <v:rect id="_x0000_i1077" style="width:0;height:.75pt" o:hralign="center" o:hrstd="t" o:hr="t" fillcolor="#a0a0a0" stroked="f"/>
        </w:pict>
      </w:r>
    </w:p>
    <w:p w14:paraId="78C1651C"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6: Absence of Notice or Hearing Before the Four-Year Consequence Trigger</w:t>
      </w:r>
    </w:p>
    <w:p w14:paraId="2E50ED7E"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What is absent:</w:t>
      </w:r>
      <w:r w:rsidRPr="00AC42DF">
        <w:rPr>
          <w:rFonts w:ascii="Segoe UI" w:eastAsia="Times New Roman" w:hAnsi="Segoe UI" w:cs="Segoe UI"/>
          <w:color w:val="0F1115"/>
          <w:kern w:val="0"/>
          <w14:ligatures w14:val="none"/>
        </w:rPr>
        <w:t> No requirement to notify the employee that they are approaching the four-year threshold that will affect their promotion and seniority rights.</w:t>
      </w:r>
    </w:p>
    <w:p w14:paraId="71B3BA3C"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Why it matters legally:</w:t>
      </w:r>
      <w:r w:rsidRPr="00AC42DF">
        <w:rPr>
          <w:rFonts w:ascii="Segoe UI" w:eastAsia="Times New Roman" w:hAnsi="Segoe UI" w:cs="Segoe UI"/>
          <w:color w:val="0F1115"/>
          <w:kern w:val="0"/>
          <w14:ligatures w14:val="none"/>
        </w:rPr>
        <w:t> Employees on extended leave may not be aware of the four-year threshold and its consequences. Without notice, they cannot make informed decisions about returning to work or managing their careers.</w:t>
      </w:r>
    </w:p>
    <w:p w14:paraId="16FC8A3C"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Materiality:</w:t>
      </w:r>
      <w:r w:rsidRPr="00AC42DF">
        <w:rPr>
          <w:rFonts w:ascii="Segoe UI" w:eastAsia="Times New Roman" w:hAnsi="Segoe UI" w:cs="Segoe UI"/>
          <w:color w:val="0F1115"/>
          <w:kern w:val="0"/>
          <w14:ligatures w14:val="none"/>
        </w:rPr>
        <w:t> Material but not constitutionally mandatory; it is a matter of administrative fairness rather than constitutional right.</w:t>
      </w:r>
    </w:p>
    <w:p w14:paraId="714FCBC7"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Legislative intent:</w:t>
      </w:r>
      <w:r w:rsidRPr="00AC42DF">
        <w:rPr>
          <w:rFonts w:ascii="Segoe UI" w:eastAsia="Times New Roman" w:hAnsi="Segoe UI" w:cs="Segoe UI"/>
          <w:color w:val="0F1115"/>
          <w:kern w:val="0"/>
          <w14:ligatures w14:val="none"/>
        </w:rPr>
        <w:t> The legislature may have assumed employees are responsible for knowing legal provisions affecting their status, or may have left this to administrative practice.</w:t>
      </w:r>
    </w:p>
    <w:p w14:paraId="1D498309"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74BACD8E">
          <v:rect id="_x0000_i1078" style="width:0;height:.75pt" o:hralign="center" o:hrstd="t" o:hr="t" fillcolor="#a0a0a0" stroked="f"/>
        </w:pict>
      </w:r>
    </w:p>
    <w:p w14:paraId="2834BFEC"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3. Constitutional Assessment</w:t>
      </w:r>
    </w:p>
    <w:p w14:paraId="0AB37770"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Relevant Constitutional Principles</w:t>
      </w:r>
    </w:p>
    <w:p w14:paraId="21F9A7BB"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Under the Egyptian Constitution of 2014, relevant principles include:</w:t>
      </w:r>
    </w:p>
    <w:p w14:paraId="01A47293" w14:textId="77777777" w:rsidR="00386AE3" w:rsidRPr="00AC42DF" w:rsidRDefault="00386AE3" w:rsidP="00386AE3">
      <w:pPr>
        <w:numPr>
          <w:ilvl w:val="0"/>
          <w:numId w:val="8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Article 9:</w:t>
      </w:r>
      <w:r w:rsidRPr="00AC42DF">
        <w:rPr>
          <w:rFonts w:ascii="Segoe UI" w:eastAsia="Times New Roman" w:hAnsi="Segoe UI" w:cs="Segoe UI"/>
          <w:color w:val="0F1115"/>
          <w:kern w:val="0"/>
          <w14:ligatures w14:val="none"/>
        </w:rPr>
        <w:t> The state ensures equal opportunity for all citizens without discrimination.</w:t>
      </w:r>
    </w:p>
    <w:p w14:paraId="1CCC2960" w14:textId="77777777" w:rsidR="00386AE3" w:rsidRPr="00AC42DF" w:rsidRDefault="00386AE3" w:rsidP="00386AE3">
      <w:pPr>
        <w:numPr>
          <w:ilvl w:val="0"/>
          <w:numId w:val="8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Article 11:</w:t>
      </w:r>
      <w:r w:rsidRPr="00AC42DF">
        <w:rPr>
          <w:rFonts w:ascii="Segoe UI" w:eastAsia="Times New Roman" w:hAnsi="Segoe UI" w:cs="Segoe UI"/>
          <w:color w:val="0F1115"/>
          <w:kern w:val="0"/>
          <w14:ligatures w14:val="none"/>
        </w:rPr>
        <w:t> The state guarantees the reconciliation between the duties of women toward their family and their work.</w:t>
      </w:r>
    </w:p>
    <w:p w14:paraId="5F5C15A6" w14:textId="77777777" w:rsidR="00386AE3" w:rsidRPr="00AC42DF" w:rsidRDefault="00386AE3" w:rsidP="00386AE3">
      <w:pPr>
        <w:numPr>
          <w:ilvl w:val="0"/>
          <w:numId w:val="8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Article 13:</w:t>
      </w:r>
      <w:r w:rsidRPr="00AC42DF">
        <w:rPr>
          <w:rFonts w:ascii="Segoe UI" w:eastAsia="Times New Roman" w:hAnsi="Segoe UI" w:cs="Segoe UI"/>
          <w:color w:val="0F1115"/>
          <w:kern w:val="0"/>
          <w14:ligatures w14:val="none"/>
        </w:rPr>
        <w:t> Public employment is a right for citizens on the basis of merit, and the law regulates its terms.</w:t>
      </w:r>
    </w:p>
    <w:p w14:paraId="6AB77B79" w14:textId="77777777" w:rsidR="00386AE3" w:rsidRPr="00AC42DF" w:rsidRDefault="00386AE3" w:rsidP="00386AE3">
      <w:pPr>
        <w:numPr>
          <w:ilvl w:val="0"/>
          <w:numId w:val="8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Article 92:</w:t>
      </w:r>
      <w:r w:rsidRPr="00AC42DF">
        <w:rPr>
          <w:rFonts w:ascii="Segoe UI" w:eastAsia="Times New Roman" w:hAnsi="Segoe UI" w:cs="Segoe UI"/>
          <w:color w:val="0F1115"/>
          <w:kern w:val="0"/>
          <w14:ligatures w14:val="none"/>
        </w:rPr>
        <w:t> Rights and freedoms may not be suspended or diminished without a law. No law may restrict the exercise of rights and freedoms except as necessary for the protection of the state or public order, and such restrictions must be proportionate.</w:t>
      </w:r>
    </w:p>
    <w:p w14:paraId="1C08C459" w14:textId="77777777" w:rsidR="00386AE3" w:rsidRPr="00AC42DF" w:rsidRDefault="00386AE3" w:rsidP="00386AE3">
      <w:pPr>
        <w:numPr>
          <w:ilvl w:val="0"/>
          <w:numId w:val="8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lastRenderedPageBreak/>
        <w:t>Article 93:</w:t>
      </w:r>
      <w:r w:rsidRPr="00AC42DF">
        <w:rPr>
          <w:rFonts w:ascii="Segoe UI" w:eastAsia="Times New Roman" w:hAnsi="Segoe UI" w:cs="Segoe UI"/>
          <w:color w:val="0F1115"/>
          <w:kern w:val="0"/>
          <w14:ligatures w14:val="none"/>
        </w:rPr>
        <w:t> The state guarantees the right to litigation and access to justice.</w:t>
      </w:r>
    </w:p>
    <w:p w14:paraId="176159AF" w14:textId="77777777" w:rsidR="00386AE3" w:rsidRPr="00AC42DF" w:rsidRDefault="00386AE3" w:rsidP="00386AE3">
      <w:pPr>
        <w:numPr>
          <w:ilvl w:val="0"/>
          <w:numId w:val="8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General principles:</w:t>
      </w:r>
      <w:r w:rsidRPr="00AC42DF">
        <w:rPr>
          <w:rFonts w:ascii="Segoe UI" w:eastAsia="Times New Roman" w:hAnsi="Segoe UI" w:cs="Segoe UI"/>
          <w:color w:val="0F1115"/>
          <w:kern w:val="0"/>
          <w14:ligatures w14:val="none"/>
        </w:rPr>
        <w:t> The rule of law, procedural fairness, protection against arbitrary state action, and proportionality.</w:t>
      </w:r>
    </w:p>
    <w:p w14:paraId="0CBA4FC4" w14:textId="77777777" w:rsidR="00386AE3" w:rsidRPr="00C30BD9" w:rsidRDefault="00386AE3" w:rsidP="00386AE3">
      <w:pPr>
        <w:ind w:firstLine="0"/>
        <w:jc w:val="both"/>
        <w:rPr>
          <w:rFonts w:asciiTheme="majorBidi" w:hAnsiTheme="majorBidi" w:cstheme="majorBidi"/>
          <w:b/>
          <w:bCs/>
          <w:sz w:val="30"/>
          <w:szCs w:val="30"/>
        </w:rPr>
      </w:pPr>
      <w:r w:rsidRPr="00C30BD9">
        <w:rPr>
          <w:rFonts w:asciiTheme="majorBidi" w:hAnsiTheme="majorBidi" w:cstheme="majorBidi"/>
          <w:b/>
          <w:bCs/>
          <w:sz w:val="30"/>
          <w:szCs w:val="30"/>
        </w:rPr>
        <w:t>Assessment of Each Omission</w:t>
      </w:r>
    </w:p>
    <w:p w14:paraId="6292C6BA"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1: Absence of Procedural Safeguards Before Leave Denial</w:t>
      </w:r>
    </w:p>
    <w:p w14:paraId="33DEB413"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 Argument that the omission is constitutionally problematic:</w:t>
      </w:r>
    </w:p>
    <w:p w14:paraId="01AF02F7"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Discretionary power without procedural safeguards can violate the constitutional principle against arbitrary state action (Article 92). When the state has the power to grant or deny a benefit that affects an employee's career, family stability, and personal life, the exercise of that power should be subject to minimum procedural protections:</w:t>
      </w:r>
    </w:p>
    <w:p w14:paraId="32116AD7" w14:textId="77777777" w:rsidR="00386AE3" w:rsidRPr="00AC42DF" w:rsidRDefault="00386AE3" w:rsidP="00386AE3">
      <w:pPr>
        <w:numPr>
          <w:ilvl w:val="0"/>
          <w:numId w:val="84"/>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affected employee has a legitimate expectation that decisions affecting their status will be made fairly and transparently.</w:t>
      </w:r>
    </w:p>
    <w:p w14:paraId="613C7AEB" w14:textId="77777777" w:rsidR="00386AE3" w:rsidRPr="00AC42DF" w:rsidRDefault="00386AE3" w:rsidP="00386AE3">
      <w:pPr>
        <w:numPr>
          <w:ilvl w:val="0"/>
          <w:numId w:val="84"/>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lack of reasons, notice, and hearing means the employee cannot meaningfully challenge an adverse decision.</w:t>
      </w:r>
    </w:p>
    <w:p w14:paraId="68447EC8" w14:textId="77777777" w:rsidR="00386AE3" w:rsidRPr="00AC42DF" w:rsidRDefault="00386AE3" w:rsidP="00386AE3">
      <w:pPr>
        <w:numPr>
          <w:ilvl w:val="0"/>
          <w:numId w:val="84"/>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This could disproportionately affect women (who often bear family care responsibilities), potentially violating Article 11's mandate to reconcile family and work duties.</w:t>
      </w:r>
    </w:p>
    <w:p w14:paraId="26C0B0B3"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B. Counterargument that the omission represents a permissible legislative choice:</w:t>
      </w:r>
    </w:p>
    <w:p w14:paraId="49478809" w14:textId="77777777" w:rsidR="00386AE3" w:rsidRPr="00AC42DF" w:rsidRDefault="00386AE3" w:rsidP="00386AE3">
      <w:pPr>
        <w:numPr>
          <w:ilvl w:val="0"/>
          <w:numId w:val="8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provision explicitly states that leave is granted "according to the rules followed by the authority," which implies internal administrative rules and procedures.</w:t>
      </w:r>
    </w:p>
    <w:p w14:paraId="583AA646" w14:textId="77777777" w:rsidR="00386AE3" w:rsidRPr="00AC42DF" w:rsidRDefault="00386AE3" w:rsidP="00386AE3">
      <w:pPr>
        <w:numPr>
          <w:ilvl w:val="0"/>
          <w:numId w:val="8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Egyptian administrative law generally provides for appeal of administrative decisions (Law No. 47 of 1972 on the State Council, and Law No. 9 of 1999 on administrative litigation). Denial of leave is an administrative decision subject to judicial review.</w:t>
      </w:r>
    </w:p>
    <w:p w14:paraId="5D099F93" w14:textId="77777777" w:rsidR="00386AE3" w:rsidRPr="00AC42DF" w:rsidRDefault="00386AE3" w:rsidP="00386AE3">
      <w:pPr>
        <w:numPr>
          <w:ilvl w:val="0"/>
          <w:numId w:val="8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Employment leave is not a fundamental constitutional right; it is a statutory entitlement subject to reasonable regulation.</w:t>
      </w:r>
    </w:p>
    <w:p w14:paraId="553BA391" w14:textId="77777777" w:rsidR="00386AE3" w:rsidRPr="00AC42DF" w:rsidRDefault="00386AE3" w:rsidP="00386AE3">
      <w:pPr>
        <w:numPr>
          <w:ilvl w:val="0"/>
          <w:numId w:val="8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Requiring detailed procedural safeguards in every statutory provision would make legislation unnecessarily rigid and burdensome.</w:t>
      </w:r>
    </w:p>
    <w:p w14:paraId="6BFED15B" w14:textId="77777777" w:rsidR="00386AE3" w:rsidRPr="00AC42DF" w:rsidRDefault="00386AE3" w:rsidP="00386AE3">
      <w:pPr>
        <w:numPr>
          <w:ilvl w:val="0"/>
          <w:numId w:val="8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legislature enjoys broad discretion in regulating public employment under Article 13.</w:t>
      </w:r>
    </w:p>
    <w:p w14:paraId="29B28E8A"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Constitutional Conclusion:</w:t>
      </w:r>
      <w:r w:rsidRPr="00AC42DF">
        <w:rPr>
          <w:rFonts w:ascii="Segoe UI" w:eastAsia="Times New Roman" w:hAnsi="Segoe UI" w:cs="Segoe UI"/>
          <w:color w:val="0F1115"/>
          <w:kern w:val="0"/>
          <w14:ligatures w14:val="none"/>
        </w:rPr>
        <w:t xml:space="preserve"> The omission is not constitutionally problematic in itself, provided that general administrative law guarantees (notice, reasons, appeal) are available. However, if the implementing rules do not provide these safeguards, the </w:t>
      </w:r>
      <w:r w:rsidRPr="00AC42DF">
        <w:rPr>
          <w:rFonts w:ascii="Segoe UI" w:eastAsia="Times New Roman" w:hAnsi="Segoe UI" w:cs="Segoe UI"/>
          <w:color w:val="0F1115"/>
          <w:kern w:val="0"/>
          <w14:ligatures w14:val="none"/>
        </w:rPr>
        <w:lastRenderedPageBreak/>
        <w:t>constitutional issue would arise at the implementation level, not from the statutory text.</w:t>
      </w:r>
    </w:p>
    <w:p w14:paraId="42130EFD"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3D6CB687">
          <v:rect id="_x0000_i1079" style="width:0;height:.75pt" o:hralign="center" o:hrstd="t" o:hr="t" fillcolor="#a0a0a0" stroked="f"/>
        </w:pict>
      </w:r>
    </w:p>
    <w:p w14:paraId="7032C4FE"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2: Absence of Criteria for "Valid Reasons"</w:t>
      </w:r>
    </w:p>
    <w:p w14:paraId="66BC303E"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 Argument that the omission is constitutionally problematic:</w:t>
      </w:r>
    </w:p>
    <w:p w14:paraId="5C93B0FC" w14:textId="77777777" w:rsidR="00386AE3" w:rsidRPr="00AC42DF" w:rsidRDefault="00386AE3" w:rsidP="00386AE3">
      <w:pPr>
        <w:numPr>
          <w:ilvl w:val="0"/>
          <w:numId w:val="86"/>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Vague standards give rise to arbitrary and discriminatory application, potentially violating the right to equality (Article 9).</w:t>
      </w:r>
    </w:p>
    <w:p w14:paraId="28F9940E" w14:textId="77777777" w:rsidR="00386AE3" w:rsidRPr="00AC42DF" w:rsidRDefault="00386AE3" w:rsidP="00386AE3">
      <w:pPr>
        <w:numPr>
          <w:ilvl w:val="0"/>
          <w:numId w:val="86"/>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absence of objective criteria means the competent authority's decision is virtually unreviewable, as courts cannot assess whether the authority acted reasonably without a standard.</w:t>
      </w:r>
    </w:p>
    <w:p w14:paraId="09B1B521" w14:textId="77777777" w:rsidR="00386AE3" w:rsidRPr="00AC42DF" w:rsidRDefault="00386AE3" w:rsidP="00386AE3">
      <w:pPr>
        <w:numPr>
          <w:ilvl w:val="0"/>
          <w:numId w:val="86"/>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This could facilitate nepotism or favoritism, undermining the merit principle in public employment (Article 13).</w:t>
      </w:r>
    </w:p>
    <w:p w14:paraId="017E76E1"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B. Counterargument that the omission represents a permissible legislative choice:</w:t>
      </w:r>
    </w:p>
    <w:p w14:paraId="6BA33894" w14:textId="77777777" w:rsidR="00386AE3" w:rsidRPr="00AC42DF" w:rsidRDefault="00386AE3" w:rsidP="00386AE3">
      <w:pPr>
        <w:numPr>
          <w:ilvl w:val="0"/>
          <w:numId w:val="87"/>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"Valid reasons" is a sufficiently flexible standard that allows the authority to consider individual circumstances.</w:t>
      </w:r>
    </w:p>
    <w:p w14:paraId="6FBE715C" w14:textId="77777777" w:rsidR="00386AE3" w:rsidRPr="00AC42DF" w:rsidRDefault="00386AE3" w:rsidP="00386AE3">
      <w:pPr>
        <w:numPr>
          <w:ilvl w:val="0"/>
          <w:numId w:val="87"/>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authority is subject to administrative law principles requiring it to act reasonably and in good faith.</w:t>
      </w:r>
    </w:p>
    <w:p w14:paraId="780FDBDE" w14:textId="77777777" w:rsidR="00386AE3" w:rsidRPr="00AC42DF" w:rsidRDefault="00386AE3" w:rsidP="00386AE3">
      <w:pPr>
        <w:numPr>
          <w:ilvl w:val="0"/>
          <w:numId w:val="87"/>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Egyptian courts have developed jurisprudence requiring administrative authorities to state reasons for discretionary decisions and to avoid abuse of discretion.</w:t>
      </w:r>
    </w:p>
    <w:p w14:paraId="1372C0D2" w14:textId="77777777" w:rsidR="00386AE3" w:rsidRPr="00AC42DF" w:rsidRDefault="00386AE3" w:rsidP="00386AE3">
      <w:pPr>
        <w:numPr>
          <w:ilvl w:val="0"/>
          <w:numId w:val="87"/>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legislature may have intentionally avoided restrictive criteria to allow adaptation to changing social and economic circumstances.</w:t>
      </w:r>
    </w:p>
    <w:p w14:paraId="345C04CB"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Constitutional Conclusion:</w:t>
      </w:r>
      <w:r w:rsidRPr="00AC42DF">
        <w:rPr>
          <w:rFonts w:ascii="Segoe UI" w:eastAsia="Times New Roman" w:hAnsi="Segoe UI" w:cs="Segoe UI"/>
          <w:color w:val="0F1115"/>
          <w:kern w:val="0"/>
          <w14:ligatures w14:val="none"/>
        </w:rPr>
        <w:t> The omission is constitutionally permissible. While greater specificity might be desirable, the provision's vagueness does not rise to a constitutional violation because it is tempered by general administrative law safeguards and judicial review.</w:t>
      </w:r>
    </w:p>
    <w:p w14:paraId="4930A4AE"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EA31FDB">
          <v:rect id="_x0000_i1080" style="width:0;height:.75pt" o:hralign="center" o:hrstd="t" o:hr="t" fillcolor="#a0a0a0" stroked="f"/>
        </w:pict>
      </w:r>
    </w:p>
    <w:p w14:paraId="6A2A853E"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3: Absence of Procedural Safeguards Before Termination</w:t>
      </w:r>
    </w:p>
    <w:p w14:paraId="7C469A26"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This is the core issue raised by the prompt.</w:t>
      </w:r>
    </w:p>
    <w:p w14:paraId="3B94A2F5"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lastRenderedPageBreak/>
        <w:t>A. Argument that the omission is constitutionally problematic (assuming termination can result from this provision):</w:t>
      </w:r>
    </w:p>
    <w:p w14:paraId="503C7449" w14:textId="77777777" w:rsidR="00386AE3" w:rsidRPr="00AC42DF" w:rsidRDefault="00386AE3" w:rsidP="00386AE3">
      <w:pPr>
        <w:numPr>
          <w:ilvl w:val="0"/>
          <w:numId w:val="8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If a constitutionally protected right (public employment, which is a right under Article 13) is at stake, the affected employee is entitled to procedural due process before termination.</w:t>
      </w:r>
    </w:p>
    <w:p w14:paraId="3A45E1D9" w14:textId="77777777" w:rsidR="00386AE3" w:rsidRPr="00AC42DF" w:rsidRDefault="00386AE3" w:rsidP="00386AE3">
      <w:pPr>
        <w:numPr>
          <w:ilvl w:val="0"/>
          <w:numId w:val="8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Egyptian Constitutional Court has held that the right to employment is constitutionally protected and cannot be terminated without due process.</w:t>
      </w:r>
    </w:p>
    <w:p w14:paraId="25F606B1" w14:textId="77777777" w:rsidR="00386AE3" w:rsidRPr="00AC42DF" w:rsidRDefault="00386AE3" w:rsidP="00386AE3">
      <w:pPr>
        <w:numPr>
          <w:ilvl w:val="0"/>
          <w:numId w:val="88"/>
        </w:numPr>
        <w:shd w:val="clear" w:color="auto" w:fill="FFFFFF"/>
        <w:spacing w:before="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absence of any procedural safeguard in Article (69) before termination—if termination is a consequence of this provision—would violate:</w:t>
      </w:r>
    </w:p>
    <w:p w14:paraId="6A6B8B5D" w14:textId="77777777" w:rsidR="00386AE3" w:rsidRPr="00AC42DF" w:rsidRDefault="00386AE3" w:rsidP="00386AE3">
      <w:pPr>
        <w:numPr>
          <w:ilvl w:val="1"/>
          <w:numId w:val="8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right to a fair hearing (Article 93's guarantee of access to justice, and general principles of natural justice).</w:t>
      </w:r>
    </w:p>
    <w:p w14:paraId="3ACE7189" w14:textId="77777777" w:rsidR="00386AE3" w:rsidRPr="00AC42DF" w:rsidRDefault="00386AE3" w:rsidP="00386AE3">
      <w:pPr>
        <w:numPr>
          <w:ilvl w:val="1"/>
          <w:numId w:val="8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right to be informed of the case against one.</w:t>
      </w:r>
    </w:p>
    <w:p w14:paraId="1CE66D30" w14:textId="77777777" w:rsidR="00386AE3" w:rsidRPr="00AC42DF" w:rsidRDefault="00386AE3" w:rsidP="00386AE3">
      <w:pPr>
        <w:numPr>
          <w:ilvl w:val="1"/>
          <w:numId w:val="8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right to submit defenses and evidence.</w:t>
      </w:r>
    </w:p>
    <w:p w14:paraId="4EF78ACD" w14:textId="77777777" w:rsidR="00386AE3" w:rsidRPr="00AC42DF" w:rsidRDefault="00386AE3" w:rsidP="00386AE3">
      <w:pPr>
        <w:numPr>
          <w:ilvl w:val="0"/>
          <w:numId w:val="8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four-year threshold and seniority consequences could, in practice, lead to termination if the employee's absence or the administrative consequences of the leave effectively end their career, yet no procedure exists to challenge this.</w:t>
      </w:r>
    </w:p>
    <w:p w14:paraId="0994B570"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B. Counterargument that the omission represents a permissible legislative choice:</w:t>
      </w:r>
    </w:p>
    <w:p w14:paraId="290150CC" w14:textId="77777777" w:rsidR="00386AE3" w:rsidRPr="00AC42DF" w:rsidRDefault="00386AE3" w:rsidP="00386AE3">
      <w:pPr>
        <w:numPr>
          <w:ilvl w:val="0"/>
          <w:numId w:val="8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This is the legally stronger argument:</w:t>
      </w:r>
      <w:r w:rsidRPr="00AC42DF">
        <w:rPr>
          <w:rFonts w:ascii="Segoe UI" w:eastAsia="Times New Roman" w:hAnsi="Segoe UI" w:cs="Segoe UI"/>
          <w:color w:val="0F1115"/>
          <w:kern w:val="0"/>
          <w14:ligatures w14:val="none"/>
        </w:rPr>
        <w:t> Article (69) does not provide for termination. It only regulates leave, promotion, and seniority. Any termination that may occur would be governed by other provisions of the Civil Service Law or disciplinary regulations, which presumably contain procedural safeguards.</w:t>
      </w:r>
    </w:p>
    <w:p w14:paraId="3285640C" w14:textId="77777777" w:rsidR="00386AE3" w:rsidRPr="00AC42DF" w:rsidRDefault="00386AE3" w:rsidP="00386AE3">
      <w:pPr>
        <w:numPr>
          <w:ilvl w:val="0"/>
          <w:numId w:val="8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legislature cannot be expected to embed termination procedures in every provision that might indirectly lead to termination; that would be redundant.</w:t>
      </w:r>
    </w:p>
    <w:p w14:paraId="425BF434" w14:textId="77777777" w:rsidR="00386AE3" w:rsidRPr="00AC42DF" w:rsidRDefault="00386AE3" w:rsidP="00386AE3">
      <w:pPr>
        <w:numPr>
          <w:ilvl w:val="0"/>
          <w:numId w:val="8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Civil Service Law has general provisions on termination, dismissal, and disciplinary procedures (e.g., Articles concerning abandonment of post, disciplinary sanctions, and the requirement for investigation and hearing).</w:t>
      </w:r>
    </w:p>
    <w:p w14:paraId="5CB4528B" w14:textId="77777777" w:rsidR="00386AE3" w:rsidRPr="00AC42DF" w:rsidRDefault="00386AE3" w:rsidP="00386AE3">
      <w:pPr>
        <w:numPr>
          <w:ilvl w:val="0"/>
          <w:numId w:val="8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If the legislature intended unpaid leave to lead to automatic termination after a certain period, it would have said so explicitly. The fact that it did not suggests that termination is governed by separate legal provisions.</w:t>
      </w:r>
    </w:p>
    <w:p w14:paraId="0CCF8EAB" w14:textId="77777777" w:rsidR="00386AE3" w:rsidRPr="00AC42DF" w:rsidRDefault="00386AE3" w:rsidP="00386AE3">
      <w:pPr>
        <w:numPr>
          <w:ilvl w:val="0"/>
          <w:numId w:val="8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Egyptian Constitutional Court has consistently held that procedural safeguards for termination are required, but they need not appear in every provision—they can be in the general framework.</w:t>
      </w:r>
    </w:p>
    <w:p w14:paraId="11A0E661" w14:textId="77777777" w:rsidR="00386AE3" w:rsidRPr="00AC42DF" w:rsidRDefault="00386AE3" w:rsidP="00386AE3">
      <w:pPr>
        <w:numPr>
          <w:ilvl w:val="0"/>
          <w:numId w:val="8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absence of specific safeguards in this provision does not mean no safeguards exist; they exist in the broader legal system.</w:t>
      </w:r>
    </w:p>
    <w:p w14:paraId="64B2C9D0"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Constitutional Conclusion:</w:t>
      </w:r>
      <w:r w:rsidRPr="00AC42DF">
        <w:rPr>
          <w:rFonts w:ascii="Segoe UI" w:eastAsia="Times New Roman" w:hAnsi="Segoe UI" w:cs="Segoe UI"/>
          <w:color w:val="0F1115"/>
          <w:kern w:val="0"/>
          <w14:ligatures w14:val="none"/>
        </w:rPr>
        <w:t xml:space="preserve"> This is not a constitutionally significant omission because Article (69) does not itself provide for termination. The premise of the challenge (that the provision "fails to provide an adequate procedural safeguard before termination of service") is factually and legally inaccurate. The provision </w:t>
      </w:r>
      <w:r w:rsidRPr="00AC42DF">
        <w:rPr>
          <w:rFonts w:ascii="Segoe UI" w:eastAsia="Times New Roman" w:hAnsi="Segoe UI" w:cs="Segoe UI"/>
          <w:color w:val="0F1115"/>
          <w:kern w:val="0"/>
          <w14:ligatures w14:val="none"/>
        </w:rPr>
        <w:lastRenderedPageBreak/>
        <w:t>addresses leave, not termination. Any procedural safeguards for termination would be found elsewhere.</w:t>
      </w:r>
    </w:p>
    <w:p w14:paraId="39F521B4"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309BAA0">
          <v:rect id="_x0000_i1081" style="width:0;height:.75pt" o:hralign="center" o:hrstd="t" o:hr="t" fillcolor="#a0a0a0" stroked="f"/>
        </w:pict>
      </w:r>
    </w:p>
    <w:p w14:paraId="0C1ADADF"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4: Absence of Time Limits for Decision-Making</w:t>
      </w:r>
    </w:p>
    <w:p w14:paraId="7D4B66BD"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Constitutional Assessment:</w:t>
      </w:r>
      <w:r w:rsidRPr="00AC42DF">
        <w:rPr>
          <w:rFonts w:ascii="Segoe UI" w:eastAsia="Times New Roman" w:hAnsi="Segoe UI" w:cs="Segoe UI"/>
          <w:color w:val="0F1115"/>
          <w:kern w:val="0"/>
          <w14:ligatures w14:val="none"/>
        </w:rPr>
        <w:t> This is a matter of administrative efficiency, not constitutional right. Unreasonable delay could be challenged through general administrative law, but the absence of a statutory deadline does not raise a constitutional issue.</w:t>
      </w:r>
    </w:p>
    <w:p w14:paraId="50B156AC"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47494A17">
          <v:rect id="_x0000_i1082" style="width:0;height:.75pt" o:hralign="center" o:hrstd="t" o:hr="t" fillcolor="#a0a0a0" stroked="f"/>
        </w:pict>
      </w:r>
    </w:p>
    <w:p w14:paraId="3E56E19F"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5: Absence of Safeguards in Seniority Determination</w:t>
      </w:r>
    </w:p>
    <w:p w14:paraId="261A6223"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Constitutional Assessment:</w:t>
      </w:r>
      <w:r w:rsidRPr="00AC42DF">
        <w:rPr>
          <w:rFonts w:ascii="Segoe UI" w:eastAsia="Times New Roman" w:hAnsi="Segoe UI" w:cs="Segoe UI"/>
          <w:color w:val="0F1115"/>
          <w:kern w:val="0"/>
          <w14:ligatures w14:val="none"/>
        </w:rPr>
        <w:t> The seniority formula is specific and objective. If an employee disputes the calculation, they can resort to administrative litigation. The absence of a specific challenge mechanism within this provision is not constitutionally problematic.</w:t>
      </w:r>
    </w:p>
    <w:p w14:paraId="5D33963B"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61AC3683">
          <v:rect id="_x0000_i1083" style="width:0;height:.75pt" o:hralign="center" o:hrstd="t" o:hr="t" fillcolor="#a0a0a0" stroked="f"/>
        </w:pict>
      </w:r>
    </w:p>
    <w:p w14:paraId="1F173425"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Omission 6: Absence of Notice of Four-Year Threshold</w:t>
      </w:r>
    </w:p>
    <w:p w14:paraId="583839B2"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Constitutional Assessment:</w:t>
      </w:r>
      <w:r w:rsidRPr="00AC42DF">
        <w:rPr>
          <w:rFonts w:ascii="Segoe UI" w:eastAsia="Times New Roman" w:hAnsi="Segoe UI" w:cs="Segoe UI"/>
          <w:color w:val="0F1115"/>
          <w:kern w:val="0"/>
          <w14:ligatures w14:val="none"/>
        </w:rPr>
        <w:t> This is a matter of administrative fairness, not constitutional right. Employees are presumed to know the law. However, if the employee is abroad and cannot reasonably be expected to track the four-year period, a court might find that fairness requires notice, but this is a policy matter, not a constitutional mandate.</w:t>
      </w:r>
    </w:p>
    <w:p w14:paraId="000A3BBB"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6B4177C">
          <v:rect id="_x0000_i1084" style="width:0;height:.75pt" o:hralign="center" o:hrstd="t" o:hr="t" fillcolor="#a0a0a0" stroked="f"/>
        </w:pict>
      </w:r>
    </w:p>
    <w:p w14:paraId="23A23526"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4. Legislative-Gap Classification</w:t>
      </w:r>
    </w:p>
    <w:p w14:paraId="20DDBFD6"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Classification: No Legislative Gap</w:t>
      </w:r>
    </w:p>
    <w:p w14:paraId="76152B5D"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Reasoning:</w:t>
      </w:r>
    </w:p>
    <w:p w14:paraId="252D7896" w14:textId="77777777" w:rsidR="00386AE3" w:rsidRPr="00AC42DF" w:rsidRDefault="00386AE3" w:rsidP="00386AE3">
      <w:pPr>
        <w:numPr>
          <w:ilvl w:val="0"/>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lastRenderedPageBreak/>
        <w:t>The provision is internally coherent.</w:t>
      </w:r>
      <w:r w:rsidRPr="00AC42DF">
        <w:rPr>
          <w:rFonts w:ascii="Segoe UI" w:eastAsia="Times New Roman" w:hAnsi="Segoe UI" w:cs="Segoe UI"/>
          <w:color w:val="0F1115"/>
          <w:kern w:val="0"/>
          <w14:ligatures w14:val="none"/>
        </w:rPr>
        <w:t> It establishes a clear mechanism for mandatory and discretionary unpaid leave, with specific rules on duration, promotion, and seniority.</w:t>
      </w:r>
    </w:p>
    <w:p w14:paraId="5C77D840" w14:textId="77777777" w:rsidR="00386AE3" w:rsidRPr="00AC42DF" w:rsidRDefault="00386AE3" w:rsidP="00386AE3">
      <w:pPr>
        <w:numPr>
          <w:ilvl w:val="0"/>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The alleged "termination gap" does not exist.</w:t>
      </w:r>
      <w:r w:rsidRPr="00AC42DF">
        <w:rPr>
          <w:rFonts w:ascii="Segoe UI" w:eastAsia="Times New Roman" w:hAnsi="Segoe UI" w:cs="Segoe UI"/>
          <w:color w:val="0F1115"/>
          <w:kern w:val="0"/>
          <w14:ligatures w14:val="none"/>
        </w:rPr>
        <w:t> Article (69) does not address termination of service. Termination would be governed by other provisions of the Civil Service Law or implementing regulations. The assumption that the provision "terminates service" without safeguards is factually incorrect.</w:t>
      </w:r>
    </w:p>
    <w:p w14:paraId="7CAFED35" w14:textId="77777777" w:rsidR="00386AE3" w:rsidRPr="00AC42DF" w:rsidRDefault="00386AE3" w:rsidP="00386AE3">
      <w:pPr>
        <w:numPr>
          <w:ilvl w:val="0"/>
          <w:numId w:val="90"/>
        </w:numPr>
        <w:shd w:val="clear" w:color="auto" w:fill="FFFFFF"/>
        <w:spacing w:before="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Procedural safeguards are not entirely absent.</w:t>
      </w:r>
      <w:r w:rsidRPr="00AC42DF">
        <w:rPr>
          <w:rFonts w:ascii="Segoe UI" w:eastAsia="Times New Roman" w:hAnsi="Segoe UI" w:cs="Segoe UI"/>
          <w:color w:val="0F1115"/>
          <w:kern w:val="0"/>
          <w14:ligatures w14:val="none"/>
        </w:rPr>
        <w:t> While the provision itself contains minimal procedural safeguards, the broader Egyptian administrative law framework provides:</w:t>
      </w:r>
    </w:p>
    <w:p w14:paraId="042C01EB"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right to challenge administrative decisions before the Administrative Court (part of the State Council).</w:t>
      </w:r>
    </w:p>
    <w:p w14:paraId="27524AFF"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requirement for administrative authorities to state reasons and act in good faith.</w:t>
      </w:r>
    </w:p>
    <w:p w14:paraId="1B13DC13"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General principles of due process recognized by Egyptian jurisprudence.</w:t>
      </w:r>
    </w:p>
    <w:p w14:paraId="63EE8AA9" w14:textId="77777777" w:rsidR="00386AE3" w:rsidRPr="00AC42DF" w:rsidRDefault="00386AE3" w:rsidP="00386AE3">
      <w:pPr>
        <w:numPr>
          <w:ilvl w:val="0"/>
          <w:numId w:val="90"/>
        </w:numPr>
        <w:shd w:val="clear" w:color="auto" w:fill="FFFFFF"/>
        <w:spacing w:before="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Legislative discretion.</w:t>
      </w:r>
      <w:r w:rsidRPr="00AC42DF">
        <w:rPr>
          <w:rFonts w:ascii="Segoe UI" w:eastAsia="Times New Roman" w:hAnsi="Segoe UI" w:cs="Segoe UI"/>
          <w:color w:val="0F1115"/>
          <w:kern w:val="0"/>
          <w14:ligatures w14:val="none"/>
        </w:rPr>
        <w:t> The legislature made deliberate policy choices to:</w:t>
      </w:r>
    </w:p>
    <w:p w14:paraId="514A535B"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Make spousal leave mandatory (a strong family protection policy).</w:t>
      </w:r>
    </w:p>
    <w:p w14:paraId="2B6C9B5B"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Allow discretionary leave with flexible criteria (to accommodate diverse circumstances).</w:t>
      </w:r>
    </w:p>
    <w:p w14:paraId="0090CEF9"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Impose promotion and seniority restrictions after four years (to prevent career disruption).</w:t>
      </w:r>
    </w:p>
    <w:p w14:paraId="4E60E2EC"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Leave procedural details to implementing rules (a common legislative technique).</w:t>
      </w:r>
    </w:p>
    <w:p w14:paraId="75EE67FA" w14:textId="77777777" w:rsidR="00386AE3" w:rsidRPr="00AC42DF" w:rsidRDefault="00386AE3" w:rsidP="00386AE3">
      <w:pPr>
        <w:numPr>
          <w:ilvl w:val="0"/>
          <w:numId w:val="90"/>
        </w:numPr>
        <w:shd w:val="clear" w:color="auto" w:fill="FFFFFF"/>
        <w:spacing w:before="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No constitutional violation.</w:t>
      </w:r>
      <w:r w:rsidRPr="00AC42DF">
        <w:rPr>
          <w:rFonts w:ascii="Segoe UI" w:eastAsia="Times New Roman" w:hAnsi="Segoe UI" w:cs="Segoe UI"/>
          <w:color w:val="0F1115"/>
          <w:kern w:val="0"/>
          <w14:ligatures w14:val="none"/>
        </w:rPr>
        <w:t> The provision does not infringe on constitutionally protected rights because:</w:t>
      </w:r>
    </w:p>
    <w:p w14:paraId="5617CADE"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It does not terminate employment.</w:t>
      </w:r>
    </w:p>
    <w:p w14:paraId="69CE99F6"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It provides a clear mechanism for leave that respects family unity (Paragraph 1).</w:t>
      </w:r>
    </w:p>
    <w:p w14:paraId="35F5611D"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Any adverse decision (denial of discretionary leave) is subject to judicial review.</w:t>
      </w:r>
    </w:p>
    <w:p w14:paraId="219B5AD9" w14:textId="77777777" w:rsidR="00386AE3" w:rsidRPr="00AC42DF" w:rsidRDefault="00386AE3" w:rsidP="00386AE3">
      <w:pPr>
        <w:numPr>
          <w:ilvl w:val="1"/>
          <w:numId w:val="90"/>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four-year consequences are foreseeable and rationally related to the legitimate objective of managing the public service.</w:t>
      </w:r>
    </w:p>
    <w:p w14:paraId="5FF8EAFB"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What this provision has is a legislative choice with minimal express procedural safeguards, not a legislative gap.</w:t>
      </w:r>
    </w:p>
    <w:p w14:paraId="6B5B8934"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65F5A5FE">
          <v:rect id="_x0000_i1085" style="width:0;height:.75pt" o:hralign="center" o:hrstd="t" o:hr="t" fillcolor="#a0a0a0" stroked="f"/>
        </w:pict>
      </w:r>
    </w:p>
    <w:p w14:paraId="31AB90EB"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5. Judicial-Review Perspective</w:t>
      </w:r>
    </w:p>
    <w:p w14:paraId="1DE3591F"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lastRenderedPageBreak/>
        <w:t>How the Constitutional Court Could Approach the Challenge</w:t>
      </w:r>
    </w:p>
    <w:p w14:paraId="35DEB442"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Assumption:</w:t>
      </w:r>
      <w:r w:rsidRPr="00AC42DF">
        <w:rPr>
          <w:rFonts w:ascii="Segoe UI" w:eastAsia="Times New Roman" w:hAnsi="Segoe UI" w:cs="Segoe UI"/>
          <w:color w:val="0F1115"/>
          <w:kern w:val="0"/>
          <w14:ligatures w14:val="none"/>
        </w:rPr>
        <w:t> The affected academic staff member challenges the constitutionality of Article (69) on the ground that it fails to provide adequate procedural safeguards before termination of service.</w:t>
      </w:r>
    </w:p>
    <w:p w14:paraId="3BB61215"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Procedural Prerequisites:</w:t>
      </w:r>
      <w:r w:rsidRPr="00AC42DF">
        <w:rPr>
          <w:rFonts w:ascii="Segoe UI" w:eastAsia="Times New Roman" w:hAnsi="Segoe UI" w:cs="Segoe UI"/>
          <w:color w:val="0F1115"/>
          <w:kern w:val="0"/>
          <w14:ligatures w14:val="none"/>
        </w:rPr>
        <w:t> The Constitutional Court would first consider:</w:t>
      </w:r>
    </w:p>
    <w:p w14:paraId="52E07BC1" w14:textId="77777777" w:rsidR="00386AE3" w:rsidRPr="00AC42DF" w:rsidRDefault="00386AE3" w:rsidP="00386AE3">
      <w:pPr>
        <w:numPr>
          <w:ilvl w:val="0"/>
          <w:numId w:val="9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Whether the challenged provision is a "law" within the meaning of the Constitution (it is, being a substantive provision of the Civil Service Law).</w:t>
      </w:r>
    </w:p>
    <w:p w14:paraId="08F889F0" w14:textId="77777777" w:rsidR="00386AE3" w:rsidRPr="00AC42DF" w:rsidRDefault="00386AE3" w:rsidP="00386AE3">
      <w:pPr>
        <w:numPr>
          <w:ilvl w:val="0"/>
          <w:numId w:val="9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Whether the claimant has standing (they must have been directly affected by the application of the provision).</w:t>
      </w:r>
    </w:p>
    <w:p w14:paraId="41D0621A" w14:textId="77777777" w:rsidR="00386AE3" w:rsidRPr="00AC42DF" w:rsidRDefault="00386AE3" w:rsidP="00386AE3">
      <w:pPr>
        <w:numPr>
          <w:ilvl w:val="0"/>
          <w:numId w:val="91"/>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Whether the provision is still in force (Law No. 47 of 1978 has been replaced by Law No. 81 of 2016, which may affect the challenge).</w:t>
      </w:r>
    </w:p>
    <w:p w14:paraId="725055D6"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Substantive Analysis:</w:t>
      </w:r>
    </w:p>
    <w:p w14:paraId="0EF9DD25"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Step 1: Interpretation of the Provision</w:t>
      </w:r>
    </w:p>
    <w:p w14:paraId="22A58539"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Court would first interpret Article (69) textually. It would note that:</w:t>
      </w:r>
    </w:p>
    <w:p w14:paraId="42F498B3" w14:textId="77777777" w:rsidR="00386AE3" w:rsidRPr="00AC42DF" w:rsidRDefault="00386AE3" w:rsidP="00386AE3">
      <w:pPr>
        <w:numPr>
          <w:ilvl w:val="0"/>
          <w:numId w:val="92"/>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provision regulates </w:t>
      </w:r>
      <w:r w:rsidRPr="00AC42DF">
        <w:rPr>
          <w:rFonts w:ascii="Segoe UI" w:eastAsia="Times New Roman" w:hAnsi="Segoe UI" w:cs="Segoe UI"/>
          <w:b/>
          <w:bCs/>
          <w:color w:val="0F1115"/>
          <w:kern w:val="0"/>
          <w14:ligatures w14:val="none"/>
        </w:rPr>
        <w:t>leave</w:t>
      </w:r>
      <w:r w:rsidRPr="00AC42DF">
        <w:rPr>
          <w:rFonts w:ascii="Segoe UI" w:eastAsia="Times New Roman" w:hAnsi="Segoe UI" w:cs="Segoe UI"/>
          <w:color w:val="0F1115"/>
          <w:kern w:val="0"/>
          <w14:ligatures w14:val="none"/>
        </w:rPr>
        <w:t>, not </w:t>
      </w:r>
      <w:r w:rsidRPr="00AC42DF">
        <w:rPr>
          <w:rFonts w:ascii="Segoe UI" w:eastAsia="Times New Roman" w:hAnsi="Segoe UI" w:cs="Segoe UI"/>
          <w:b/>
          <w:bCs/>
          <w:color w:val="0F1115"/>
          <w:kern w:val="0"/>
          <w14:ligatures w14:val="none"/>
        </w:rPr>
        <w:t>termination</w:t>
      </w:r>
      <w:r w:rsidRPr="00AC42DF">
        <w:rPr>
          <w:rFonts w:ascii="Segoe UI" w:eastAsia="Times New Roman" w:hAnsi="Segoe UI" w:cs="Segoe UI"/>
          <w:color w:val="0F1115"/>
          <w:kern w:val="0"/>
          <w14:ligatures w14:val="none"/>
        </w:rPr>
        <w:t>.</w:t>
      </w:r>
    </w:p>
    <w:p w14:paraId="3C92DF52" w14:textId="77777777" w:rsidR="00386AE3" w:rsidRPr="00AC42DF" w:rsidRDefault="00386AE3" w:rsidP="00386AE3">
      <w:pPr>
        <w:numPr>
          <w:ilvl w:val="0"/>
          <w:numId w:val="92"/>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word "termination" does not appear.</w:t>
      </w:r>
    </w:p>
    <w:p w14:paraId="698E33E3" w14:textId="77777777" w:rsidR="00386AE3" w:rsidRPr="00AC42DF" w:rsidRDefault="00386AE3" w:rsidP="00386AE3">
      <w:pPr>
        <w:numPr>
          <w:ilvl w:val="0"/>
          <w:numId w:val="92"/>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consequences of extended leave are promotion restrictions and seniority adjustments—not termination.</w:t>
      </w:r>
    </w:p>
    <w:p w14:paraId="0F698946" w14:textId="77777777" w:rsidR="00386AE3" w:rsidRPr="00AC42DF" w:rsidRDefault="00386AE3" w:rsidP="00386AE3">
      <w:pPr>
        <w:numPr>
          <w:ilvl w:val="0"/>
          <w:numId w:val="92"/>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provision does not authorize the administrative authority to dismiss or terminate the employee.</w:t>
      </w:r>
    </w:p>
    <w:p w14:paraId="5EC3F4EE"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Conclusion on interpretation:</w:t>
      </w:r>
      <w:r w:rsidRPr="00AC42DF">
        <w:rPr>
          <w:rFonts w:ascii="Segoe UI" w:eastAsia="Times New Roman" w:hAnsi="Segoe UI" w:cs="Segoe UI"/>
          <w:color w:val="0F1115"/>
          <w:kern w:val="0"/>
          <w14:ligatures w14:val="none"/>
        </w:rPr>
        <w:t> The provision, on its face, does not provide for termination. Therefore, the challenge based on "termination without safeguards" is misdirected.</w:t>
      </w:r>
    </w:p>
    <w:p w14:paraId="1E9838A3" w14:textId="77777777" w:rsidR="00386AE3" w:rsidRPr="008574FB" w:rsidRDefault="00386AE3" w:rsidP="008574FB">
      <w:pPr>
        <w:ind w:firstLine="0"/>
        <w:rPr>
          <w:rFonts w:asciiTheme="majorBidi" w:hAnsiTheme="majorBidi" w:cstheme="majorBidi"/>
          <w:b/>
          <w:bCs/>
        </w:rPr>
      </w:pPr>
      <w:r w:rsidRPr="008574FB">
        <w:rPr>
          <w:rFonts w:asciiTheme="majorBidi" w:hAnsiTheme="majorBidi" w:cstheme="majorBidi"/>
          <w:b/>
          <w:bCs/>
        </w:rPr>
        <w:t>Step 2: If the Court Finds an Implicit Termination Mechanism</w:t>
      </w:r>
    </w:p>
    <w:p w14:paraId="50C18773"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If the Court considers that the provision, in practice, leads to termination (e.g., if the employee cannot return due to family obligations and is considered to have abandoned the post, or if promotion restrictions effectively end their career), it would then analyze whether procedural safeguards are constitutionally required.</w:t>
      </w:r>
    </w:p>
    <w:p w14:paraId="2B76367F"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 Competing Constitutional Considerations:</w:t>
      </w:r>
    </w:p>
    <w:p w14:paraId="7115794E"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For the Claimant:</w:t>
      </w:r>
    </w:p>
    <w:p w14:paraId="5FDB9700" w14:textId="77777777" w:rsidR="00386AE3" w:rsidRPr="00AC42DF" w:rsidRDefault="00386AE3" w:rsidP="00386AE3">
      <w:pPr>
        <w:numPr>
          <w:ilvl w:val="0"/>
          <w:numId w:val="9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Right to employment (Article 13):</w:t>
      </w:r>
      <w:r w:rsidRPr="00AC42DF">
        <w:rPr>
          <w:rFonts w:ascii="Segoe UI" w:eastAsia="Times New Roman" w:hAnsi="Segoe UI" w:cs="Segoe UI"/>
          <w:color w:val="0F1115"/>
          <w:kern w:val="0"/>
          <w14:ligatures w14:val="none"/>
        </w:rPr>
        <w:t> Public employment is a right, and termination requires due process.</w:t>
      </w:r>
    </w:p>
    <w:p w14:paraId="063CC9F9" w14:textId="77777777" w:rsidR="00386AE3" w:rsidRPr="00AC42DF" w:rsidRDefault="00386AE3" w:rsidP="00386AE3">
      <w:pPr>
        <w:numPr>
          <w:ilvl w:val="0"/>
          <w:numId w:val="9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lastRenderedPageBreak/>
        <w:t>Right to a fair hearing:</w:t>
      </w:r>
      <w:r w:rsidRPr="00AC42DF">
        <w:rPr>
          <w:rFonts w:ascii="Segoe UI" w:eastAsia="Times New Roman" w:hAnsi="Segoe UI" w:cs="Segoe UI"/>
          <w:color w:val="0F1115"/>
          <w:kern w:val="0"/>
          <w14:ligatures w14:val="none"/>
        </w:rPr>
        <w:t> Before any adverse decision affecting status, the employee must be heard (Article 93).</w:t>
      </w:r>
    </w:p>
    <w:p w14:paraId="651D094E" w14:textId="77777777" w:rsidR="00386AE3" w:rsidRPr="00AC42DF" w:rsidRDefault="00386AE3" w:rsidP="00386AE3">
      <w:pPr>
        <w:numPr>
          <w:ilvl w:val="0"/>
          <w:numId w:val="9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Prohibition of arbitrary action:</w:t>
      </w:r>
      <w:r w:rsidRPr="00AC42DF">
        <w:rPr>
          <w:rFonts w:ascii="Segoe UI" w:eastAsia="Times New Roman" w:hAnsi="Segoe UI" w:cs="Segoe UI"/>
          <w:color w:val="0F1115"/>
          <w:kern w:val="0"/>
          <w14:ligatures w14:val="none"/>
        </w:rPr>
        <w:t> The state must act rationally and fairly (Articles 92, 13).</w:t>
      </w:r>
    </w:p>
    <w:p w14:paraId="25FAE9DA" w14:textId="77777777" w:rsidR="00386AE3" w:rsidRPr="00AC42DF" w:rsidRDefault="00386AE3" w:rsidP="00386AE3">
      <w:pPr>
        <w:numPr>
          <w:ilvl w:val="0"/>
          <w:numId w:val="93"/>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Right to family unity:</w:t>
      </w:r>
      <w:r w:rsidRPr="00AC42DF">
        <w:rPr>
          <w:rFonts w:ascii="Segoe UI" w:eastAsia="Times New Roman" w:hAnsi="Segoe UI" w:cs="Segoe UI"/>
          <w:color w:val="0F1115"/>
          <w:kern w:val="0"/>
          <w14:ligatures w14:val="none"/>
        </w:rPr>
        <w:t> The mandatory spousal leave (Paragraph 1) shows the legislature's recognition of the importance of family; the Court should protect employees who take such leave from being penalized.</w:t>
      </w:r>
    </w:p>
    <w:p w14:paraId="25EA14FB"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For the State:</w:t>
      </w:r>
    </w:p>
    <w:p w14:paraId="2033B149" w14:textId="77777777" w:rsidR="00386AE3" w:rsidRPr="00AC42DF" w:rsidRDefault="00386AE3" w:rsidP="00386AE3">
      <w:pPr>
        <w:numPr>
          <w:ilvl w:val="0"/>
          <w:numId w:val="94"/>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Legislative discretion:</w:t>
      </w:r>
      <w:r w:rsidRPr="00AC42DF">
        <w:rPr>
          <w:rFonts w:ascii="Segoe UI" w:eastAsia="Times New Roman" w:hAnsi="Segoe UI" w:cs="Segoe UI"/>
          <w:color w:val="0F1115"/>
          <w:kern w:val="0"/>
          <w14:ligatures w14:val="none"/>
        </w:rPr>
        <w:t> The legislature has broad authority to regulate public employment (Article 13).</w:t>
      </w:r>
    </w:p>
    <w:p w14:paraId="7A24F7A9" w14:textId="77777777" w:rsidR="00386AE3" w:rsidRPr="00AC42DF" w:rsidRDefault="00386AE3" w:rsidP="00386AE3">
      <w:pPr>
        <w:numPr>
          <w:ilvl w:val="0"/>
          <w:numId w:val="94"/>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Administrative necessity:</w:t>
      </w:r>
      <w:r w:rsidRPr="00AC42DF">
        <w:rPr>
          <w:rFonts w:ascii="Segoe UI" w:eastAsia="Times New Roman" w:hAnsi="Segoe UI" w:cs="Segoe UI"/>
          <w:color w:val="0F1115"/>
          <w:kern w:val="0"/>
          <w14:ligatures w14:val="none"/>
        </w:rPr>
        <w:t> The state must manage the public service efficiently, and restrictions on leave and promotion are legitimate tools.</w:t>
      </w:r>
    </w:p>
    <w:p w14:paraId="773E0CCC" w14:textId="77777777" w:rsidR="00386AE3" w:rsidRPr="00AC42DF" w:rsidRDefault="00386AE3" w:rsidP="00386AE3">
      <w:pPr>
        <w:numPr>
          <w:ilvl w:val="0"/>
          <w:numId w:val="94"/>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Procedural safeguards exist elsewhere:</w:t>
      </w:r>
      <w:r w:rsidRPr="00AC42DF">
        <w:rPr>
          <w:rFonts w:ascii="Segoe UI" w:eastAsia="Times New Roman" w:hAnsi="Segoe UI" w:cs="Segoe UI"/>
          <w:color w:val="0F1115"/>
          <w:kern w:val="0"/>
          <w14:ligatures w14:val="none"/>
        </w:rPr>
        <w:t> General administrative law and the Civil Service Law's other provisions contain termination procedures.</w:t>
      </w:r>
    </w:p>
    <w:p w14:paraId="227DD86F" w14:textId="77777777" w:rsidR="00386AE3" w:rsidRPr="00AC42DF" w:rsidRDefault="00386AE3" w:rsidP="00386AE3">
      <w:pPr>
        <w:numPr>
          <w:ilvl w:val="0"/>
          <w:numId w:val="94"/>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No right to leave:</w:t>
      </w:r>
      <w:r w:rsidRPr="00AC42DF">
        <w:rPr>
          <w:rFonts w:ascii="Segoe UI" w:eastAsia="Times New Roman" w:hAnsi="Segoe UI" w:cs="Segoe UI"/>
          <w:color w:val="0F1115"/>
          <w:kern w:val="0"/>
          <w14:ligatures w14:val="none"/>
        </w:rPr>
        <w:t> Unpaid leave is a statutory benefit, not a constitutional right; restrictions on it are permissible.</w:t>
      </w:r>
    </w:p>
    <w:p w14:paraId="50E4EA92"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B. The Legally Stronger Interpretation:</w:t>
      </w:r>
    </w:p>
    <w:p w14:paraId="7907D17B"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legally stronger interpretation is that </w:t>
      </w:r>
      <w:r w:rsidRPr="00AC42DF">
        <w:rPr>
          <w:rFonts w:ascii="Segoe UI" w:eastAsia="Times New Roman" w:hAnsi="Segoe UI" w:cs="Segoe UI"/>
          <w:b/>
          <w:bCs/>
          <w:color w:val="0F1115"/>
          <w:kern w:val="0"/>
          <w14:ligatures w14:val="none"/>
        </w:rPr>
        <w:t>Article (69) does not create a constitutional issue</w:t>
      </w:r>
      <w:r w:rsidRPr="00AC42DF">
        <w:rPr>
          <w:rFonts w:ascii="Segoe UI" w:eastAsia="Times New Roman" w:hAnsi="Segoe UI" w:cs="Segoe UI"/>
          <w:color w:val="0F1115"/>
          <w:kern w:val="0"/>
          <w14:ligatures w14:val="none"/>
        </w:rPr>
        <w:t> because:</w:t>
      </w:r>
    </w:p>
    <w:p w14:paraId="3BFC51D9" w14:textId="77777777" w:rsidR="00386AE3" w:rsidRPr="00AC42DF" w:rsidRDefault="00386AE3" w:rsidP="00386AE3">
      <w:pPr>
        <w:numPr>
          <w:ilvl w:val="0"/>
          <w:numId w:val="9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Textual clarity:</w:t>
      </w:r>
      <w:r w:rsidRPr="00AC42DF">
        <w:rPr>
          <w:rFonts w:ascii="Segoe UI" w:eastAsia="Times New Roman" w:hAnsi="Segoe UI" w:cs="Segoe UI"/>
          <w:color w:val="0F1115"/>
          <w:kern w:val="0"/>
          <w14:ligatures w14:val="none"/>
        </w:rPr>
        <w:t> The provision is clear and does not authorize termination. The Constitutional Court would not read into a provision what it does not say.</w:t>
      </w:r>
    </w:p>
    <w:p w14:paraId="59DCB68A" w14:textId="77777777" w:rsidR="00386AE3" w:rsidRPr="00AC42DF" w:rsidRDefault="00386AE3" w:rsidP="00386AE3">
      <w:pPr>
        <w:numPr>
          <w:ilvl w:val="0"/>
          <w:numId w:val="9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Systemic coherence:</w:t>
      </w:r>
      <w:r w:rsidRPr="00AC42DF">
        <w:rPr>
          <w:rFonts w:ascii="Segoe UI" w:eastAsia="Times New Roman" w:hAnsi="Segoe UI" w:cs="Segoe UI"/>
          <w:color w:val="0F1115"/>
          <w:kern w:val="0"/>
          <w14:ligatures w14:val="none"/>
        </w:rPr>
        <w:t> The Civil Service Law has separate provisions for termination. The Court would not require every provision to replicate termination procedures.</w:t>
      </w:r>
    </w:p>
    <w:p w14:paraId="0353BBA1" w14:textId="77777777" w:rsidR="00386AE3" w:rsidRPr="00AC42DF" w:rsidRDefault="00386AE3" w:rsidP="00386AE3">
      <w:pPr>
        <w:numPr>
          <w:ilvl w:val="0"/>
          <w:numId w:val="9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No fundamental right violated:</w:t>
      </w:r>
      <w:r w:rsidRPr="00AC42DF">
        <w:rPr>
          <w:rFonts w:ascii="Segoe UI" w:eastAsia="Times New Roman" w:hAnsi="Segoe UI" w:cs="Segoe UI"/>
          <w:color w:val="0F1115"/>
          <w:kern w:val="0"/>
          <w14:ligatures w14:val="none"/>
        </w:rPr>
        <w:t> Unpaid leave is a statutory benefit. The four-year consequences are foreseeable and rationally related to legitimate administrative objectives (preventing career disruption and ensuring merit-based promotion).</w:t>
      </w:r>
    </w:p>
    <w:p w14:paraId="3E51CDC1" w14:textId="77777777" w:rsidR="00386AE3" w:rsidRPr="00AC42DF" w:rsidRDefault="00386AE3" w:rsidP="00386AE3">
      <w:pPr>
        <w:numPr>
          <w:ilvl w:val="0"/>
          <w:numId w:val="9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Availability of judicial review:</w:t>
      </w:r>
      <w:r w:rsidRPr="00AC42DF">
        <w:rPr>
          <w:rFonts w:ascii="Segoe UI" w:eastAsia="Times New Roman" w:hAnsi="Segoe UI" w:cs="Segoe UI"/>
          <w:color w:val="0F1115"/>
          <w:kern w:val="0"/>
          <w14:ligatures w14:val="none"/>
        </w:rPr>
        <w:t> Denial of leave or adverse seniority determinations can be challenged in the Administrative Court. This provides procedural protection sufficient for constitutional purposes.</w:t>
      </w:r>
    </w:p>
    <w:p w14:paraId="634F3CC8" w14:textId="77777777" w:rsidR="00386AE3" w:rsidRPr="00AC42DF" w:rsidRDefault="00386AE3" w:rsidP="00386AE3">
      <w:pPr>
        <w:numPr>
          <w:ilvl w:val="0"/>
          <w:numId w:val="95"/>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Family protection recognized:</w:t>
      </w:r>
      <w:r w:rsidRPr="00AC42DF">
        <w:rPr>
          <w:rFonts w:ascii="Segoe UI" w:eastAsia="Times New Roman" w:hAnsi="Segoe UI" w:cs="Segoe UI"/>
          <w:color w:val="0F1115"/>
          <w:kern w:val="0"/>
          <w14:ligatures w14:val="none"/>
        </w:rPr>
        <w:t> Paragraph 1 protects family unity by making spousal leave mandatory. The discretionary track (Paragraph 2) does not undermine this.</w:t>
      </w:r>
    </w:p>
    <w:p w14:paraId="71DBA310"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C. Possible Outcome:</w:t>
      </w:r>
    </w:p>
    <w:p w14:paraId="120B97EC"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Constitutional Court would likely:</w:t>
      </w:r>
    </w:p>
    <w:p w14:paraId="61CFFCFE" w14:textId="77777777" w:rsidR="00386AE3" w:rsidRPr="00AC42DF" w:rsidRDefault="00386AE3" w:rsidP="00386AE3">
      <w:pPr>
        <w:numPr>
          <w:ilvl w:val="0"/>
          <w:numId w:val="96"/>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lastRenderedPageBreak/>
        <w:t>Dismiss the challenge on the ground that the challenged provision does not regulate termination.</w:t>
      </w:r>
    </w:p>
    <w:p w14:paraId="03298853" w14:textId="77777777" w:rsidR="00386AE3" w:rsidRPr="00AC42DF" w:rsidRDefault="00386AE3" w:rsidP="00386AE3">
      <w:pPr>
        <w:numPr>
          <w:ilvl w:val="0"/>
          <w:numId w:val="96"/>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Alternatively, hold that the provision is constitutional because it is clear, rationally related to legitimate objectives, and does not violate any fundamental right, especially given that general administrative law provides procedural safeguards.</w:t>
      </w:r>
    </w:p>
    <w:p w14:paraId="6B5F88C7"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Court would not hold the provision unconstitutional for failing to include termination procedures, because the premise of the challenge would be factually incorrect.</w:t>
      </w:r>
    </w:p>
    <w:p w14:paraId="4B0F3614"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1BEDF916">
          <v:rect id="_x0000_i1086" style="width:0;height:.75pt" o:hralign="center" o:hrstd="t" o:hr="t" fillcolor="#a0a0a0" stroked="f"/>
        </w:pict>
      </w:r>
    </w:p>
    <w:p w14:paraId="219A6A85"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6. Proposed Legislative Amendment</w:t>
      </w:r>
    </w:p>
    <w:p w14:paraId="3BF52E35"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No Amendment Is Legally Necessary</w:t>
      </w:r>
    </w:p>
    <w:p w14:paraId="47FA8271"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Explanation:</w:t>
      </w:r>
    </w:p>
    <w:p w14:paraId="706B050F"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Based on the analysis above, Article (69) of Law No. 47 of 1978 does not contain a material legislative gap or a constitutionally significant omission. The provision:</w:t>
      </w:r>
    </w:p>
    <w:p w14:paraId="54AE12C0" w14:textId="77777777" w:rsidR="00386AE3" w:rsidRPr="00AC42DF" w:rsidRDefault="00386AE3" w:rsidP="00386AE3">
      <w:pPr>
        <w:numPr>
          <w:ilvl w:val="0"/>
          <w:numId w:val="97"/>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Does not address termination of service;</w:t>
      </w:r>
    </w:p>
    <w:p w14:paraId="351224CB" w14:textId="77777777" w:rsidR="00386AE3" w:rsidRPr="00AC42DF" w:rsidRDefault="00386AE3" w:rsidP="00386AE3">
      <w:pPr>
        <w:numPr>
          <w:ilvl w:val="0"/>
          <w:numId w:val="97"/>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Provides a clear and coherent mechanism for granting unpaid leave;</w:t>
      </w:r>
    </w:p>
    <w:p w14:paraId="141A5FCF" w14:textId="77777777" w:rsidR="00386AE3" w:rsidRPr="00AC42DF" w:rsidRDefault="00386AE3" w:rsidP="00386AE3">
      <w:pPr>
        <w:numPr>
          <w:ilvl w:val="0"/>
          <w:numId w:val="97"/>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Leaves procedural details to implementing regulations and general administrative law; and</w:t>
      </w:r>
    </w:p>
    <w:p w14:paraId="52DA366E" w14:textId="77777777" w:rsidR="00386AE3" w:rsidRPr="00AC42DF" w:rsidRDefault="00386AE3" w:rsidP="00386AE3">
      <w:pPr>
        <w:numPr>
          <w:ilvl w:val="0"/>
          <w:numId w:val="97"/>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Does not violate any constitutional principle.</w:t>
      </w:r>
    </w:p>
    <w:p w14:paraId="1866F693"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However</w:t>
      </w:r>
      <w:r w:rsidRPr="00AC42DF">
        <w:rPr>
          <w:rFonts w:ascii="Segoe UI" w:eastAsia="Times New Roman" w:hAnsi="Segoe UI" w:cs="Segoe UI"/>
          <w:color w:val="0F1115"/>
          <w:kern w:val="0"/>
          <w14:ligatures w14:val="none"/>
        </w:rPr>
        <w:t>, if the legislature wishes to enhance procedural fairness and clarity, it could consider adding provisions to the implementing regulations (rather than amending the statutory text) to address:</w:t>
      </w:r>
    </w:p>
    <w:p w14:paraId="410E2C5C" w14:textId="77777777" w:rsidR="00386AE3" w:rsidRPr="00AC42DF" w:rsidRDefault="00386AE3" w:rsidP="00386AE3">
      <w:pPr>
        <w:numPr>
          <w:ilvl w:val="0"/>
          <w:numId w:val="9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Time limits for administrative decision-making;</w:t>
      </w:r>
    </w:p>
    <w:p w14:paraId="57C89FC9" w14:textId="77777777" w:rsidR="00386AE3" w:rsidRPr="00AC42DF" w:rsidRDefault="00386AE3" w:rsidP="00386AE3">
      <w:pPr>
        <w:numPr>
          <w:ilvl w:val="0"/>
          <w:numId w:val="9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requirement for written reasons for denial of discretionary leave;</w:t>
      </w:r>
    </w:p>
    <w:p w14:paraId="46A6BE1B" w14:textId="77777777" w:rsidR="00386AE3" w:rsidRPr="00AC42DF" w:rsidRDefault="00386AE3" w:rsidP="00386AE3">
      <w:pPr>
        <w:numPr>
          <w:ilvl w:val="0"/>
          <w:numId w:val="9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The right to appeal denial of leave to a higher administrative authority;</w:t>
      </w:r>
    </w:p>
    <w:p w14:paraId="05D7F4B8" w14:textId="77777777" w:rsidR="00386AE3" w:rsidRPr="00AC42DF" w:rsidRDefault="00386AE3" w:rsidP="00386AE3">
      <w:pPr>
        <w:numPr>
          <w:ilvl w:val="0"/>
          <w:numId w:val="98"/>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Notice to employees approaching the four-year threshold.</w:t>
      </w:r>
    </w:p>
    <w:p w14:paraId="48D3E154"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These are policy improvements, not constitutional necessities.</w:t>
      </w:r>
    </w:p>
    <w:p w14:paraId="03782CFC"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Nevertheless, if the legislature were to consider an amendment in the spirit of procedural fairness, the following could be proposed:</w:t>
      </w:r>
    </w:p>
    <w:p w14:paraId="34626E61"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1379857B">
          <v:rect id="_x0000_i1087" style="width:0;height:.75pt" o:hralign="center" o:hrstd="t" o:hr="t" fillcolor="#a0a0a0" stroked="f"/>
        </w:pict>
      </w:r>
    </w:p>
    <w:p w14:paraId="3F3146DF" w14:textId="77777777" w:rsidR="00386AE3" w:rsidRPr="00C55509" w:rsidRDefault="00386AE3" w:rsidP="00386AE3">
      <w:pPr>
        <w:ind w:firstLine="0"/>
        <w:jc w:val="both"/>
        <w:rPr>
          <w:rFonts w:asciiTheme="majorBidi" w:hAnsiTheme="majorBidi" w:cstheme="majorBidi"/>
          <w:b/>
          <w:bCs/>
          <w:sz w:val="30"/>
          <w:szCs w:val="30"/>
        </w:rPr>
      </w:pPr>
      <w:r w:rsidRPr="00C55509">
        <w:rPr>
          <w:rFonts w:asciiTheme="majorBidi" w:hAnsiTheme="majorBidi" w:cstheme="majorBidi"/>
          <w:b/>
          <w:bCs/>
          <w:sz w:val="30"/>
          <w:szCs w:val="30"/>
        </w:rPr>
        <w:lastRenderedPageBreak/>
        <w:t>Proposed Arabic Legislative Amendment (For Consideration Only)</w:t>
      </w:r>
    </w:p>
    <w:p w14:paraId="6078A55D"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Proposal:</w:t>
      </w:r>
      <w:r w:rsidRPr="00AC42DF">
        <w:rPr>
          <w:rFonts w:ascii="Segoe UI" w:eastAsia="Times New Roman" w:hAnsi="Segoe UI" w:cs="Segoe UI"/>
          <w:color w:val="0F1115"/>
          <w:kern w:val="0"/>
          <w14:ligatures w14:val="none"/>
        </w:rPr>
        <w:t> Add a new paragraph (3) to Article (69) to address procedural safeguards for discretionary leave decisions, without affecting the mandatory spousal leave mechanism or the substantive rules on promotion and seniority:</w:t>
      </w:r>
    </w:p>
    <w:p w14:paraId="0F6CBE26"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380273E9">
          <v:rect id="_x0000_i1088" style="width:0;height:.75pt" o:hralign="center" o:hrstd="t" o:hr="t" fillcolor="#a0a0a0" stroked="f"/>
        </w:pict>
      </w:r>
    </w:p>
    <w:p w14:paraId="59C777B8"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rtl/>
          <w14:ligatures w14:val="none"/>
        </w:rPr>
        <w:t>النص المقترح</w:t>
      </w:r>
      <w:r w:rsidRPr="00AC42DF">
        <w:rPr>
          <w:rFonts w:ascii="Segoe UI" w:eastAsia="Times New Roman" w:hAnsi="Segoe UI" w:cs="Segoe UI"/>
          <w:b/>
          <w:bCs/>
          <w:color w:val="0F1115"/>
          <w:kern w:val="0"/>
          <w14:ligatures w14:val="none"/>
        </w:rPr>
        <w:t>:</w:t>
      </w:r>
    </w:p>
    <w:p w14:paraId="5448A55C"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w:t>
      </w:r>
      <w:r w:rsidRPr="00AC42DF">
        <w:rPr>
          <w:rFonts w:ascii="Segoe UI" w:eastAsia="Times New Roman" w:hAnsi="Segoe UI" w:cs="Segoe UI"/>
          <w:color w:val="0F1115"/>
          <w:kern w:val="0"/>
          <w:rtl/>
          <w14:ligatures w14:val="none"/>
        </w:rPr>
        <w:t>تُصدر السلطة المختصة قرارها بخصوص الطلب المقدم وفقًا للبند (2) من هذه المادة خلال ثلاثين يومًا من تاريخ تقديم الطلب، مع بيان الأسباب الموجبة للقرار في حالة الرفض، ويجوز للعامل التظلم من قرار الرفض إلى لجنة التظلمات المختصة خلال خمسة عشر يومًا من تاريخ إخطاره بالقرار، وتفصل اللجنة في التظلم خلال ستين يومًا من تاريخ تقديمه، مع مراعاة أحكام قانون مجلس الدولة بشأن الطعن في القرارات الإدارية</w:t>
      </w:r>
      <w:r w:rsidRPr="00AC42DF">
        <w:rPr>
          <w:rFonts w:ascii="Segoe UI" w:eastAsia="Times New Roman" w:hAnsi="Segoe UI" w:cs="Segoe UI"/>
          <w:color w:val="0F1115"/>
          <w:kern w:val="0"/>
          <w14:ligatures w14:val="none"/>
        </w:rPr>
        <w:t>."</w:t>
      </w:r>
    </w:p>
    <w:p w14:paraId="01FC9A42"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Translation:</w:t>
      </w:r>
      <w:r w:rsidRPr="00AC42DF">
        <w:rPr>
          <w:rFonts w:ascii="Segoe UI" w:eastAsia="Times New Roman" w:hAnsi="Segoe UI" w:cs="Segoe UI"/>
          <w:color w:val="0F1115"/>
          <w:kern w:val="0"/>
          <w14:ligatures w14:val="none"/>
        </w:rPr>
        <w:t> "The competent authority shall issue its decision regarding the request submitted under paragraph (2) of this article within thirty days from the date of submission, stating the reasons for the decision in case of refusal. The employee may appeal the refusal decision to the competent Grievances Committee within fifteen days from the date of notification of the decision, and the committee shall decide on the grievance within sixty days from the date of its submission, without prejudice to the provisions of the State Council Law regarding appeals against administrative decisions."</w:t>
      </w:r>
    </w:p>
    <w:p w14:paraId="52B695AA"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51257C46">
          <v:rect id="_x0000_i1089" style="width:0;height:.75pt" o:hralign="center" o:hrstd="t" o:hr="t" fillcolor="#a0a0a0" stroked="f"/>
        </w:pict>
      </w:r>
    </w:p>
    <w:p w14:paraId="419883BC"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Important Caveat:</w:t>
      </w:r>
      <w:r w:rsidRPr="00AC42DF">
        <w:rPr>
          <w:rFonts w:ascii="Segoe UI" w:eastAsia="Times New Roman" w:hAnsi="Segoe UI" w:cs="Segoe UI"/>
          <w:color w:val="0F1115"/>
          <w:kern w:val="0"/>
          <w14:ligatures w14:val="none"/>
        </w:rPr>
        <w:t> This proposed amendment is offered </w:t>
      </w:r>
      <w:r w:rsidRPr="00AC42DF">
        <w:rPr>
          <w:rFonts w:ascii="Segoe UI" w:eastAsia="Times New Roman" w:hAnsi="Segoe UI" w:cs="Segoe UI"/>
          <w:b/>
          <w:bCs/>
          <w:color w:val="0F1115"/>
          <w:kern w:val="0"/>
          <w14:ligatures w14:val="none"/>
        </w:rPr>
        <w:t>only as a policy suggestion</w:t>
      </w:r>
      <w:r w:rsidRPr="00AC42DF">
        <w:rPr>
          <w:rFonts w:ascii="Segoe UI" w:eastAsia="Times New Roman" w:hAnsi="Segoe UI" w:cs="Segoe UI"/>
          <w:color w:val="0F1115"/>
          <w:kern w:val="0"/>
          <w14:ligatures w14:val="none"/>
        </w:rPr>
        <w:t> to enhance procedural fairness. It does not address a constitutional defect, as none exists. The decision to adopt it is a matter of legislative policy, not constitutional necessity.</w:t>
      </w:r>
    </w:p>
    <w:p w14:paraId="1302A023"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61D5FF9">
          <v:rect id="_x0000_i1090" style="width:0;height:.75pt" o:hralign="center" o:hrstd="t" o:hr="t" fillcolor="#a0a0a0" stroked="f"/>
        </w:pict>
      </w:r>
    </w:p>
    <w:p w14:paraId="66C61436"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7. Confidence and Limitations</w:t>
      </w:r>
    </w:p>
    <w:p w14:paraId="58024FFB"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Overall Conclusion</w:t>
      </w:r>
    </w:p>
    <w:p w14:paraId="6BC32D64"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color w:val="0F1115"/>
          <w:kern w:val="0"/>
          <w14:ligatures w14:val="none"/>
        </w:rPr>
        <w:t xml:space="preserve">Article (69) of the Civil Service Law No. 47 of 1978 does not contain a material legislative gap or constitutionally significant omission. The provision regulates unpaid leave, not termination of service. Any concern about procedural safeguards </w:t>
      </w:r>
      <w:r w:rsidRPr="00AC42DF">
        <w:rPr>
          <w:rFonts w:ascii="Segoe UI" w:eastAsia="Times New Roman" w:hAnsi="Segoe UI" w:cs="Segoe UI"/>
          <w:color w:val="0F1115"/>
          <w:kern w:val="0"/>
          <w14:ligatures w14:val="none"/>
        </w:rPr>
        <w:lastRenderedPageBreak/>
        <w:t>before termination is misdirected, as termination would be governed by separate provisions of the Civil Service Law. The absence of detailed procedural safeguards within Article (69) reflects deliberate legislative policy choices and is consistent with Egyptian administrative law principles that allow delegation to implementing regulations and general judicial review mechanisms.</w:t>
      </w:r>
    </w:p>
    <w:p w14:paraId="39B15408"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Strongest Argument Supporting This Conclusion</w:t>
      </w:r>
    </w:p>
    <w:p w14:paraId="62F196BD"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The provision is internally coherent and does what it says:</w:t>
      </w:r>
      <w:r w:rsidRPr="00AC42DF">
        <w:rPr>
          <w:rFonts w:ascii="Segoe UI" w:eastAsia="Times New Roman" w:hAnsi="Segoe UI" w:cs="Segoe UI"/>
          <w:color w:val="0F1115"/>
          <w:kern w:val="0"/>
          <w14:ligatures w14:val="none"/>
        </w:rPr>
        <w:t> It establishes a clear mechanism for mandatory and discretionary unpaid leave, with specific rules on duration, promotion restrictions, and seniority calculation. It does not address termination, so the alleged omission of termination safeguards is not an omission at all—it is simply outside the scope of the provision. The legislature cannot be expected to embed termination procedures in every provision that might indirectly affect an employee's career. Those procedures exist elsewhere in the legal system.</w:t>
      </w:r>
    </w:p>
    <w:p w14:paraId="6930B6B6"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Strongest Argument Against This Conclusion</w:t>
      </w:r>
    </w:p>
    <w:p w14:paraId="0CDE4D18"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Practical effect may be de facto termination:</w:t>
      </w:r>
      <w:r w:rsidRPr="00AC42DF">
        <w:rPr>
          <w:rFonts w:ascii="Segoe UI" w:eastAsia="Times New Roman" w:hAnsi="Segoe UI" w:cs="Segoe UI"/>
          <w:color w:val="0F1115"/>
          <w:kern w:val="0"/>
          <w14:ligatures w14:val="none"/>
        </w:rPr>
        <w:t> If an employee takes extended leave beyond four years and the promotion restrictions effectively block their career advancement, or if the administrative authority treats the leave as abandonment of the post, the employee could face de facto termination without the procedural safeguards that would apply to formal termination. The absence of explicit safeguards in Article (69) could create a procedural gap when combined with other provisions that do provide for termination, particularly if the legal relationship between leave and termination is unclear.</w:t>
      </w:r>
    </w:p>
    <w:p w14:paraId="4740578D"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Uncertainties</w:t>
      </w:r>
    </w:p>
    <w:p w14:paraId="0A6BA128" w14:textId="77777777" w:rsidR="00386AE3" w:rsidRPr="00AC42DF" w:rsidRDefault="00386AE3" w:rsidP="00386AE3">
      <w:pPr>
        <w:numPr>
          <w:ilvl w:val="0"/>
          <w:numId w:val="9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Absence of legislative history:</w:t>
      </w:r>
      <w:r w:rsidRPr="00AC42DF">
        <w:rPr>
          <w:rFonts w:ascii="Segoe UI" w:eastAsia="Times New Roman" w:hAnsi="Segoe UI" w:cs="Segoe UI"/>
          <w:color w:val="0F1115"/>
          <w:kern w:val="0"/>
          <w14:ligatures w14:val="none"/>
        </w:rPr>
        <w:t xml:space="preserve"> The analysis lacks access to the travaux </w:t>
      </w:r>
      <w:proofErr w:type="spellStart"/>
      <w:r w:rsidRPr="00AC42DF">
        <w:rPr>
          <w:rFonts w:ascii="Segoe UI" w:eastAsia="Times New Roman" w:hAnsi="Segoe UI" w:cs="Segoe UI"/>
          <w:color w:val="0F1115"/>
          <w:kern w:val="0"/>
          <w14:ligatures w14:val="none"/>
        </w:rPr>
        <w:t>préparatoires</w:t>
      </w:r>
      <w:proofErr w:type="spellEnd"/>
      <w:r w:rsidRPr="00AC42DF">
        <w:rPr>
          <w:rFonts w:ascii="Segoe UI" w:eastAsia="Times New Roman" w:hAnsi="Segoe UI" w:cs="Segoe UI"/>
          <w:color w:val="0F1115"/>
          <w:kern w:val="0"/>
          <w14:ligatures w14:val="none"/>
        </w:rPr>
        <w:t xml:space="preserve"> of Law No. 47 of 1978, which would reveal whether the legislature contemplated the interaction between Article (69) and termination provisions.</w:t>
      </w:r>
    </w:p>
    <w:p w14:paraId="5E122258" w14:textId="77777777" w:rsidR="00386AE3" w:rsidRPr="00AC42DF" w:rsidRDefault="00386AE3" w:rsidP="00386AE3">
      <w:pPr>
        <w:numPr>
          <w:ilvl w:val="0"/>
          <w:numId w:val="9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Absence of judicial authorities:</w:t>
      </w:r>
      <w:r w:rsidRPr="00AC42DF">
        <w:rPr>
          <w:rFonts w:ascii="Segoe UI" w:eastAsia="Times New Roman" w:hAnsi="Segoe UI" w:cs="Segoe UI"/>
          <w:color w:val="0F1115"/>
          <w:kern w:val="0"/>
          <w14:ligatures w14:val="none"/>
        </w:rPr>
        <w:t> No specific judicial decisions from the Egyptian Constitutional Court or the Supreme Administrative Court addressing Article (69) have been identified. Judicial interpretation of the provision, particularly regarding whether extended leave can lead to termination, would clarify the legal landscape.</w:t>
      </w:r>
    </w:p>
    <w:p w14:paraId="78BC6740" w14:textId="77777777" w:rsidR="00386AE3" w:rsidRPr="00AC42DF" w:rsidRDefault="00386AE3" w:rsidP="00386AE3">
      <w:pPr>
        <w:numPr>
          <w:ilvl w:val="0"/>
          <w:numId w:val="9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Replacement by Law No. 81 of 2016:</w:t>
      </w:r>
      <w:r w:rsidRPr="00AC42DF">
        <w:rPr>
          <w:rFonts w:ascii="Segoe UI" w:eastAsia="Times New Roman" w:hAnsi="Segoe UI" w:cs="Segoe UI"/>
          <w:color w:val="0F1115"/>
          <w:kern w:val="0"/>
          <w14:ligatures w14:val="none"/>
        </w:rPr>
        <w:t> Law No. 47 of 1978 has been repealed and replaced by the Civil Service Law No. 81 of 2016. While the analysis focuses on the historical text, the current legal regime may contain different provisions. The challenge in practice would arise under the current law, not the repealed law.</w:t>
      </w:r>
    </w:p>
    <w:p w14:paraId="6ED207EB" w14:textId="77777777" w:rsidR="00386AE3" w:rsidRPr="00AC42DF" w:rsidRDefault="00386AE3" w:rsidP="00386AE3">
      <w:pPr>
        <w:numPr>
          <w:ilvl w:val="0"/>
          <w:numId w:val="9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lastRenderedPageBreak/>
        <w:t>Interaction with other provisions:</w:t>
      </w:r>
      <w:r w:rsidRPr="00AC42DF">
        <w:rPr>
          <w:rFonts w:ascii="Segoe UI" w:eastAsia="Times New Roman" w:hAnsi="Segoe UI" w:cs="Segoe UI"/>
          <w:color w:val="0F1115"/>
          <w:kern w:val="0"/>
          <w14:ligatures w14:val="none"/>
        </w:rPr>
        <w:t> The analysis assumes that general termination procedures exist elsewhere in the Civil Service Law. Without examining those provisions in detail (e.g., provisions on disciplinary dismissal, abandonment of post, or termination due to absence), it is difficult to conclusively assess whether a gap exists in the overall scheme.</w:t>
      </w:r>
    </w:p>
    <w:p w14:paraId="0A86C460" w14:textId="77777777" w:rsidR="00386AE3" w:rsidRPr="00AC42DF" w:rsidRDefault="00386AE3" w:rsidP="00386AE3">
      <w:pPr>
        <w:numPr>
          <w:ilvl w:val="0"/>
          <w:numId w:val="99"/>
        </w:numPr>
        <w:shd w:val="clear" w:color="auto" w:fill="FFFFFF"/>
        <w:spacing w:before="0" w:after="0" w:line="240" w:lineRule="auto"/>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Implementing regulations:</w:t>
      </w:r>
      <w:r w:rsidRPr="00AC42DF">
        <w:rPr>
          <w:rFonts w:ascii="Segoe UI" w:eastAsia="Times New Roman" w:hAnsi="Segoe UI" w:cs="Segoe UI"/>
          <w:color w:val="0F1115"/>
          <w:kern w:val="0"/>
          <w14:ligatures w14:val="none"/>
        </w:rPr>
        <w:t> The phrase "</w:t>
      </w:r>
      <w:r w:rsidRPr="00AC42DF">
        <w:rPr>
          <w:rFonts w:ascii="Segoe UI" w:eastAsia="Times New Roman" w:hAnsi="Segoe UI" w:cs="Segoe UI"/>
          <w:color w:val="0F1115"/>
          <w:kern w:val="0"/>
          <w:rtl/>
          <w14:ligatures w14:val="none"/>
        </w:rPr>
        <w:t>وفقًا للقواعد التي تتبعها</w:t>
      </w:r>
      <w:r w:rsidRPr="00AC42DF">
        <w:rPr>
          <w:rFonts w:ascii="Segoe UI" w:eastAsia="Times New Roman" w:hAnsi="Segoe UI" w:cs="Segoe UI"/>
          <w:color w:val="0F1115"/>
          <w:kern w:val="0"/>
          <w14:ligatures w14:val="none"/>
        </w:rPr>
        <w:t>" suggests the existence of internal rules that may contain procedural safeguards. Without access to these rules, the analysis is limited to the statutory text.</w:t>
      </w:r>
    </w:p>
    <w:p w14:paraId="6F28500B" w14:textId="77777777" w:rsidR="00386AE3" w:rsidRPr="00AC42DF"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These uncertainties reinforce the conclusion that no constitutionally significant omission exists within Article (69) itself,</w:t>
      </w:r>
      <w:r w:rsidRPr="00AC42DF">
        <w:rPr>
          <w:rFonts w:ascii="Segoe UI" w:eastAsia="Times New Roman" w:hAnsi="Segoe UI" w:cs="Segoe UI"/>
          <w:color w:val="0F1115"/>
          <w:kern w:val="0"/>
          <w14:ligatures w14:val="none"/>
        </w:rPr>
        <w:t> as the alleged gap depends on external factors (other laws, regulations, and judicial interpretation) that are not part of the provision's text.</w:t>
      </w:r>
    </w:p>
    <w:p w14:paraId="7893A689" w14:textId="77777777" w:rsidR="00386AE3" w:rsidRPr="00AC42DF"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4FF7A56E">
          <v:rect id="_x0000_i1091" style="width:0;height:.75pt" o:hralign="center" o:hrstd="t" o:hr="t" fillcolor="#a0a0a0" stroked="f"/>
        </w:pict>
      </w:r>
    </w:p>
    <w:p w14:paraId="5368CF61" w14:textId="77777777" w:rsidR="00386AE3" w:rsidRPr="00AC42DF" w:rsidRDefault="00386AE3" w:rsidP="00386AE3">
      <w:pPr>
        <w:shd w:val="clear" w:color="auto" w:fill="FFFFFF"/>
        <w:spacing w:before="240" w:after="0" w:line="240" w:lineRule="auto"/>
        <w:ind w:firstLine="0"/>
        <w:rPr>
          <w:rFonts w:ascii="Segoe UI" w:eastAsia="Times New Roman" w:hAnsi="Segoe UI" w:cs="Segoe UI"/>
          <w:color w:val="0F1115"/>
          <w:kern w:val="0"/>
          <w14:ligatures w14:val="none"/>
        </w:rPr>
      </w:pPr>
      <w:r w:rsidRPr="00AC42DF">
        <w:rPr>
          <w:rFonts w:ascii="Segoe UI" w:eastAsia="Times New Roman" w:hAnsi="Segoe UI" w:cs="Segoe UI"/>
          <w:b/>
          <w:bCs/>
          <w:color w:val="0F1115"/>
          <w:kern w:val="0"/>
          <w14:ligatures w14:val="none"/>
        </w:rPr>
        <w:t>Final Assessment:</w:t>
      </w:r>
      <w:r w:rsidRPr="00AC42DF">
        <w:rPr>
          <w:rFonts w:ascii="Segoe UI" w:eastAsia="Times New Roman" w:hAnsi="Segoe UI" w:cs="Segoe UI"/>
          <w:color w:val="0F1115"/>
          <w:kern w:val="0"/>
          <w14:ligatures w14:val="none"/>
        </w:rPr>
        <w:t> The provision is constitutionally sound and does not require amendment for constitutional reasons. Any concerns about procedural fairness are best addressed through implementing regulations or general administrative law, not through constitutional litigation challenging this specific provision.</w:t>
      </w:r>
    </w:p>
    <w:p w14:paraId="76E88E95" w14:textId="77777777" w:rsidR="00386AE3" w:rsidRPr="00F54F42" w:rsidRDefault="00386AE3" w:rsidP="00386AE3">
      <w:pPr>
        <w:ind w:firstLine="0"/>
        <w:jc w:val="both"/>
        <w:rPr>
          <w:rtl/>
          <w:lang w:bidi="ar-EG"/>
        </w:rPr>
      </w:pPr>
    </w:p>
    <w:p w14:paraId="52B2DBDF" w14:textId="77777777" w:rsidR="00386AE3" w:rsidRDefault="00386AE3" w:rsidP="00386AE3">
      <w:pPr>
        <w:bidi/>
        <w:jc w:val="both"/>
        <w:rPr>
          <w:lang w:bidi="ar-EG"/>
        </w:rPr>
      </w:pPr>
      <w:r>
        <w:rPr>
          <w:lang w:bidi="ar-EG"/>
        </w:rPr>
        <w:br w:type="page"/>
      </w:r>
    </w:p>
    <w:p w14:paraId="32A9C9A9" w14:textId="77777777" w:rsidR="00386AE3" w:rsidRDefault="00386AE3" w:rsidP="00386AE3">
      <w:pPr>
        <w:bidi/>
        <w:ind w:firstLine="0"/>
        <w:jc w:val="both"/>
        <w:rPr>
          <w:rtl/>
          <w:lang w:bidi="ar-EG"/>
        </w:rPr>
      </w:pPr>
    </w:p>
    <w:p w14:paraId="36AA3575" w14:textId="77777777" w:rsidR="00386AE3" w:rsidRDefault="00386AE3" w:rsidP="00386AE3">
      <w:pPr>
        <w:bidi/>
        <w:ind w:firstLine="0"/>
        <w:jc w:val="both"/>
        <w:rPr>
          <w:rtl/>
          <w:lang w:bidi="ar-EG"/>
        </w:rPr>
      </w:pPr>
    </w:p>
    <w:p w14:paraId="3AD193E9" w14:textId="77777777" w:rsidR="00386AE3" w:rsidRDefault="00386AE3" w:rsidP="00386AE3">
      <w:pPr>
        <w:bidi/>
        <w:ind w:firstLine="0"/>
        <w:jc w:val="both"/>
        <w:rPr>
          <w:rtl/>
          <w:lang w:bidi="ar-EG"/>
        </w:rPr>
      </w:pPr>
    </w:p>
    <w:p w14:paraId="15241349" w14:textId="77777777" w:rsidR="00386AE3" w:rsidRDefault="00386AE3" w:rsidP="00386AE3">
      <w:pPr>
        <w:bidi/>
        <w:ind w:firstLine="0"/>
        <w:jc w:val="both"/>
        <w:rPr>
          <w:rtl/>
          <w:lang w:bidi="ar-EG"/>
        </w:rPr>
      </w:pPr>
    </w:p>
    <w:p w14:paraId="24048F7E" w14:textId="77777777" w:rsidR="00386AE3" w:rsidRDefault="00386AE3" w:rsidP="00386AE3">
      <w:pPr>
        <w:bidi/>
        <w:ind w:firstLine="0"/>
        <w:jc w:val="both"/>
        <w:rPr>
          <w:rtl/>
          <w:lang w:bidi="ar-EG"/>
        </w:rPr>
      </w:pPr>
    </w:p>
    <w:p w14:paraId="5E01A28C" w14:textId="77777777" w:rsidR="00386AE3" w:rsidRDefault="00386AE3" w:rsidP="00386AE3">
      <w:pPr>
        <w:bidi/>
        <w:ind w:firstLine="0"/>
        <w:jc w:val="both"/>
        <w:rPr>
          <w:rtl/>
          <w:lang w:bidi="ar-EG"/>
        </w:rPr>
      </w:pPr>
    </w:p>
    <w:p w14:paraId="7FC5C386" w14:textId="77777777" w:rsidR="00386AE3" w:rsidRDefault="00386AE3" w:rsidP="00386AE3">
      <w:pPr>
        <w:bidi/>
        <w:ind w:firstLine="0"/>
        <w:jc w:val="both"/>
        <w:rPr>
          <w:rtl/>
          <w:lang w:bidi="ar-EG"/>
        </w:rPr>
      </w:pPr>
    </w:p>
    <w:p w14:paraId="60EAF6BF" w14:textId="77777777" w:rsidR="00386AE3" w:rsidRDefault="00386AE3" w:rsidP="00386AE3">
      <w:pPr>
        <w:bidi/>
        <w:ind w:firstLine="0"/>
        <w:jc w:val="both"/>
        <w:rPr>
          <w:rtl/>
          <w:lang w:bidi="ar-EG"/>
        </w:rPr>
      </w:pPr>
    </w:p>
    <w:p w14:paraId="3108DC06" w14:textId="77777777" w:rsidR="00386AE3" w:rsidRDefault="00386AE3" w:rsidP="00386AE3">
      <w:pPr>
        <w:bidi/>
        <w:ind w:firstLine="0"/>
        <w:jc w:val="both"/>
        <w:rPr>
          <w:rtl/>
        </w:rPr>
      </w:pPr>
    </w:p>
    <w:p w14:paraId="3BED9577" w14:textId="77777777" w:rsidR="00386AE3" w:rsidRPr="003078DA" w:rsidRDefault="00386AE3" w:rsidP="00386AE3">
      <w:pPr>
        <w:pStyle w:val="1"/>
        <w:rPr>
          <w:lang w:bidi="ar-EG"/>
        </w:rPr>
      </w:pPr>
      <w:r w:rsidRPr="003078DA">
        <w:t>Case study I</w:t>
      </w:r>
      <w:r>
        <w:rPr>
          <w:lang w:bidi="ar-EG"/>
        </w:rPr>
        <w:t>V</w:t>
      </w:r>
    </w:p>
    <w:p w14:paraId="248BD46B" w14:textId="77777777" w:rsidR="00386AE3" w:rsidRDefault="00386AE3" w:rsidP="00386AE3">
      <w:pPr>
        <w:bidi/>
        <w:ind w:firstLine="0"/>
        <w:jc w:val="both"/>
        <w:rPr>
          <w:rtl/>
          <w:lang w:bidi="ar-EG"/>
        </w:rPr>
      </w:pPr>
    </w:p>
    <w:p w14:paraId="2360CCB6" w14:textId="77777777" w:rsidR="00386AE3" w:rsidRDefault="00386AE3" w:rsidP="00386AE3">
      <w:pPr>
        <w:bidi/>
        <w:ind w:firstLine="0"/>
        <w:jc w:val="both"/>
        <w:rPr>
          <w:rtl/>
          <w:lang w:bidi="ar-EG"/>
        </w:rPr>
      </w:pPr>
    </w:p>
    <w:p w14:paraId="539A32AA" w14:textId="77777777" w:rsidR="00386AE3" w:rsidRDefault="00386AE3" w:rsidP="00386AE3">
      <w:pPr>
        <w:bidi/>
        <w:ind w:firstLine="0"/>
        <w:jc w:val="both"/>
        <w:rPr>
          <w:rtl/>
          <w:lang w:bidi="ar-EG"/>
        </w:rPr>
      </w:pPr>
    </w:p>
    <w:p w14:paraId="5D9687B6" w14:textId="77777777" w:rsidR="00386AE3" w:rsidRDefault="00386AE3" w:rsidP="00386AE3">
      <w:pPr>
        <w:bidi/>
        <w:ind w:firstLine="0"/>
        <w:jc w:val="both"/>
        <w:rPr>
          <w:rtl/>
          <w:lang w:bidi="ar-EG"/>
        </w:rPr>
      </w:pPr>
    </w:p>
    <w:p w14:paraId="72E136CB" w14:textId="77777777" w:rsidR="00386AE3" w:rsidRDefault="00386AE3" w:rsidP="00386AE3">
      <w:pPr>
        <w:bidi/>
        <w:ind w:firstLine="0"/>
        <w:jc w:val="both"/>
        <w:rPr>
          <w:rtl/>
          <w:lang w:bidi="ar-EG"/>
        </w:rPr>
      </w:pPr>
    </w:p>
    <w:p w14:paraId="44FFF63E" w14:textId="77777777" w:rsidR="00386AE3" w:rsidRDefault="00386AE3" w:rsidP="00386AE3">
      <w:pPr>
        <w:bidi/>
        <w:ind w:firstLine="0"/>
        <w:jc w:val="both"/>
        <w:rPr>
          <w:rtl/>
          <w:lang w:bidi="ar-EG"/>
        </w:rPr>
      </w:pPr>
    </w:p>
    <w:p w14:paraId="2A9682F7" w14:textId="77777777" w:rsidR="00386AE3" w:rsidRDefault="00386AE3" w:rsidP="00386AE3">
      <w:pPr>
        <w:bidi/>
        <w:ind w:firstLine="0"/>
        <w:jc w:val="both"/>
        <w:rPr>
          <w:rtl/>
          <w:lang w:bidi="ar-EG"/>
        </w:rPr>
      </w:pPr>
    </w:p>
    <w:p w14:paraId="6B2AFA6C" w14:textId="77777777" w:rsidR="00386AE3" w:rsidRDefault="00386AE3" w:rsidP="00386AE3">
      <w:pPr>
        <w:bidi/>
        <w:ind w:firstLine="0"/>
        <w:jc w:val="both"/>
        <w:rPr>
          <w:rtl/>
          <w:lang w:bidi="ar-EG"/>
        </w:rPr>
      </w:pPr>
    </w:p>
    <w:p w14:paraId="6AD5E004" w14:textId="77777777" w:rsidR="00386AE3" w:rsidRDefault="00386AE3" w:rsidP="00386AE3">
      <w:pPr>
        <w:bidi/>
        <w:ind w:firstLine="0"/>
        <w:jc w:val="both"/>
        <w:rPr>
          <w:rtl/>
          <w:lang w:bidi="ar-EG"/>
        </w:rPr>
      </w:pPr>
    </w:p>
    <w:p w14:paraId="29FFF11E" w14:textId="77777777" w:rsidR="00386AE3" w:rsidRDefault="00386AE3" w:rsidP="00386AE3">
      <w:pPr>
        <w:bidi/>
        <w:ind w:firstLine="0"/>
        <w:jc w:val="both"/>
        <w:rPr>
          <w:rtl/>
          <w:lang w:bidi="ar-EG"/>
        </w:rPr>
      </w:pPr>
    </w:p>
    <w:p w14:paraId="5AD1C285" w14:textId="77777777" w:rsidR="00386AE3" w:rsidRDefault="00386AE3" w:rsidP="00386AE3">
      <w:pPr>
        <w:bidi/>
        <w:ind w:firstLine="0"/>
        <w:jc w:val="both"/>
        <w:rPr>
          <w:rtl/>
          <w:lang w:bidi="ar-EG"/>
        </w:rPr>
      </w:pPr>
    </w:p>
    <w:p w14:paraId="3C20521E" w14:textId="77777777" w:rsidR="00386AE3" w:rsidRDefault="00386AE3" w:rsidP="00386AE3">
      <w:pPr>
        <w:bidi/>
        <w:ind w:firstLine="0"/>
        <w:jc w:val="both"/>
        <w:rPr>
          <w:rtl/>
          <w:lang w:bidi="ar-EG"/>
        </w:rPr>
      </w:pPr>
    </w:p>
    <w:p w14:paraId="3EFB0EA8" w14:textId="44AEA020" w:rsidR="00386AE3" w:rsidRPr="00797A5A" w:rsidRDefault="00386AE3" w:rsidP="00797A5A">
      <w:pPr>
        <w:pStyle w:val="2"/>
        <w:rPr>
          <w:rFonts w:asciiTheme="majorBidi" w:hAnsiTheme="majorBidi" w:cstheme="majorBidi"/>
        </w:rPr>
      </w:pPr>
      <w:r w:rsidRPr="00797A5A">
        <w:rPr>
          <w:rFonts w:asciiTheme="majorBidi" w:hAnsiTheme="majorBidi" w:cstheme="majorBidi"/>
        </w:rPr>
        <w:lastRenderedPageBreak/>
        <w:t xml:space="preserve">ChatGPT </w:t>
      </w:r>
      <w:r w:rsidR="00797A5A" w:rsidRPr="00797A5A">
        <w:rPr>
          <w:rFonts w:asciiTheme="majorBidi" w:hAnsiTheme="majorBidi" w:cstheme="majorBidi"/>
        </w:rPr>
        <w:t>Output</w:t>
      </w:r>
    </w:p>
    <w:p w14:paraId="406E20FE"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There is a crucial methodological observation that must be recorded </w:t>
      </w:r>
      <w:r w:rsidRPr="00AC42DF">
        <w:rPr>
          <w:rFonts w:ascii="Times New Roman" w:eastAsia="Times New Roman" w:hAnsi="Times New Roman" w:cs="Times New Roman"/>
          <w:b/>
          <w:bCs/>
          <w:kern w:val="0"/>
          <w14:ligatures w14:val="none"/>
        </w:rPr>
        <w:t>before proceeding with the analysis</w:t>
      </w:r>
      <w:r w:rsidRPr="00AC42DF">
        <w:rPr>
          <w:rFonts w:ascii="Times New Roman" w:eastAsia="Times New Roman" w:hAnsi="Times New Roman" w:cs="Times New Roman"/>
          <w:kern w:val="0"/>
          <w14:ligatures w14:val="none"/>
        </w:rPr>
        <w:t xml:space="preserve">: the text you provided is not Article (223) of the Civil Service Law No. 47 of 1978. Rather, it is the text of </w:t>
      </w:r>
      <w:r w:rsidRPr="00AC42DF">
        <w:rPr>
          <w:rFonts w:ascii="Times New Roman" w:eastAsia="Times New Roman" w:hAnsi="Times New Roman" w:cs="Times New Roman"/>
          <w:b/>
          <w:bCs/>
          <w:kern w:val="0"/>
          <w14:ligatures w14:val="none"/>
        </w:rPr>
        <w:t xml:space="preserve">Article (223) of the </w:t>
      </w:r>
      <w:proofErr w:type="spellStart"/>
      <w:r w:rsidRPr="00AC42DF">
        <w:rPr>
          <w:rFonts w:ascii="Times New Roman" w:eastAsia="Times New Roman" w:hAnsi="Times New Roman" w:cs="Times New Roman"/>
          <w:b/>
          <w:bCs/>
          <w:kern w:val="0"/>
          <w14:ligatures w14:val="none"/>
        </w:rPr>
        <w:t>Labour</w:t>
      </w:r>
      <w:proofErr w:type="spellEnd"/>
      <w:r w:rsidRPr="00AC42DF">
        <w:rPr>
          <w:rFonts w:ascii="Times New Roman" w:eastAsia="Times New Roman" w:hAnsi="Times New Roman" w:cs="Times New Roman"/>
          <w:b/>
          <w:bCs/>
          <w:kern w:val="0"/>
          <w14:ligatures w14:val="none"/>
        </w:rPr>
        <w:t xml:space="preserve"> Law enacted by Law No. 12 of 2003</w:t>
      </w:r>
      <w:r w:rsidRPr="00AC42DF">
        <w:rPr>
          <w:rFonts w:ascii="Times New Roman" w:eastAsia="Times New Roman" w:hAnsi="Times New Roman" w:cs="Times New Roman"/>
          <w:kern w:val="0"/>
          <w14:ligatures w14:val="none"/>
        </w:rPr>
        <w:t>. This has been verified through published legal sources. Moreover, the provision concerns a fund for social, health, and cultural services for workers, and does not regulate the service of academic staff members or the termination of their service.</w:t>
      </w:r>
    </w:p>
    <w:p w14:paraId="5BF48192"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This distinction is extremely important for the purposes of the empirical study, because some of the elements required by the questions—such as </w:t>
      </w:r>
      <w:r w:rsidRPr="00AC42DF">
        <w:rPr>
          <w:rFonts w:ascii="Times New Roman" w:eastAsia="Times New Roman" w:hAnsi="Times New Roman" w:cs="Times New Roman"/>
          <w:b/>
          <w:bCs/>
          <w:kern w:val="0"/>
          <w14:ligatures w14:val="none"/>
        </w:rPr>
        <w:t>returning during a prescribed period, the role of university councils, and the termination of the service of a member of the academic staff</w:t>
      </w:r>
      <w:r w:rsidRPr="00AC42DF">
        <w:rPr>
          <w:rFonts w:ascii="Times New Roman" w:eastAsia="Times New Roman" w:hAnsi="Times New Roman" w:cs="Times New Roman"/>
          <w:kern w:val="0"/>
          <w14:ligatures w14:val="none"/>
        </w:rPr>
        <w:t>—do not exist at all in the text under analysis. It would therefore be incorrect to assume them or to invent a legal mechanism that is not contained in the provision.</w:t>
      </w:r>
    </w:p>
    <w:p w14:paraId="4E1B9AF3"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 following is an analysis </w:t>
      </w:r>
      <w:r w:rsidRPr="00AC42DF">
        <w:rPr>
          <w:rFonts w:ascii="Times New Roman" w:eastAsia="Times New Roman" w:hAnsi="Times New Roman" w:cs="Times New Roman"/>
          <w:b/>
          <w:bCs/>
          <w:kern w:val="0"/>
          <w14:ligatures w14:val="none"/>
        </w:rPr>
        <w:t>of the text itself</w:t>
      </w:r>
      <w:r w:rsidRPr="00AC42DF">
        <w:rPr>
          <w:rFonts w:ascii="Times New Roman" w:eastAsia="Times New Roman" w:hAnsi="Times New Roman" w:cs="Times New Roman"/>
          <w:kern w:val="0"/>
          <w14:ligatures w14:val="none"/>
        </w:rPr>
        <w:t>, while distinguishing between what can legitimately be inferred from it and what cannot.</w:t>
      </w:r>
    </w:p>
    <w:p w14:paraId="14143F1C"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1. Statutory Structure</w:t>
      </w:r>
    </w:p>
    <w:p w14:paraId="67C5DF0D" w14:textId="77777777" w:rsidR="00386AE3" w:rsidRPr="00EE40A2" w:rsidRDefault="00386AE3" w:rsidP="00EE40A2">
      <w:pPr>
        <w:ind w:firstLine="0"/>
        <w:rPr>
          <w:rFonts w:asciiTheme="majorBidi" w:hAnsiTheme="majorBidi" w:cstheme="majorBidi"/>
          <w:b/>
          <w:bCs/>
          <w:sz w:val="27"/>
          <w:szCs w:val="27"/>
        </w:rPr>
      </w:pPr>
      <w:r w:rsidRPr="00EE40A2">
        <w:rPr>
          <w:rFonts w:asciiTheme="majorBidi" w:hAnsiTheme="majorBidi" w:cstheme="majorBidi"/>
          <w:b/>
          <w:bCs/>
          <w:sz w:val="27"/>
          <w:szCs w:val="27"/>
        </w:rPr>
        <w:t>A. Nature of the mechanism established by the provision</w:t>
      </w:r>
    </w:p>
    <w:p w14:paraId="2D0AD34F"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 provision establishes a financing mechanism of a social, health, and cultural nature. It provides for the establishment of a </w:t>
      </w:r>
      <w:r w:rsidRPr="00AC42DF">
        <w:rPr>
          <w:rFonts w:ascii="Times New Roman" w:eastAsia="Times New Roman" w:hAnsi="Times New Roman" w:cs="Times New Roman"/>
          <w:b/>
          <w:bCs/>
          <w:kern w:val="0"/>
          <w14:ligatures w14:val="none"/>
        </w:rPr>
        <w:t>national-level fund</w:t>
      </w:r>
      <w:r w:rsidRPr="00AC42DF">
        <w:rPr>
          <w:rFonts w:ascii="Times New Roman" w:eastAsia="Times New Roman" w:hAnsi="Times New Roman" w:cs="Times New Roman"/>
          <w:kern w:val="0"/>
          <w14:ligatures w14:val="none"/>
        </w:rPr>
        <w:t xml:space="preserve"> within the competent ministry and finances that fund by requiring establishments employing twenty or more workers to pay an annual amount for each worker.</w:t>
      </w:r>
    </w:p>
    <w:p w14:paraId="13595285"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Accordingly, the legislative structure consists of several interconnected elements:</w:t>
      </w:r>
    </w:p>
    <w:p w14:paraId="64BF8378" w14:textId="77777777" w:rsidR="00386AE3" w:rsidRPr="00AC42DF" w:rsidRDefault="00386AE3" w:rsidP="00386AE3">
      <w:pPr>
        <w:numPr>
          <w:ilvl w:val="0"/>
          <w:numId w:val="100"/>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Establishment of the fund.</w:t>
      </w:r>
    </w:p>
    <w:p w14:paraId="2223738E" w14:textId="77777777" w:rsidR="00386AE3" w:rsidRPr="00AC42DF" w:rsidRDefault="00386AE3" w:rsidP="00386AE3">
      <w:pPr>
        <w:numPr>
          <w:ilvl w:val="0"/>
          <w:numId w:val="100"/>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Identification of the establishments subject to the financial obligation.</w:t>
      </w:r>
    </w:p>
    <w:p w14:paraId="4514C3B6" w14:textId="77777777" w:rsidR="00386AE3" w:rsidRPr="00AC42DF" w:rsidRDefault="00386AE3" w:rsidP="00386AE3">
      <w:pPr>
        <w:numPr>
          <w:ilvl w:val="0"/>
          <w:numId w:val="100"/>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Establishment of a minimum annual contribution.</w:t>
      </w:r>
    </w:p>
    <w:p w14:paraId="48A4EEA4" w14:textId="77777777" w:rsidR="00386AE3" w:rsidRPr="00AC42DF" w:rsidRDefault="00386AE3" w:rsidP="00386AE3">
      <w:pPr>
        <w:numPr>
          <w:ilvl w:val="0"/>
          <w:numId w:val="100"/>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Delegation to the competent minister to determine the services and the amount payable by each establishment, subject to the statutory minimum.</w:t>
      </w:r>
    </w:p>
    <w:p w14:paraId="7A63D507" w14:textId="77777777" w:rsidR="00386AE3" w:rsidRPr="00AC42DF" w:rsidRDefault="00386AE3" w:rsidP="00386AE3">
      <w:pPr>
        <w:numPr>
          <w:ilvl w:val="0"/>
          <w:numId w:val="100"/>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Requiring agreement with the General Federation of Trade Unions of Egypt and employers' organizations in determining the services and amount.</w:t>
      </w:r>
    </w:p>
    <w:p w14:paraId="62F06A5F" w14:textId="77777777" w:rsidR="00386AE3" w:rsidRPr="00AC42DF" w:rsidRDefault="00386AE3" w:rsidP="00386AE3">
      <w:pPr>
        <w:numPr>
          <w:ilvl w:val="0"/>
          <w:numId w:val="100"/>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Establishment of a board of directors for the fund, taking into account tripartite representation.</w:t>
      </w:r>
    </w:p>
    <w:p w14:paraId="3C2DB007" w14:textId="77777777" w:rsidR="00386AE3" w:rsidRPr="00AC42DF" w:rsidRDefault="00386AE3" w:rsidP="00386AE3">
      <w:pPr>
        <w:numPr>
          <w:ilvl w:val="0"/>
          <w:numId w:val="100"/>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Delegation to the minister to issue the financial and administrative regulations of the fund.</w:t>
      </w:r>
    </w:p>
    <w:p w14:paraId="3FC6DD80"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B. Triggering event</w:t>
      </w:r>
    </w:p>
    <w:p w14:paraId="4B2C52F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 event giving rise to the obligation is </w:t>
      </w:r>
      <w:r w:rsidRPr="00AC42DF">
        <w:rPr>
          <w:rFonts w:ascii="Times New Roman" w:eastAsia="Times New Roman" w:hAnsi="Times New Roman" w:cs="Times New Roman"/>
          <w:b/>
          <w:bCs/>
          <w:kern w:val="0"/>
          <w14:ligatures w14:val="none"/>
        </w:rPr>
        <w:t>the establishment having twenty or more workers</w:t>
      </w:r>
      <w:r w:rsidRPr="00AC42DF">
        <w:rPr>
          <w:rFonts w:ascii="Times New Roman" w:eastAsia="Times New Roman" w:hAnsi="Times New Roman" w:cs="Times New Roman"/>
          <w:kern w:val="0"/>
          <w14:ligatures w14:val="none"/>
        </w:rPr>
        <w:t>.</w:t>
      </w:r>
    </w:p>
    <w:p w14:paraId="7E78856E"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lastRenderedPageBreak/>
        <w:t>Once this condition is satisfied, the establishment becomes subject to the obligation to pay an annual amount for each worker.</w:t>
      </w:r>
    </w:p>
    <w:p w14:paraId="70A3BEC6"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 provision is therefore not concerned with dismissal, termination of service, or disciplinary sanctions. Rather, it establishes a </w:t>
      </w:r>
      <w:r w:rsidRPr="00AC42DF">
        <w:rPr>
          <w:rFonts w:ascii="Times New Roman" w:eastAsia="Times New Roman" w:hAnsi="Times New Roman" w:cs="Times New Roman"/>
          <w:b/>
          <w:bCs/>
          <w:kern w:val="0"/>
          <w14:ligatures w14:val="none"/>
        </w:rPr>
        <w:t>financial obligation imposed on the establishment to finance the fund</w:t>
      </w:r>
      <w:r w:rsidRPr="00AC42DF">
        <w:rPr>
          <w:rFonts w:ascii="Times New Roman" w:eastAsia="Times New Roman" w:hAnsi="Times New Roman" w:cs="Times New Roman"/>
          <w:kern w:val="0"/>
          <w14:ligatures w14:val="none"/>
        </w:rPr>
        <w:t>.</w:t>
      </w:r>
    </w:p>
    <w:p w14:paraId="54DAAED6"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C. Statutory period</w:t>
      </w:r>
    </w:p>
    <w:p w14:paraId="647219C9"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 provision stipulates that the payment is made </w:t>
      </w:r>
      <w:r w:rsidRPr="00AC42DF">
        <w:rPr>
          <w:rFonts w:ascii="Times New Roman" w:eastAsia="Times New Roman" w:hAnsi="Times New Roman" w:cs="Times New Roman"/>
          <w:b/>
          <w:bCs/>
          <w:kern w:val="0"/>
          <w14:ligatures w14:val="none"/>
        </w:rPr>
        <w:t>annually</w:t>
      </w:r>
      <w:r w:rsidRPr="00AC42DF">
        <w:rPr>
          <w:rFonts w:ascii="Times New Roman" w:eastAsia="Times New Roman" w:hAnsi="Times New Roman" w:cs="Times New Roman"/>
          <w:kern w:val="0"/>
          <w14:ligatures w14:val="none"/>
        </w:rPr>
        <w:t xml:space="preserve"> for each worker.</w:t>
      </w:r>
    </w:p>
    <w:p w14:paraId="08543041"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Thus, the period specified by the legislature is one year in relation to the financial obligation. It is not a period relating to the service of an academic staff member, nor is it a period during which a person may return to employment or be reinstated.</w:t>
      </w:r>
    </w:p>
    <w:p w14:paraId="20CBE73C"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D. Legal consequence</w:t>
      </w:r>
    </w:p>
    <w:p w14:paraId="4972B66C"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direct legal effect is to require the establishment to pay an amount of not less than five pounds annually for each worker to finance the fund, while authorizing the competent minister to determine the amount, provided that it does not fall below the statutory minimum.</w:t>
      </w:r>
    </w:p>
    <w:p w14:paraId="50CD2DF7"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provision contains no legal consequence concerning the termination of a person's service, loss of employment, or deprivation of the right to return to employment.</w:t>
      </w:r>
    </w:p>
    <w:p w14:paraId="6A6949AD"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E. Possibility of returning within the prescribed period</w:t>
      </w:r>
    </w:p>
    <w:p w14:paraId="643C4FBB"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The provision does not regulate any issue of "return" at all.</w:t>
      </w:r>
    </w:p>
    <w:p w14:paraId="78CBA99F"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It contains no period during which a person may return, no right to reinstatement, no forfeiture of a right upon expiry of a period, and no procedure concerning the restoration of an academic staff member to service.</w:t>
      </w:r>
    </w:p>
    <w:p w14:paraId="38374028"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Accordingly, treating this element as part of the provision under analysis would amount to adding a rule that does not appear in the text.</w:t>
      </w:r>
    </w:p>
    <w:p w14:paraId="3AA52110"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F. Role of competent university bodies</w:t>
      </w:r>
    </w:p>
    <w:p w14:paraId="6BF2372E"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There is no role whatsoever for universities, university councils, scientific councils, or department councils in the provision.</w:t>
      </w:r>
    </w:p>
    <w:p w14:paraId="463BCDC8"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bodies expressly mentioned are:</w:t>
      </w:r>
    </w:p>
    <w:p w14:paraId="7F52450C" w14:textId="77777777" w:rsidR="00386AE3" w:rsidRPr="00AC42DF" w:rsidRDefault="00386AE3" w:rsidP="00386AE3">
      <w:pPr>
        <w:numPr>
          <w:ilvl w:val="0"/>
          <w:numId w:val="101"/>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competent minister;</w:t>
      </w:r>
    </w:p>
    <w:p w14:paraId="122FE3EF" w14:textId="77777777" w:rsidR="00386AE3" w:rsidRPr="00AC42DF" w:rsidRDefault="00386AE3" w:rsidP="00386AE3">
      <w:pPr>
        <w:numPr>
          <w:ilvl w:val="0"/>
          <w:numId w:val="101"/>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General Federation of Trade Unions of Egypt;</w:t>
      </w:r>
    </w:p>
    <w:p w14:paraId="524803FE" w14:textId="77777777" w:rsidR="00386AE3" w:rsidRPr="00AC42DF" w:rsidRDefault="00386AE3" w:rsidP="00386AE3">
      <w:pPr>
        <w:numPr>
          <w:ilvl w:val="0"/>
          <w:numId w:val="101"/>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employers' organizations; and</w:t>
      </w:r>
    </w:p>
    <w:p w14:paraId="2FCDFBA5" w14:textId="77777777" w:rsidR="00386AE3" w:rsidRPr="00AC42DF" w:rsidRDefault="00386AE3" w:rsidP="00386AE3">
      <w:pPr>
        <w:numPr>
          <w:ilvl w:val="0"/>
          <w:numId w:val="101"/>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entities that nominate representatives to the board of directors of the fund.</w:t>
      </w:r>
    </w:p>
    <w:p w14:paraId="0C3BB0A7"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lastRenderedPageBreak/>
        <w:t xml:space="preserve">This structure confirms that the provision concerns the </w:t>
      </w:r>
      <w:r w:rsidRPr="00AC42DF">
        <w:rPr>
          <w:rFonts w:ascii="Times New Roman" w:eastAsia="Times New Roman" w:hAnsi="Times New Roman" w:cs="Times New Roman"/>
          <w:b/>
          <w:bCs/>
          <w:kern w:val="0"/>
          <w14:ligatures w14:val="none"/>
        </w:rPr>
        <w:t>regulation of a national workers' social-services fund</w:t>
      </w:r>
      <w:r w:rsidRPr="00AC42DF">
        <w:rPr>
          <w:rFonts w:ascii="Times New Roman" w:eastAsia="Times New Roman" w:hAnsi="Times New Roman" w:cs="Times New Roman"/>
          <w:kern w:val="0"/>
          <w14:ligatures w14:val="none"/>
        </w:rPr>
        <w:t>, rather than the legal status of academic staff members at universities.</w:t>
      </w:r>
    </w:p>
    <w:p w14:paraId="68F4A39F"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G. Procedural safeguards expressly included</w:t>
      </w:r>
    </w:p>
    <w:p w14:paraId="0C360A5E"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Although the provision does not establish procedural safeguards concerning termination of service, it contains certain regulatory safeguards:</w:t>
      </w:r>
    </w:p>
    <w:p w14:paraId="10387871" w14:textId="77777777" w:rsidR="00386AE3" w:rsidRPr="00AC42DF" w:rsidRDefault="00386AE3" w:rsidP="00386AE3">
      <w:pPr>
        <w:numPr>
          <w:ilvl w:val="0"/>
          <w:numId w:val="102"/>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contribution may not be less than the statutory minimum established by the legislature;</w:t>
      </w:r>
    </w:p>
    <w:p w14:paraId="617134AE" w14:textId="77777777" w:rsidR="00386AE3" w:rsidRPr="00AC42DF" w:rsidRDefault="00386AE3" w:rsidP="00386AE3">
      <w:pPr>
        <w:numPr>
          <w:ilvl w:val="0"/>
          <w:numId w:val="102"/>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agreement with the General Federation of Trade Unions of Egypt and employers' organizations is required in determining the services and amount;</w:t>
      </w:r>
    </w:p>
    <w:p w14:paraId="4EFEE8CD" w14:textId="77777777" w:rsidR="00386AE3" w:rsidRPr="00AC42DF" w:rsidRDefault="00386AE3" w:rsidP="00386AE3">
      <w:pPr>
        <w:numPr>
          <w:ilvl w:val="0"/>
          <w:numId w:val="102"/>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tripartite representation</w:t>
      </w:r>
      <w:r w:rsidRPr="00AC42DF">
        <w:rPr>
          <w:rFonts w:ascii="Times New Roman" w:eastAsia="Times New Roman" w:hAnsi="Times New Roman" w:cs="Times New Roman"/>
          <w:kern w:val="0"/>
          <w14:ligatures w14:val="none"/>
        </w:rPr>
        <w:t xml:space="preserve"> must be taken into account in the composition of the board of directors;</w:t>
      </w:r>
    </w:p>
    <w:p w14:paraId="2435E866" w14:textId="77777777" w:rsidR="00386AE3" w:rsidRPr="00AC42DF" w:rsidRDefault="00386AE3" w:rsidP="00386AE3">
      <w:pPr>
        <w:numPr>
          <w:ilvl w:val="0"/>
          <w:numId w:val="102"/>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each entity nominates the person representing it on the board;</w:t>
      </w:r>
    </w:p>
    <w:p w14:paraId="4321686C" w14:textId="77777777" w:rsidR="00386AE3" w:rsidRPr="00AC42DF" w:rsidRDefault="00386AE3" w:rsidP="00386AE3">
      <w:pPr>
        <w:numPr>
          <w:ilvl w:val="0"/>
          <w:numId w:val="102"/>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minister must issue financial and administrative regulations for the fund, including, in particular, the manner of disposing of the collected amounts and the relevant procedures.</w:t>
      </w:r>
    </w:p>
    <w:p w14:paraId="73AFC921"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Thus, the provision contains </w:t>
      </w:r>
      <w:r w:rsidRPr="00AC42DF">
        <w:rPr>
          <w:rFonts w:ascii="Times New Roman" w:eastAsia="Times New Roman" w:hAnsi="Times New Roman" w:cs="Times New Roman"/>
          <w:b/>
          <w:bCs/>
          <w:kern w:val="0"/>
          <w14:ligatures w14:val="none"/>
        </w:rPr>
        <w:t>constraints on the executive authority in administering the scheme</w:t>
      </w:r>
      <w:r w:rsidRPr="00AC42DF">
        <w:rPr>
          <w:rFonts w:ascii="Times New Roman" w:eastAsia="Times New Roman" w:hAnsi="Times New Roman" w:cs="Times New Roman"/>
          <w:kern w:val="0"/>
          <w14:ligatures w14:val="none"/>
        </w:rPr>
        <w:t>, although, as discussed below, other important matters have not been regulated with sufficient precision.</w:t>
      </w:r>
    </w:p>
    <w:p w14:paraId="39C3E549" w14:textId="77777777" w:rsidR="00386AE3" w:rsidRPr="00AC42DF"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A923BDC">
          <v:rect id="_x0000_i1092" style="width:0;height:1.5pt" o:hralign="center" o:hrstd="t" o:hr="t" fillcolor="#a0a0a0" stroked="f"/>
        </w:pict>
      </w:r>
    </w:p>
    <w:p w14:paraId="2B3FE362"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2. Potential Legislative Omissions</w:t>
      </w:r>
    </w:p>
    <w:p w14:paraId="4D02F37A"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When the provision is analyzed internally, two different types of omission should be distinguished.</w:t>
      </w:r>
    </w:p>
    <w:p w14:paraId="0543771A"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First: Matters that may appear incomplete but are unrelated to termination of service</w:t>
      </w:r>
    </w:p>
    <w:p w14:paraId="083CC384"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1. Failure to specify a maximum contribution</w:t>
      </w:r>
    </w:p>
    <w:p w14:paraId="1E2552BB"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provision establishes a minimum contribution of five pounds annually per worker and then authorizes the minister to determine the amount, provided that it is not less than that minimum.</w:t>
      </w:r>
    </w:p>
    <w:p w14:paraId="18E3971E"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This leaves, textually, </w:t>
      </w:r>
      <w:r w:rsidRPr="00AC42DF">
        <w:rPr>
          <w:rFonts w:ascii="Times New Roman" w:eastAsia="Times New Roman" w:hAnsi="Times New Roman" w:cs="Times New Roman"/>
          <w:b/>
          <w:bCs/>
          <w:kern w:val="0"/>
          <w14:ligatures w14:val="none"/>
        </w:rPr>
        <w:t>no statutory maximum for the contribution</w:t>
      </w:r>
      <w:r w:rsidRPr="00AC42DF">
        <w:rPr>
          <w:rFonts w:ascii="Times New Roman" w:eastAsia="Times New Roman" w:hAnsi="Times New Roman" w:cs="Times New Roman"/>
          <w:kern w:val="0"/>
          <w14:ligatures w14:val="none"/>
        </w:rPr>
        <w:t>.</w:t>
      </w:r>
    </w:p>
    <w:p w14:paraId="6E2922C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is not merely a theoretical observation, because it leaves the scope of the financial obligation relatively open to the executive authority.</w:t>
      </w:r>
    </w:p>
    <w:p w14:paraId="3B29088F"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However, this issue is distinct from the question of procedural safeguards concerning termination of service.</w:t>
      </w:r>
    </w:p>
    <w:p w14:paraId="303A39FB"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lastRenderedPageBreak/>
        <w:t>The Egyptian Supreme Constitutional Court has in fact addressed this issue specifically in Constitutional Case No. 21 of Judicial Year 30 and held that the provision was unconstitutional insofar as it failed to establish a maximum limit for the annual contribution. The judgment also addressed another issue concerning the determination of the services.</w:t>
      </w:r>
    </w:p>
    <w:p w14:paraId="44CF1877"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Accordingly, this constitutes a </w:t>
      </w:r>
      <w:r w:rsidRPr="00AC42DF">
        <w:rPr>
          <w:rFonts w:ascii="Times New Roman" w:eastAsia="Times New Roman" w:hAnsi="Times New Roman" w:cs="Times New Roman"/>
          <w:b/>
          <w:bCs/>
          <w:kern w:val="0"/>
          <w14:ligatures w14:val="none"/>
        </w:rPr>
        <w:t>genuine legislative gap with constitutional significance</w:t>
      </w:r>
      <w:r w:rsidRPr="00AC42DF">
        <w:rPr>
          <w:rFonts w:ascii="Times New Roman" w:eastAsia="Times New Roman" w:hAnsi="Times New Roman" w:cs="Times New Roman"/>
          <w:kern w:val="0"/>
          <w14:ligatures w14:val="none"/>
        </w:rPr>
        <w:t>, but it is not the gap concerning procedural safeguards for termination of the service of an academic staff member assumed by the question.</w:t>
      </w:r>
    </w:p>
    <w:p w14:paraId="57EA759B"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2. Failure to specify the services in detail in the statute</w:t>
      </w:r>
    </w:p>
    <w:p w14:paraId="58AE961F"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provision states that the minister shall determine the "services referred to," without the statute itself providing a detailed enumeration of those services.</w:t>
      </w:r>
    </w:p>
    <w:p w14:paraId="3CC202CC"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raises the question of the permissible limits of legislative delegation, particularly where the matter concerns the substance of a social system financed through a compulsory financial obligation.</w:t>
      </w:r>
    </w:p>
    <w:p w14:paraId="79F21649"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was also one of the issues addressed by the aforementioned constitutional judgment. The Court held the provision unconstitutional insofar as it failed to specify the services that the fund was required to provide.</w:t>
      </w:r>
    </w:p>
    <w:p w14:paraId="574DE7FA"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3. Failure to regulate the disposition of financial resources in detail</w:t>
      </w:r>
    </w:p>
    <w:p w14:paraId="62C94C97"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provision leaves the financial and administrative regulations to determine how the collected amounts are to be disposed of and the procedures applicable thereto.</w:t>
      </w:r>
    </w:p>
    <w:p w14:paraId="5F8C36D6"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raises the question of whether the legislature itself has established sufficient substantive elements before referring the details to the executive authority.</w:t>
      </w:r>
    </w:p>
    <w:p w14:paraId="2120A4DB"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constitutional judgment likewise addressed this issue and held the fifth paragraph unconstitutional insofar as it failed to specify how the fund's financial resources were to be disposed of.</w:t>
      </w:r>
    </w:p>
    <w:p w14:paraId="7C613BB9" w14:textId="77777777" w:rsidR="00386AE3" w:rsidRPr="00AC42DF"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70F4B08">
          <v:rect id="_x0000_i1093" style="width:0;height:1.5pt" o:hralign="center" o:hrstd="t" o:hr="t" fillcolor="#a0a0a0" stroked="f"/>
        </w:pict>
      </w:r>
    </w:p>
    <w:p w14:paraId="393D2410"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Second: The alleged omission concerning a procedural safeguard before termination of service</w:t>
      </w:r>
    </w:p>
    <w:p w14:paraId="799D5D64"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Here, the conclusion must be more categorical:</w:t>
      </w:r>
    </w:p>
    <w:p w14:paraId="2514AE88"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The text contains no regulation whatsoever of the termination of the service of an academic staff member.</w:t>
      </w:r>
    </w:p>
    <w:p w14:paraId="25784BC8"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Consequently, it cannot be said, on the basis of this provision, that it:</w:t>
      </w:r>
    </w:p>
    <w:p w14:paraId="13001039"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w:t>
      </w:r>
      <w:proofErr w:type="gramStart"/>
      <w:r w:rsidRPr="00AC42DF">
        <w:rPr>
          <w:rFonts w:ascii="Times New Roman" w:eastAsia="Times New Roman" w:hAnsi="Times New Roman" w:cs="Times New Roman"/>
          <w:kern w:val="0"/>
          <w14:ligatures w14:val="none"/>
        </w:rPr>
        <w:t>omits</w:t>
      </w:r>
      <w:proofErr w:type="gramEnd"/>
      <w:r w:rsidRPr="00AC42DF">
        <w:rPr>
          <w:rFonts w:ascii="Times New Roman" w:eastAsia="Times New Roman" w:hAnsi="Times New Roman" w:cs="Times New Roman"/>
          <w:kern w:val="0"/>
          <w14:ligatures w14:val="none"/>
        </w:rPr>
        <w:t xml:space="preserve"> a procedural safeguard before termination of service."</w:t>
      </w:r>
    </w:p>
    <w:p w14:paraId="047B2903"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lastRenderedPageBreak/>
        <w:t>The distinction is fundamental between:</w:t>
      </w:r>
    </w:p>
    <w:p w14:paraId="03E10474" w14:textId="77777777" w:rsidR="00386AE3" w:rsidRPr="00AC42DF" w:rsidRDefault="00386AE3" w:rsidP="00386AE3">
      <w:pPr>
        <w:numPr>
          <w:ilvl w:val="0"/>
          <w:numId w:val="103"/>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 provision that regulates termination of service but fails to provide a right to be heard, investigation, or appeal; and</w:t>
      </w:r>
    </w:p>
    <w:p w14:paraId="6A7477A2" w14:textId="77777777" w:rsidR="00386AE3" w:rsidRPr="00AC42DF" w:rsidRDefault="00386AE3" w:rsidP="00386AE3">
      <w:pPr>
        <w:numPr>
          <w:ilvl w:val="0"/>
          <w:numId w:val="103"/>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 provision that does not address termination of service at all.</w:t>
      </w:r>
    </w:p>
    <w:p w14:paraId="111E631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In the first situation, it is possible to examine whether there is a </w:t>
      </w:r>
      <w:r w:rsidRPr="00AC42DF">
        <w:rPr>
          <w:rFonts w:ascii="Times New Roman" w:eastAsia="Times New Roman" w:hAnsi="Times New Roman" w:cs="Times New Roman"/>
          <w:b/>
          <w:bCs/>
          <w:kern w:val="0"/>
          <w14:ligatures w14:val="none"/>
        </w:rPr>
        <w:t>legislative omission within a legal system that regulates the matter</w:t>
      </w:r>
      <w:r w:rsidRPr="00AC42DF">
        <w:rPr>
          <w:rFonts w:ascii="Times New Roman" w:eastAsia="Times New Roman" w:hAnsi="Times New Roman" w:cs="Times New Roman"/>
          <w:kern w:val="0"/>
          <w14:ligatures w14:val="none"/>
        </w:rPr>
        <w:t>.</w:t>
      </w:r>
    </w:p>
    <w:p w14:paraId="55CCFA2B"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In the second situation, it is not logically possible to attribute the omission of a safeguard to the provision unless it is first established that the provision itself creates a power or procedure capable of resulting in termination of service.</w:t>
      </w:r>
    </w:p>
    <w:p w14:paraId="33A62B06"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That is not the case here.</w:t>
      </w:r>
    </w:p>
    <w:p w14:paraId="08CD5222" w14:textId="77777777" w:rsidR="00386AE3" w:rsidRPr="00AC42DF"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0BE18CB">
          <v:rect id="_x0000_i1094" style="width:0;height:1.5pt" o:hralign="center" o:hrstd="t" o:hr="t" fillcolor="#a0a0a0" stroked="f"/>
        </w:pict>
      </w:r>
    </w:p>
    <w:p w14:paraId="47D4AABB"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3. Constitutional Assessment</w:t>
      </w:r>
    </w:p>
    <w:p w14:paraId="44A6B39B"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A. Constitutional issues that the provision may actually raise</w:t>
      </w:r>
    </w:p>
    <w:p w14:paraId="4A451BD2"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On the basis of the text itself, the strongest constitutional issue does not concern safeguards against termination of service, but rather the </w:t>
      </w:r>
      <w:r w:rsidRPr="00AC42DF">
        <w:rPr>
          <w:rFonts w:ascii="Times New Roman" w:eastAsia="Times New Roman" w:hAnsi="Times New Roman" w:cs="Times New Roman"/>
          <w:b/>
          <w:bCs/>
          <w:kern w:val="0"/>
          <w14:ligatures w14:val="none"/>
        </w:rPr>
        <w:t>limits of legislative delegation to the executive authority</w:t>
      </w:r>
      <w:r w:rsidRPr="00AC42DF">
        <w:rPr>
          <w:rFonts w:ascii="Times New Roman" w:eastAsia="Times New Roman" w:hAnsi="Times New Roman" w:cs="Times New Roman"/>
          <w:kern w:val="0"/>
          <w14:ligatures w14:val="none"/>
        </w:rPr>
        <w:t>.</w:t>
      </w:r>
    </w:p>
    <w:p w14:paraId="58493150"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Egyptian constitutional framework rests on the principle that essential rights and obligations should not be left to the executive authority without the legislature establishing the fundamental framework and safeguards governing them.</w:t>
      </w:r>
    </w:p>
    <w:p w14:paraId="0AF5A4BB"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In the present case, several matters have been left to the minister, including:</w:t>
      </w:r>
    </w:p>
    <w:p w14:paraId="0CBD452C" w14:textId="77777777" w:rsidR="00386AE3" w:rsidRPr="00AC42DF" w:rsidRDefault="00386AE3" w:rsidP="00386AE3">
      <w:pPr>
        <w:numPr>
          <w:ilvl w:val="0"/>
          <w:numId w:val="104"/>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amount of the contribution above the statutory minimum;</w:t>
      </w:r>
    </w:p>
    <w:p w14:paraId="5413550B" w14:textId="77777777" w:rsidR="00386AE3" w:rsidRPr="00AC42DF" w:rsidRDefault="00386AE3" w:rsidP="00386AE3">
      <w:pPr>
        <w:numPr>
          <w:ilvl w:val="0"/>
          <w:numId w:val="104"/>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determination of the services; and</w:t>
      </w:r>
    </w:p>
    <w:p w14:paraId="04B25959" w14:textId="77777777" w:rsidR="00386AE3" w:rsidRPr="00AC42DF" w:rsidRDefault="00386AE3" w:rsidP="00386AE3">
      <w:pPr>
        <w:numPr>
          <w:ilvl w:val="0"/>
          <w:numId w:val="104"/>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certain aspects of the financial and administrative regulation.</w:t>
      </w:r>
    </w:p>
    <w:p w14:paraId="491A5059"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gives rise to a constitutional question concerning the adequacy of the legislative framework and the limits of the delegation.</w:t>
      </w:r>
    </w:p>
    <w:p w14:paraId="118935D6"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is not merely a theoretical analytical possibility. The aforementioned constitutional judgment expressly relied on the principle that the legislature may not relinquish its original competence to establish the essential elements of a regulatory scheme and leave those elements to the executive authority without sufficient statutory safeguards.</w:t>
      </w:r>
    </w:p>
    <w:p w14:paraId="57E2FB81" w14:textId="77777777" w:rsidR="00386AE3" w:rsidRPr="001F4172" w:rsidRDefault="00386AE3" w:rsidP="00386AE3">
      <w:pPr>
        <w:ind w:firstLine="0"/>
        <w:jc w:val="both"/>
        <w:rPr>
          <w:rFonts w:asciiTheme="majorBidi" w:hAnsiTheme="majorBidi" w:cstheme="majorBidi"/>
          <w:b/>
          <w:bCs/>
          <w:sz w:val="36"/>
          <w:szCs w:val="36"/>
        </w:rPr>
      </w:pPr>
      <w:r w:rsidRPr="001F4172">
        <w:rPr>
          <w:rFonts w:asciiTheme="majorBidi" w:hAnsiTheme="majorBidi" w:cstheme="majorBidi"/>
          <w:b/>
          <w:bCs/>
          <w:sz w:val="36"/>
          <w:szCs w:val="36"/>
        </w:rPr>
        <w:t>B. Is there a constitutional problem because no safeguard is provided before termination of service?</w:t>
      </w:r>
    </w:p>
    <w:p w14:paraId="39D75683"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lastRenderedPageBreak/>
        <w:t>With respect to the text presented: no.</w:t>
      </w:r>
    </w:p>
    <w:p w14:paraId="151EA07B"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is because the provision:</w:t>
      </w:r>
    </w:p>
    <w:p w14:paraId="52FF4DB3" w14:textId="77777777" w:rsidR="00386AE3" w:rsidRPr="00AC42DF" w:rsidRDefault="00386AE3" w:rsidP="00386AE3">
      <w:pPr>
        <w:numPr>
          <w:ilvl w:val="0"/>
          <w:numId w:val="10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does not establish termination of service;</w:t>
      </w:r>
    </w:p>
    <w:p w14:paraId="27549CA7" w14:textId="77777777" w:rsidR="00386AE3" w:rsidRPr="00AC42DF" w:rsidRDefault="00386AE3" w:rsidP="00386AE3">
      <w:pPr>
        <w:numPr>
          <w:ilvl w:val="0"/>
          <w:numId w:val="10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does not confer upon the minister the power to terminate service;</w:t>
      </w:r>
    </w:p>
    <w:p w14:paraId="740A7739" w14:textId="77777777" w:rsidR="00386AE3" w:rsidRPr="00AC42DF" w:rsidRDefault="00386AE3" w:rsidP="00386AE3">
      <w:pPr>
        <w:numPr>
          <w:ilvl w:val="0"/>
          <w:numId w:val="10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does not establish a period of service;</w:t>
      </w:r>
    </w:p>
    <w:p w14:paraId="508CCDA0" w14:textId="77777777" w:rsidR="00386AE3" w:rsidRPr="00AC42DF" w:rsidRDefault="00386AE3" w:rsidP="00386AE3">
      <w:pPr>
        <w:numPr>
          <w:ilvl w:val="0"/>
          <w:numId w:val="10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does not regulate return to employment;</w:t>
      </w:r>
    </w:p>
    <w:p w14:paraId="44B96025" w14:textId="77777777" w:rsidR="00386AE3" w:rsidRPr="00AC42DF" w:rsidRDefault="00386AE3" w:rsidP="00386AE3">
      <w:pPr>
        <w:numPr>
          <w:ilvl w:val="0"/>
          <w:numId w:val="10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does not address academic staff members; and</w:t>
      </w:r>
    </w:p>
    <w:p w14:paraId="16AA504C" w14:textId="77777777" w:rsidR="00386AE3" w:rsidRPr="00AC42DF" w:rsidRDefault="00386AE3" w:rsidP="00386AE3">
      <w:pPr>
        <w:numPr>
          <w:ilvl w:val="0"/>
          <w:numId w:val="105"/>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does not contain a procedure capable of resulting in the termination of a person's service.</w:t>
      </w:r>
    </w:p>
    <w:p w14:paraId="1ED739D2"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Accordingly, there is no direct legal connection between this provision and the right to a </w:t>
      </w:r>
      <w:proofErr w:type="spellStart"/>
      <w:r w:rsidRPr="00AC42DF">
        <w:rPr>
          <w:rFonts w:ascii="Times New Roman" w:eastAsia="Times New Roman" w:hAnsi="Times New Roman" w:cs="Times New Roman"/>
          <w:kern w:val="0"/>
          <w14:ligatures w14:val="none"/>
        </w:rPr>
        <w:t>defence</w:t>
      </w:r>
      <w:proofErr w:type="spellEnd"/>
      <w:r w:rsidRPr="00AC42DF">
        <w:rPr>
          <w:rFonts w:ascii="Times New Roman" w:eastAsia="Times New Roman" w:hAnsi="Times New Roman" w:cs="Times New Roman"/>
          <w:kern w:val="0"/>
          <w14:ligatures w14:val="none"/>
        </w:rPr>
        <w:t xml:space="preserve"> or procedural safeguards prior to termination of service.</w:t>
      </w:r>
    </w:p>
    <w:p w14:paraId="41D1E855"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A. Argument supporting the existence of a constitutional problem</w:t>
      </w:r>
    </w:p>
    <w:p w14:paraId="2CCAE3D1"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 hypothetical argument could be constructed only if we assumed—contrary to the text—that another legal system uses this provision as a basis for terminating the service of an academic staff member.</w:t>
      </w:r>
    </w:p>
    <w:p w14:paraId="7E9281B8"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In that event, it could be argued that termination of service, as an action affecting an individual's employment status, may require appropriate procedural safeguards depending on the nature and grounds of the decision, such as notice of the grounds and a reasonable opportunity to present a </w:t>
      </w:r>
      <w:proofErr w:type="spellStart"/>
      <w:r w:rsidRPr="00AC42DF">
        <w:rPr>
          <w:rFonts w:ascii="Times New Roman" w:eastAsia="Times New Roman" w:hAnsi="Times New Roman" w:cs="Times New Roman"/>
          <w:kern w:val="0"/>
          <w14:ligatures w14:val="none"/>
        </w:rPr>
        <w:t>defence</w:t>
      </w:r>
      <w:proofErr w:type="spellEnd"/>
      <w:r w:rsidRPr="00AC42DF">
        <w:rPr>
          <w:rFonts w:ascii="Times New Roman" w:eastAsia="Times New Roman" w:hAnsi="Times New Roman" w:cs="Times New Roman"/>
          <w:kern w:val="0"/>
          <w14:ligatures w14:val="none"/>
        </w:rPr>
        <w:t xml:space="preserve"> or challenge the decision, where the legal regime governing the position makes such safeguards necessary.</w:t>
      </w:r>
    </w:p>
    <w:p w14:paraId="558763E8"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However, this argument cannot properly be attributed to Article (223) under examination.</w:t>
      </w:r>
    </w:p>
    <w:p w14:paraId="4610A30F"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B. Counterargument</w:t>
      </w:r>
    </w:p>
    <w:p w14:paraId="074C3FE2"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 stronger argument is that </w:t>
      </w:r>
      <w:r w:rsidRPr="00AC42DF">
        <w:rPr>
          <w:rFonts w:ascii="Times New Roman" w:eastAsia="Times New Roman" w:hAnsi="Times New Roman" w:cs="Times New Roman"/>
          <w:b/>
          <w:bCs/>
          <w:kern w:val="0"/>
          <w14:ligatures w14:val="none"/>
        </w:rPr>
        <w:t>every procedural safeguard must be connected to the scope of the provision and to the power that the provision regulates</w:t>
      </w:r>
      <w:r w:rsidRPr="00AC42DF">
        <w:rPr>
          <w:rFonts w:ascii="Times New Roman" w:eastAsia="Times New Roman" w:hAnsi="Times New Roman" w:cs="Times New Roman"/>
          <w:kern w:val="0"/>
          <w14:ligatures w14:val="none"/>
        </w:rPr>
        <w:t>.</w:t>
      </w:r>
    </w:p>
    <w:p w14:paraId="133B74E1"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 provision regulating the financing of a social fund cannot be transformed into a provision concerning the termination of service of academic staff, and its constitutionality cannot then be challenged on the ground that it fails to regulate a matter that it never purported to regulate.</w:t>
      </w:r>
    </w:p>
    <w:p w14:paraId="6AFFA2EB"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counterargument is methodologically stronger because it respects the objective scope of the statutory text and avoids attributing to the legislature a regulatory subject that is absent from the provision.</w:t>
      </w:r>
    </w:p>
    <w:p w14:paraId="6C1A00A3" w14:textId="77777777" w:rsidR="00386AE3" w:rsidRPr="00AC42DF"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7CA0800">
          <v:rect id="_x0000_i1095" style="width:0;height:1.5pt" o:hralign="center" o:hrstd="t" o:hr="t" fillcolor="#a0a0a0" stroked="f"/>
        </w:pict>
      </w:r>
    </w:p>
    <w:p w14:paraId="3C976361"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4. Legislative-Gap Classification</w:t>
      </w:r>
    </w:p>
    <w:p w14:paraId="16CC44F3"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lastRenderedPageBreak/>
        <w:t xml:space="preserve">Here, a </w:t>
      </w:r>
      <w:r w:rsidRPr="00AC42DF">
        <w:rPr>
          <w:rFonts w:ascii="Times New Roman" w:eastAsia="Times New Roman" w:hAnsi="Times New Roman" w:cs="Times New Roman"/>
          <w:b/>
          <w:bCs/>
          <w:kern w:val="0"/>
          <w14:ligatures w14:val="none"/>
        </w:rPr>
        <w:t>dual classification</w:t>
      </w:r>
      <w:r w:rsidRPr="00AC42DF">
        <w:rPr>
          <w:rFonts w:ascii="Times New Roman" w:eastAsia="Times New Roman" w:hAnsi="Times New Roman" w:cs="Times New Roman"/>
          <w:kern w:val="0"/>
          <w14:ligatures w14:val="none"/>
        </w:rPr>
        <w:t xml:space="preserve"> is more appropriate than assigning a single characterization to the entire provision.</w:t>
      </w:r>
    </w:p>
    <w:p w14:paraId="357DE769"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With respect to a safeguard concerning termination of service:</w:t>
      </w:r>
    </w:p>
    <w:p w14:paraId="3A236569"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No legislative gap — with respect to the challenged issue.</w:t>
      </w:r>
    </w:p>
    <w:p w14:paraId="7AF644CF"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In other words, the provision contains no legislative gap concerning a procedural safeguard prior to termination of service because it does not regulate termination of service in the first place.</w:t>
      </w:r>
    </w:p>
    <w:p w14:paraId="54BAA6F8"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Describing the provision as having "omitted a safeguard before termination of service" would therefore constitute </w:t>
      </w:r>
      <w:r w:rsidRPr="00AC42DF">
        <w:rPr>
          <w:rFonts w:ascii="Times New Roman" w:eastAsia="Times New Roman" w:hAnsi="Times New Roman" w:cs="Times New Roman"/>
          <w:b/>
          <w:bCs/>
          <w:kern w:val="0"/>
          <w14:ligatures w14:val="none"/>
        </w:rPr>
        <w:t>an error in identifying the subject matter of the provision</w:t>
      </w:r>
      <w:r w:rsidRPr="00AC42DF">
        <w:rPr>
          <w:rFonts w:ascii="Times New Roman" w:eastAsia="Times New Roman" w:hAnsi="Times New Roman" w:cs="Times New Roman"/>
          <w:kern w:val="0"/>
          <w14:ligatures w14:val="none"/>
        </w:rPr>
        <w:t>.</w:t>
      </w:r>
    </w:p>
    <w:p w14:paraId="17A455FB"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With respect to certain financial and regulatory elements of the fund:</w:t>
      </w:r>
    </w:p>
    <w:p w14:paraId="16834884"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There are, according to the constitutional judgment discussed above, </w:t>
      </w:r>
      <w:r w:rsidRPr="00AC42DF">
        <w:rPr>
          <w:rFonts w:ascii="Times New Roman" w:eastAsia="Times New Roman" w:hAnsi="Times New Roman" w:cs="Times New Roman"/>
          <w:b/>
          <w:bCs/>
          <w:kern w:val="0"/>
          <w14:ligatures w14:val="none"/>
        </w:rPr>
        <w:t>material legislative gaps with constitutional significance</w:t>
      </w:r>
      <w:r w:rsidRPr="00AC42DF">
        <w:rPr>
          <w:rFonts w:ascii="Times New Roman" w:eastAsia="Times New Roman" w:hAnsi="Times New Roman" w:cs="Times New Roman"/>
          <w:kern w:val="0"/>
          <w14:ligatures w14:val="none"/>
        </w:rPr>
        <w:t xml:space="preserve"> in certain aspects of the provision, particularly:</w:t>
      </w:r>
    </w:p>
    <w:p w14:paraId="4581AA9F" w14:textId="77777777" w:rsidR="00386AE3" w:rsidRPr="00AC42DF" w:rsidRDefault="00386AE3" w:rsidP="00386AE3">
      <w:pPr>
        <w:numPr>
          <w:ilvl w:val="0"/>
          <w:numId w:val="106"/>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absence of a maximum limit for the annual contribution;</w:t>
      </w:r>
    </w:p>
    <w:p w14:paraId="1A7B7838" w14:textId="77777777" w:rsidR="00386AE3" w:rsidRPr="00AC42DF" w:rsidRDefault="00386AE3" w:rsidP="00386AE3">
      <w:pPr>
        <w:numPr>
          <w:ilvl w:val="0"/>
          <w:numId w:val="106"/>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failure to specify the services; and</w:t>
      </w:r>
    </w:p>
    <w:p w14:paraId="0DBFC9C0" w14:textId="77777777" w:rsidR="00386AE3" w:rsidRPr="00AC42DF" w:rsidRDefault="00386AE3" w:rsidP="00386AE3">
      <w:pPr>
        <w:numPr>
          <w:ilvl w:val="0"/>
          <w:numId w:val="106"/>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failure to regulate the disposition of the fund's financial resources at the level required by the legislature.</w:t>
      </w:r>
    </w:p>
    <w:p w14:paraId="11AB7038"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Accordingly, the more accurate classification is:</w:t>
      </w:r>
    </w:p>
    <w:p w14:paraId="78FCC0EC"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The provision contains constitutionally significant omissions, but not the alleged omission concerning procedural safeguards before termination of academic service.</w:t>
      </w:r>
    </w:p>
    <w:p w14:paraId="138220D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distinction is particularly important in a comparative study because it prevents the model from identifying a "gap" merely because the question directs it to search for one.</w:t>
      </w:r>
    </w:p>
    <w:p w14:paraId="02336CF8" w14:textId="77777777" w:rsidR="00386AE3" w:rsidRPr="00AC42DF"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CA1C357">
          <v:rect id="_x0000_i1096" style="width:0;height:1.5pt" o:hralign="center" o:hrstd="t" o:hr="t" fillcolor="#a0a0a0" stroked="f"/>
        </w:pict>
      </w:r>
    </w:p>
    <w:p w14:paraId="09E81FCB"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5. Judicial-Review Perspective</w:t>
      </w:r>
    </w:p>
    <w:p w14:paraId="29185CFB"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Assume that a member of the academic staff brings a constitutional challenge against Article (223) on the ground that it </w:t>
      </w:r>
      <w:r w:rsidRPr="00AC42DF">
        <w:rPr>
          <w:rFonts w:ascii="Times New Roman" w:eastAsia="Times New Roman" w:hAnsi="Times New Roman" w:cs="Times New Roman"/>
          <w:b/>
          <w:bCs/>
          <w:kern w:val="0"/>
          <w14:ligatures w14:val="none"/>
        </w:rPr>
        <w:t>does not provide an adequate procedural safeguard before termination of his service</w:t>
      </w:r>
      <w:r w:rsidRPr="00AC42DF">
        <w:rPr>
          <w:rFonts w:ascii="Times New Roman" w:eastAsia="Times New Roman" w:hAnsi="Times New Roman" w:cs="Times New Roman"/>
          <w:kern w:val="0"/>
          <w14:ligatures w14:val="none"/>
        </w:rPr>
        <w:t>.</w:t>
      </w:r>
    </w:p>
    <w:p w14:paraId="26B3D66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 first step that a constitutional court should undertake is not to assess the adequacy of the safeguard, but rather to </w:t>
      </w:r>
      <w:r w:rsidRPr="00AC42DF">
        <w:rPr>
          <w:rFonts w:ascii="Times New Roman" w:eastAsia="Times New Roman" w:hAnsi="Times New Roman" w:cs="Times New Roman"/>
          <w:b/>
          <w:bCs/>
          <w:kern w:val="0"/>
          <w14:ligatures w14:val="none"/>
        </w:rPr>
        <w:t>verify the connection between the challenged provision and the legal position at issue</w:t>
      </w:r>
      <w:r w:rsidRPr="00AC42DF">
        <w:rPr>
          <w:rFonts w:ascii="Times New Roman" w:eastAsia="Times New Roman" w:hAnsi="Times New Roman" w:cs="Times New Roman"/>
          <w:kern w:val="0"/>
          <w14:ligatures w14:val="none"/>
        </w:rPr>
        <w:t>.</w:t>
      </w:r>
    </w:p>
    <w:p w14:paraId="5C35E89A"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First step: determining the scope of the provision</w:t>
      </w:r>
    </w:p>
    <w:p w14:paraId="1B294BB4"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lastRenderedPageBreak/>
        <w:t>Article (223) regulates a fund for social, health, and cultural services, the contributions paid by establishments to finance it, the composition of its board of directors, and its financial and administrative regulations.</w:t>
      </w:r>
    </w:p>
    <w:p w14:paraId="1A49FBD4"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provision contains no rule concerning the termination of the service of an academic staff member.</w:t>
      </w:r>
    </w:p>
    <w:p w14:paraId="234EB9C7"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Second step: identifying the alleged constitutional defect</w:t>
      </w:r>
    </w:p>
    <w:p w14:paraId="1E39BEE4"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hypothetical challenge asserts that the provision is unconstitutional because it does not provide a safeguard before termination of service.</w:t>
      </w:r>
    </w:p>
    <w:p w14:paraId="285D0221"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However, the existence of an important constitutional subject is not sufficient. The alleged defect must be attributable to the challenged provision and must have a legal connection to its application to the claimant.</w:t>
      </w:r>
    </w:p>
    <w:p w14:paraId="1327628A"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On the text presented, that connection appears to be absent.</w:t>
      </w:r>
    </w:p>
    <w:p w14:paraId="68FC0499"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Third step: avoiding confusion between different provisions</w:t>
      </w:r>
    </w:p>
    <w:p w14:paraId="274951D4"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If the termination of an academic staff member's service is actually based on another legal provision—for example, a provision of the Universities Organization Law, its regulations, or another employment statute—then the procedural safeguard must be examined within the framework of </w:t>
      </w:r>
      <w:r w:rsidRPr="00AC42DF">
        <w:rPr>
          <w:rFonts w:ascii="Times New Roman" w:eastAsia="Times New Roman" w:hAnsi="Times New Roman" w:cs="Times New Roman"/>
          <w:b/>
          <w:bCs/>
          <w:kern w:val="0"/>
          <w14:ligatures w14:val="none"/>
        </w:rPr>
        <w:t>the provision governing termination of service</w:t>
      </w:r>
      <w:r w:rsidRPr="00AC42DF">
        <w:rPr>
          <w:rFonts w:ascii="Times New Roman" w:eastAsia="Times New Roman" w:hAnsi="Times New Roman" w:cs="Times New Roman"/>
          <w:kern w:val="0"/>
          <w14:ligatures w14:val="none"/>
        </w:rPr>
        <w:t>, rather than within Article (223).</w:t>
      </w:r>
    </w:p>
    <w:p w14:paraId="42D4E93D"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Most likely legal approach</w:t>
      </w:r>
    </w:p>
    <w:p w14:paraId="7D049DFA"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From a legal and methodological perspective, </w:t>
      </w:r>
      <w:r w:rsidRPr="00AC42DF">
        <w:rPr>
          <w:rFonts w:ascii="Times New Roman" w:eastAsia="Times New Roman" w:hAnsi="Times New Roman" w:cs="Times New Roman"/>
          <w:b/>
          <w:bCs/>
          <w:kern w:val="0"/>
          <w14:ligatures w14:val="none"/>
        </w:rPr>
        <w:t>the stronger position would be to reject a constitutional challenge based on Article (223) on the ground that it lacks a procedural safeguard prior to termination of service</w:t>
      </w:r>
      <w:r w:rsidRPr="00AC42DF">
        <w:rPr>
          <w:rFonts w:ascii="Times New Roman" w:eastAsia="Times New Roman" w:hAnsi="Times New Roman" w:cs="Times New Roman"/>
          <w:kern w:val="0"/>
          <w14:ligatures w14:val="none"/>
        </w:rPr>
        <w:t>. This is not because procedural safeguards are constitutionally unimportant, but because the challenged provision does not regulate the matter at issue.</w:t>
      </w:r>
    </w:p>
    <w:p w14:paraId="352D7156"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Conversely, the provision does contain genuine constitutional issues, some of which have in fact been judicially addressed, but those issues concern legislative delegation and the financial and regulatory boundaries of the fund, rather than termination of service of an academic staff member.</w:t>
      </w:r>
    </w:p>
    <w:p w14:paraId="2B61D147" w14:textId="77777777" w:rsidR="00386AE3" w:rsidRPr="00AC42DF"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4CFA431">
          <v:rect id="_x0000_i1097" style="width:0;height:1.5pt" o:hralign="center" o:hrstd="t" o:hr="t" fillcolor="#a0a0a0" stroked="f"/>
        </w:pict>
      </w:r>
    </w:p>
    <w:p w14:paraId="62A64CE2"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6. Proposed Legislative Amendment</w:t>
      </w:r>
    </w:p>
    <w:p w14:paraId="20E06DDE"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I would not propose an amendment to Article (223) adding a safeguard prior to the termination of the service of an academic staff member.</w:t>
      </w:r>
    </w:p>
    <w:p w14:paraId="5CE3A979"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lastRenderedPageBreak/>
        <w:t>Such an amendment would be artificial and inconsistent with the subject matter of the provision.</w:t>
      </w:r>
    </w:p>
    <w:p w14:paraId="24E98045"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Adding language such as:</w:t>
      </w:r>
    </w:p>
    <w:p w14:paraId="2CEA8D77"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service of an academic staff member may not be terminated unless he has first been notified and heard..."</w:t>
      </w:r>
    </w:p>
    <w:p w14:paraId="3D41E320"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to Article (223) would be legislatively incoherent because the provision regulates a fund for social, health, and cultural services for workers, rather than the employment regime governing academic staff members.</w:t>
      </w:r>
    </w:p>
    <w:p w14:paraId="23B314C0"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If the actual legislative objective is to address the </w:t>
      </w:r>
      <w:r w:rsidRPr="00AC42DF">
        <w:rPr>
          <w:rFonts w:ascii="Times New Roman" w:eastAsia="Times New Roman" w:hAnsi="Times New Roman" w:cs="Times New Roman"/>
          <w:b/>
          <w:bCs/>
          <w:kern w:val="0"/>
          <w14:ligatures w14:val="none"/>
        </w:rPr>
        <w:t>constitutional gaps identified in the provision itself</w:t>
      </w:r>
      <w:r w:rsidRPr="00AC42DF">
        <w:rPr>
          <w:rFonts w:ascii="Times New Roman" w:eastAsia="Times New Roman" w:hAnsi="Times New Roman" w:cs="Times New Roman"/>
          <w:kern w:val="0"/>
          <w14:ligatures w14:val="none"/>
        </w:rPr>
        <w:t>, the amendment should instead address the elements that have been identified as deficient, particularly establishing a maximum contribution, specifying the services at the legislative level, and regulating the manner in which the fund's financial resources are to be disposed of.</w:t>
      </w:r>
    </w:p>
    <w:p w14:paraId="282FC03A"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is not merely a theoretical proposal, since the Egyptian Supreme Constitutional Court held the provision unconstitutional in these respects.</w:t>
      </w:r>
    </w:p>
    <w:p w14:paraId="4AEE2692" w14:textId="77777777" w:rsidR="00386AE3" w:rsidRPr="00AC42DF" w:rsidRDefault="00000000" w:rsidP="00386AE3">
      <w:pPr>
        <w:spacing w:before="0" w:after="0" w:line="240" w:lineRule="auto"/>
        <w:ind w:firstLine="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CDABF7F">
          <v:rect id="_x0000_i1098" style="width:0;height:1.5pt" o:hralign="center" o:hrstd="t" o:hr="t" fillcolor="#a0a0a0" stroked="f"/>
        </w:pict>
      </w:r>
    </w:p>
    <w:p w14:paraId="2D4A7D0A"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7. Confidence and Limitations</w:t>
      </w:r>
    </w:p>
    <w:p w14:paraId="1DABC5D9"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1. Overall conclusion</w:t>
      </w:r>
    </w:p>
    <w:p w14:paraId="61D1C7CF"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The provision presented does not regulate the termination of the service of an academic staff member and, therefore, its failure to contain a procedural safeguard prior to termination of service cannot be characterized as a legislative gap in this provision.</w:t>
      </w:r>
    </w:p>
    <w:p w14:paraId="47EB2FF5"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At the same time, the provision itself contains genuine regulatory gaps of constitutional significance, some of which have been judicially resolved, particularly:</w:t>
      </w:r>
    </w:p>
    <w:p w14:paraId="249BA917" w14:textId="77777777" w:rsidR="00386AE3" w:rsidRPr="00AC42DF" w:rsidRDefault="00386AE3" w:rsidP="00386AE3">
      <w:pPr>
        <w:numPr>
          <w:ilvl w:val="0"/>
          <w:numId w:val="107"/>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absence of a maximum contribution;</w:t>
      </w:r>
    </w:p>
    <w:p w14:paraId="02B29E18" w14:textId="77777777" w:rsidR="00386AE3" w:rsidRPr="00AC42DF" w:rsidRDefault="00386AE3" w:rsidP="00386AE3">
      <w:pPr>
        <w:numPr>
          <w:ilvl w:val="0"/>
          <w:numId w:val="107"/>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failure to specify the services; and</w:t>
      </w:r>
    </w:p>
    <w:p w14:paraId="19679DD1" w14:textId="77777777" w:rsidR="00386AE3" w:rsidRPr="00AC42DF" w:rsidRDefault="00386AE3" w:rsidP="00386AE3">
      <w:pPr>
        <w:numPr>
          <w:ilvl w:val="0"/>
          <w:numId w:val="107"/>
        </w:numPr>
        <w:spacing w:before="100" w:beforeAutospacing="1" w:after="100" w:afterAutospacing="1" w:line="240" w:lineRule="auto"/>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failure to specify how the fund's resources are to be disposed of.</w:t>
      </w:r>
    </w:p>
    <w:p w14:paraId="371E1D04"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2. Strongest argument supporting the conclusion</w:t>
      </w:r>
    </w:p>
    <w:p w14:paraId="194BF4E0"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 strongest argument is the </w:t>
      </w:r>
      <w:r w:rsidRPr="00AC42DF">
        <w:rPr>
          <w:rFonts w:ascii="Times New Roman" w:eastAsia="Times New Roman" w:hAnsi="Times New Roman" w:cs="Times New Roman"/>
          <w:b/>
          <w:bCs/>
          <w:kern w:val="0"/>
          <w14:ligatures w14:val="none"/>
        </w:rPr>
        <w:t>objective scope of the statutory text</w:t>
      </w:r>
      <w:r w:rsidRPr="00AC42DF">
        <w:rPr>
          <w:rFonts w:ascii="Times New Roman" w:eastAsia="Times New Roman" w:hAnsi="Times New Roman" w:cs="Times New Roman"/>
          <w:kern w:val="0"/>
          <w14:ligatures w14:val="none"/>
        </w:rPr>
        <w:t>: a procedural safeguard prior to termination of service cannot be inferred from a provision that does not regulate termination of service at all.</w:t>
      </w:r>
    </w:p>
    <w:p w14:paraId="11FE07B9"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This requires rejecting the transition from "absence of a particular rule" to "legislative gap" without first establishing that the issue falls within the substantive scope of the provision.</w:t>
      </w:r>
    </w:p>
    <w:p w14:paraId="597B0F95"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3. Strongest argument against it</w:t>
      </w:r>
    </w:p>
    <w:p w14:paraId="6111BCF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lastRenderedPageBreak/>
        <w:t>The strongest possible counterargument is that constitutional assessment should not be confined to a narrowly literal reading, and that the provision may form part of a broader legislative framework in which individual safeguards should be considered as a whole.</w:t>
      </w:r>
    </w:p>
    <w:p w14:paraId="008C2B67"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However, this argument </w:t>
      </w:r>
      <w:r w:rsidRPr="00AC42DF">
        <w:rPr>
          <w:rFonts w:ascii="Times New Roman" w:eastAsia="Times New Roman" w:hAnsi="Times New Roman" w:cs="Times New Roman"/>
          <w:b/>
          <w:bCs/>
          <w:kern w:val="0"/>
          <w14:ligatures w14:val="none"/>
        </w:rPr>
        <w:t>does not establish that the omission can be attributed to Article (223) itself</w:t>
      </w:r>
      <w:r w:rsidRPr="00AC42DF">
        <w:rPr>
          <w:rFonts w:ascii="Times New Roman" w:eastAsia="Times New Roman" w:hAnsi="Times New Roman" w:cs="Times New Roman"/>
          <w:kern w:val="0"/>
          <w14:ligatures w14:val="none"/>
        </w:rPr>
        <w:t xml:space="preserve"> without identifying the other provision governing termination of service and establishing the legal connection between that provision and the provision under challenge.</w:t>
      </w:r>
    </w:p>
    <w:p w14:paraId="1C69BAB4" w14:textId="77777777" w:rsidR="00386AE3" w:rsidRPr="00B1793F" w:rsidRDefault="00386AE3" w:rsidP="00B1793F">
      <w:pPr>
        <w:ind w:firstLine="0"/>
        <w:rPr>
          <w:rFonts w:asciiTheme="majorBidi" w:hAnsiTheme="majorBidi" w:cstheme="majorBidi"/>
          <w:b/>
          <w:bCs/>
          <w:sz w:val="27"/>
          <w:szCs w:val="27"/>
        </w:rPr>
      </w:pPr>
      <w:r w:rsidRPr="00B1793F">
        <w:rPr>
          <w:rFonts w:asciiTheme="majorBidi" w:hAnsiTheme="majorBidi" w:cstheme="majorBidi"/>
          <w:b/>
          <w:bCs/>
          <w:sz w:val="27"/>
          <w:szCs w:val="27"/>
        </w:rPr>
        <w:t>4. Uncertainty and source limitation</w:t>
      </w:r>
    </w:p>
    <w:p w14:paraId="1F2C4C48"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There is a </w:t>
      </w:r>
      <w:r w:rsidRPr="00AC42DF">
        <w:rPr>
          <w:rFonts w:ascii="Times New Roman" w:eastAsia="Times New Roman" w:hAnsi="Times New Roman" w:cs="Times New Roman"/>
          <w:b/>
          <w:bCs/>
          <w:kern w:val="0"/>
          <w14:ligatures w14:val="none"/>
        </w:rPr>
        <w:t>problem concerning the identification of the research sample itself</w:t>
      </w:r>
      <w:r w:rsidRPr="00AC42DF">
        <w:rPr>
          <w:rFonts w:ascii="Times New Roman" w:eastAsia="Times New Roman" w:hAnsi="Times New Roman" w:cs="Times New Roman"/>
          <w:kern w:val="0"/>
          <w14:ligatures w14:val="none"/>
        </w:rPr>
        <w:t xml:space="preserve"> that should be expressly noted:</w:t>
      </w:r>
    </w:p>
    <w:p w14:paraId="017730A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The text provided as:</w:t>
      </w:r>
    </w:p>
    <w:p w14:paraId="549315C1"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"Paragraph (3) of Article (223) of the Civil Service Law issued by Law No. 47 of 1978"</w:t>
      </w:r>
    </w:p>
    <w:p w14:paraId="29B67873"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is, according to the published statutory materials that could be verified, </w:t>
      </w:r>
      <w:r w:rsidRPr="00AC42DF">
        <w:rPr>
          <w:rFonts w:ascii="Times New Roman" w:eastAsia="Times New Roman" w:hAnsi="Times New Roman" w:cs="Times New Roman"/>
          <w:b/>
          <w:bCs/>
          <w:kern w:val="0"/>
          <w14:ligatures w14:val="none"/>
        </w:rPr>
        <w:t xml:space="preserve">Article (223) of the </w:t>
      </w:r>
      <w:proofErr w:type="spellStart"/>
      <w:r w:rsidRPr="00AC42DF">
        <w:rPr>
          <w:rFonts w:ascii="Times New Roman" w:eastAsia="Times New Roman" w:hAnsi="Times New Roman" w:cs="Times New Roman"/>
          <w:b/>
          <w:bCs/>
          <w:kern w:val="0"/>
          <w14:ligatures w14:val="none"/>
        </w:rPr>
        <w:t>Labour</w:t>
      </w:r>
      <w:proofErr w:type="spellEnd"/>
      <w:r w:rsidRPr="00AC42DF">
        <w:rPr>
          <w:rFonts w:ascii="Times New Roman" w:eastAsia="Times New Roman" w:hAnsi="Times New Roman" w:cs="Times New Roman"/>
          <w:b/>
          <w:bCs/>
          <w:kern w:val="0"/>
          <w14:ligatures w14:val="none"/>
        </w:rPr>
        <w:t xml:space="preserve"> Law No. 12 of 2003</w:t>
      </w:r>
      <w:r w:rsidRPr="00AC42DF">
        <w:rPr>
          <w:rFonts w:ascii="Times New Roman" w:eastAsia="Times New Roman" w:hAnsi="Times New Roman" w:cs="Times New Roman"/>
          <w:kern w:val="0"/>
          <w14:ligatures w14:val="none"/>
        </w:rPr>
        <w:t>.</w:t>
      </w:r>
    </w:p>
    <w:p w14:paraId="5837AD9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Furthermore, the text presented is not a "third paragraph" in the ordinary sense; rather, it contains several paragraphs of Article 223.</w:t>
      </w:r>
    </w:p>
    <w:p w14:paraId="6B0C5811"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Accordingly, </w:t>
      </w:r>
      <w:r w:rsidRPr="00AC42DF">
        <w:rPr>
          <w:rFonts w:ascii="Times New Roman" w:eastAsia="Times New Roman" w:hAnsi="Times New Roman" w:cs="Times New Roman"/>
          <w:b/>
          <w:bCs/>
          <w:kern w:val="0"/>
          <w14:ligatures w14:val="none"/>
        </w:rPr>
        <w:t>if this is an empirical study comparing model responses, this is not merely a formal observation</w:t>
      </w:r>
      <w:r w:rsidRPr="00AC42DF">
        <w:rPr>
          <w:rFonts w:ascii="Times New Roman" w:eastAsia="Times New Roman" w:hAnsi="Times New Roman" w:cs="Times New Roman"/>
          <w:kern w:val="0"/>
          <w14:ligatures w14:val="none"/>
        </w:rPr>
        <w:t xml:space="preserve">: attributing the text to a different statute and then asking the model to analyze a safeguard concerning academic staff may cause the experiment to test the model's ability to detect </w:t>
      </w:r>
      <w:r w:rsidRPr="00AC42DF">
        <w:rPr>
          <w:rFonts w:ascii="Times New Roman" w:eastAsia="Times New Roman" w:hAnsi="Times New Roman" w:cs="Times New Roman"/>
          <w:b/>
          <w:bCs/>
          <w:kern w:val="0"/>
          <w14:ligatures w14:val="none"/>
        </w:rPr>
        <w:t>an error in identifying the statutory provision</w:t>
      </w:r>
      <w:r w:rsidRPr="00AC42DF">
        <w:rPr>
          <w:rFonts w:ascii="Times New Roman" w:eastAsia="Times New Roman" w:hAnsi="Times New Roman" w:cs="Times New Roman"/>
          <w:kern w:val="0"/>
          <w14:ligatures w14:val="none"/>
        </w:rPr>
        <w:t xml:space="preserve"> rather than its ability to identify a legislative gap.</w:t>
      </w:r>
    </w:p>
    <w:p w14:paraId="539B83ED"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kern w:val="0"/>
          <w14:ligatures w14:val="none"/>
        </w:rPr>
        <w:t xml:space="preserve">More importantly, Constitutional Case No. </w:t>
      </w:r>
      <w:r w:rsidRPr="00AC42DF">
        <w:rPr>
          <w:rFonts w:ascii="Times New Roman" w:eastAsia="Times New Roman" w:hAnsi="Times New Roman" w:cs="Times New Roman"/>
          <w:b/>
          <w:bCs/>
          <w:kern w:val="0"/>
          <w14:ligatures w14:val="none"/>
        </w:rPr>
        <w:t>21 of Judicial Year 30</w:t>
      </w:r>
      <w:r w:rsidRPr="00AC42DF">
        <w:rPr>
          <w:rFonts w:ascii="Times New Roman" w:eastAsia="Times New Roman" w:hAnsi="Times New Roman" w:cs="Times New Roman"/>
          <w:kern w:val="0"/>
          <w14:ligatures w14:val="none"/>
        </w:rPr>
        <w:t xml:space="preserve"> constitutes an actual judicial authority directly connected to Article 223 of the </w:t>
      </w:r>
      <w:proofErr w:type="spellStart"/>
      <w:r w:rsidRPr="00AC42DF">
        <w:rPr>
          <w:rFonts w:ascii="Times New Roman" w:eastAsia="Times New Roman" w:hAnsi="Times New Roman" w:cs="Times New Roman"/>
          <w:kern w:val="0"/>
          <w14:ligatures w14:val="none"/>
        </w:rPr>
        <w:t>Labour</w:t>
      </w:r>
      <w:proofErr w:type="spellEnd"/>
      <w:r w:rsidRPr="00AC42DF">
        <w:rPr>
          <w:rFonts w:ascii="Times New Roman" w:eastAsia="Times New Roman" w:hAnsi="Times New Roman" w:cs="Times New Roman"/>
          <w:kern w:val="0"/>
          <w14:ligatures w14:val="none"/>
        </w:rPr>
        <w:t xml:space="preserve"> Law and addressed genuine constitutional omissions in the provision, but those omissions are entirely different from the alleged omission concerning procedural safeguards before termination of service.</w:t>
      </w:r>
    </w:p>
    <w:p w14:paraId="10210FC4" w14:textId="77777777" w:rsidR="00386AE3" w:rsidRPr="00AC42DF"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C42DF">
        <w:rPr>
          <w:rFonts w:ascii="Times New Roman" w:eastAsia="Times New Roman" w:hAnsi="Times New Roman" w:cs="Times New Roman"/>
          <w:b/>
          <w:bCs/>
          <w:kern w:val="0"/>
          <w14:ligatures w14:val="none"/>
        </w:rPr>
        <w:t>Accordingly, if the objective is to test the model without directing it toward a predetermined conclusion, the methodologically correct response is not to state that there is a gap in the safeguards governing termination of academic staff service. Rather, it is to identify the mismatch between the text supplied and its statutory description and between the provision's subject matter and the questions imposed upon it, while recognizing that other genuine constitutional omissions exist within the provision itself.</w:t>
      </w:r>
    </w:p>
    <w:p w14:paraId="5F667E8F" w14:textId="77777777" w:rsidR="00386AE3" w:rsidRDefault="00386AE3" w:rsidP="00386AE3">
      <w:pPr>
        <w:jc w:val="both"/>
        <w:rPr>
          <w:rtl/>
          <w:lang w:bidi="ar-EG"/>
        </w:rPr>
      </w:pPr>
      <w:r>
        <w:rPr>
          <w:lang w:bidi="ar-EG"/>
        </w:rPr>
        <w:br w:type="page"/>
      </w:r>
    </w:p>
    <w:p w14:paraId="7A12222A" w14:textId="74915E5E" w:rsidR="00386AE3" w:rsidRPr="00797A5A" w:rsidRDefault="00386AE3" w:rsidP="00797A5A">
      <w:pPr>
        <w:pStyle w:val="2"/>
        <w:rPr>
          <w:rFonts w:asciiTheme="majorBidi" w:hAnsiTheme="majorBidi" w:cstheme="majorBidi"/>
        </w:rPr>
      </w:pPr>
      <w:r w:rsidRPr="00797A5A">
        <w:rPr>
          <w:rFonts w:asciiTheme="majorBidi" w:hAnsiTheme="majorBidi" w:cstheme="majorBidi"/>
        </w:rPr>
        <w:lastRenderedPageBreak/>
        <w:t xml:space="preserve">Gemini </w:t>
      </w:r>
      <w:r w:rsidR="00797A5A" w:rsidRPr="00797A5A">
        <w:rPr>
          <w:rFonts w:asciiTheme="majorBidi" w:hAnsiTheme="majorBidi" w:cstheme="majorBidi"/>
        </w:rPr>
        <w:t>Output</w:t>
      </w:r>
    </w:p>
    <w:p w14:paraId="24B5ACE1"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1. Statutory Structure</w:t>
      </w:r>
    </w:p>
    <w:p w14:paraId="68B604E2"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Paragraph (3) of Article 223 of the Civil Service Law No. 47 of 1978 establishes a decentralized regulatory and financial framework for a national fund providing social, health, and cultural services to workers.</w:t>
      </w:r>
    </w:p>
    <w:p w14:paraId="29E64771"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Based on the text of the provision itself, the structural elements are mapped as follows:</w:t>
      </w:r>
    </w:p>
    <w:p w14:paraId="024F7EC4" w14:textId="77777777" w:rsidR="00386AE3" w:rsidRPr="00A63A57" w:rsidRDefault="00386AE3" w:rsidP="00386AE3">
      <w:pPr>
        <w:numPr>
          <w:ilvl w:val="0"/>
          <w:numId w:val="108"/>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The triggering event:</w:t>
      </w:r>
      <w:r w:rsidRPr="00A63A57">
        <w:rPr>
          <w:rFonts w:ascii="Times New Roman" w:eastAsia="Times New Roman" w:hAnsi="Times New Roman" w:cs="Times New Roman"/>
          <w:kern w:val="0"/>
          <w14:ligatures w14:val="none"/>
        </w:rPr>
        <w:t xml:space="preserve"> The statutory mandate requiring every business/establishment employing twenty or more workers to contribute financially to a newly established national fund.</w:t>
      </w:r>
    </w:p>
    <w:p w14:paraId="3EBEC7F8" w14:textId="77777777" w:rsidR="00386AE3" w:rsidRPr="00A63A57" w:rsidRDefault="00386AE3" w:rsidP="00386AE3">
      <w:pPr>
        <w:numPr>
          <w:ilvl w:val="0"/>
          <w:numId w:val="108"/>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The statutory period:</w:t>
      </w:r>
      <w:r w:rsidRPr="00A63A57">
        <w:rPr>
          <w:rFonts w:ascii="Times New Roman" w:eastAsia="Times New Roman" w:hAnsi="Times New Roman" w:cs="Times New Roman"/>
          <w:kern w:val="0"/>
          <w14:ligatures w14:val="none"/>
        </w:rPr>
        <w:t xml:space="preserve"> An annual recurrence ("</w:t>
      </w:r>
      <w:r w:rsidRPr="00A63A57">
        <w:rPr>
          <w:rFonts w:ascii="Times New Roman" w:eastAsia="Times New Roman" w:hAnsi="Times New Roman" w:cs="Times New Roman"/>
          <w:kern w:val="0"/>
          <w:rtl/>
          <w14:ligatures w14:val="none"/>
        </w:rPr>
        <w:t>سنويا</w:t>
      </w:r>
      <w:r w:rsidRPr="00A63A57">
        <w:rPr>
          <w:rFonts w:ascii="Times New Roman" w:eastAsia="Times New Roman" w:hAnsi="Times New Roman" w:cs="Times New Roman"/>
          <w:kern w:val="0"/>
          <w14:ligatures w14:val="none"/>
        </w:rPr>
        <w:t>") for the financial contribution, alongside open-ended ministerial delegations for issuing implementing decrees.</w:t>
      </w:r>
    </w:p>
    <w:p w14:paraId="380A59BA" w14:textId="77777777" w:rsidR="00386AE3" w:rsidRPr="00A63A57" w:rsidRDefault="00386AE3" w:rsidP="00386AE3">
      <w:pPr>
        <w:numPr>
          <w:ilvl w:val="0"/>
          <w:numId w:val="108"/>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The legal consequence:</w:t>
      </w:r>
      <w:r w:rsidRPr="00A63A57">
        <w:rPr>
          <w:rFonts w:ascii="Times New Roman" w:eastAsia="Times New Roman" w:hAnsi="Times New Roman" w:cs="Times New Roman"/>
          <w:kern w:val="0"/>
          <w14:ligatures w14:val="none"/>
        </w:rPr>
        <w:t xml:space="preserve"> The creation of a national fund ("</w:t>
      </w:r>
      <w:r w:rsidRPr="00A63A57">
        <w:rPr>
          <w:rFonts w:ascii="Times New Roman" w:eastAsia="Times New Roman" w:hAnsi="Times New Roman" w:cs="Times New Roman"/>
          <w:kern w:val="0"/>
          <w:rtl/>
          <w14:ligatures w14:val="none"/>
        </w:rPr>
        <w:t>صندوق للخدمات الاجتماعية والصحية والثقافية على المستوى القومي</w:t>
      </w:r>
      <w:r w:rsidRPr="00A63A57">
        <w:rPr>
          <w:rFonts w:ascii="Times New Roman" w:eastAsia="Times New Roman" w:hAnsi="Times New Roman" w:cs="Times New Roman"/>
          <w:kern w:val="0"/>
          <w14:ligatures w14:val="none"/>
        </w:rPr>
        <w:t>") at the competent ministry, funded by mandatory employer contributions (at least 5 Egyptian pounds per worker annually, subject to ministerial increase), and governed through a tripartite representation board.</w:t>
      </w:r>
    </w:p>
    <w:p w14:paraId="0020FCE1" w14:textId="77777777" w:rsidR="00386AE3" w:rsidRPr="00A63A57" w:rsidRDefault="00386AE3" w:rsidP="00386AE3">
      <w:pPr>
        <w:numPr>
          <w:ilvl w:val="0"/>
          <w:numId w:val="108"/>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The possibility of returning within the prescribed period:</w:t>
      </w:r>
      <w:r w:rsidRPr="00A63A57">
        <w:rPr>
          <w:rFonts w:ascii="Times New Roman" w:eastAsia="Times New Roman" w:hAnsi="Times New Roman" w:cs="Times New Roman"/>
          <w:kern w:val="0"/>
          <w14:ligatures w14:val="none"/>
        </w:rPr>
        <w:t xml:space="preserve"> </w:t>
      </w:r>
      <w:r w:rsidRPr="00A63A57">
        <w:rPr>
          <w:rFonts w:ascii="Times New Roman" w:eastAsia="Times New Roman" w:hAnsi="Times New Roman" w:cs="Times New Roman"/>
          <w:i/>
          <w:iCs/>
          <w:kern w:val="0"/>
          <w14:ligatures w14:val="none"/>
        </w:rPr>
        <w:t>Not applicable</w:t>
      </w:r>
      <w:r w:rsidRPr="00A63A57">
        <w:rPr>
          <w:rFonts w:ascii="Times New Roman" w:eastAsia="Times New Roman" w:hAnsi="Times New Roman" w:cs="Times New Roman"/>
          <w:kern w:val="0"/>
          <w14:ligatures w14:val="none"/>
        </w:rPr>
        <w:t xml:space="preserve"> to this specific administrative-financial framework, as the provision does not govern individual employment reinstatements, tenure tracks, or grievance deadlines, but rather structural funding and institutional management.</w:t>
      </w:r>
    </w:p>
    <w:p w14:paraId="0C920215" w14:textId="77777777" w:rsidR="00386AE3" w:rsidRPr="00A63A57" w:rsidRDefault="00386AE3" w:rsidP="00386AE3">
      <w:pPr>
        <w:numPr>
          <w:ilvl w:val="0"/>
          <w:numId w:val="108"/>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The role of competent university bodies:</w:t>
      </w:r>
      <w:r w:rsidRPr="00A63A57">
        <w:rPr>
          <w:rFonts w:ascii="Times New Roman" w:eastAsia="Times New Roman" w:hAnsi="Times New Roman" w:cs="Times New Roman"/>
          <w:kern w:val="0"/>
          <w14:ligatures w14:val="none"/>
        </w:rPr>
        <w:t xml:space="preserve"> </w:t>
      </w:r>
      <w:r w:rsidRPr="00A63A57">
        <w:rPr>
          <w:rFonts w:ascii="Times New Roman" w:eastAsia="Times New Roman" w:hAnsi="Times New Roman" w:cs="Times New Roman"/>
          <w:i/>
          <w:iCs/>
          <w:kern w:val="0"/>
          <w14:ligatures w14:val="none"/>
        </w:rPr>
        <w:t>Not applicable</w:t>
      </w:r>
      <w:r w:rsidRPr="00A63A57">
        <w:rPr>
          <w:rFonts w:ascii="Times New Roman" w:eastAsia="Times New Roman" w:hAnsi="Times New Roman" w:cs="Times New Roman"/>
          <w:kern w:val="0"/>
          <w14:ligatures w14:val="none"/>
        </w:rPr>
        <w:t xml:space="preserve"> to this text. Although some template prompts refer to academic staff, the text under analysis governs general workforce establishments ("</w:t>
      </w:r>
      <w:r w:rsidRPr="00A63A57">
        <w:rPr>
          <w:rFonts w:ascii="Times New Roman" w:eastAsia="Times New Roman" w:hAnsi="Times New Roman" w:cs="Times New Roman"/>
          <w:kern w:val="0"/>
          <w:rtl/>
          <w14:ligatures w14:val="none"/>
        </w:rPr>
        <w:t>كل منشأة يبلغ عدد عمالها عشرين عاملا فأكثر</w:t>
      </w:r>
      <w:r w:rsidRPr="00A63A57">
        <w:rPr>
          <w:rFonts w:ascii="Times New Roman" w:eastAsia="Times New Roman" w:hAnsi="Times New Roman" w:cs="Times New Roman"/>
          <w:kern w:val="0"/>
          <w14:ligatures w14:val="none"/>
        </w:rPr>
        <w:t>") and labor unions ("</w:t>
      </w:r>
      <w:r w:rsidRPr="00A63A57">
        <w:rPr>
          <w:rFonts w:ascii="Times New Roman" w:eastAsia="Times New Roman" w:hAnsi="Times New Roman" w:cs="Times New Roman"/>
          <w:kern w:val="0"/>
          <w:rtl/>
          <w14:ligatures w14:val="none"/>
        </w:rPr>
        <w:t>الاتحاد العام لنقابات عمال مصر ومنظمات أصحاب الأعمال</w:t>
      </w:r>
      <w:r w:rsidRPr="00A63A57">
        <w:rPr>
          <w:rFonts w:ascii="Times New Roman" w:eastAsia="Times New Roman" w:hAnsi="Times New Roman" w:cs="Times New Roman"/>
          <w:kern w:val="0"/>
          <w14:ligatures w14:val="none"/>
        </w:rPr>
        <w:t>"). There are no university bodies mentioned in the statutory text.</w:t>
      </w:r>
    </w:p>
    <w:p w14:paraId="586697E6" w14:textId="77777777" w:rsidR="00386AE3" w:rsidRPr="00A63A57" w:rsidRDefault="00386AE3" w:rsidP="00386AE3">
      <w:pPr>
        <w:numPr>
          <w:ilvl w:val="0"/>
          <w:numId w:val="108"/>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Procedural safeguards expressly included:</w:t>
      </w:r>
    </w:p>
    <w:p w14:paraId="72DE4A94" w14:textId="77777777" w:rsidR="00386AE3" w:rsidRPr="00A63A57" w:rsidRDefault="00386AE3" w:rsidP="00386AE3">
      <w:pPr>
        <w:numPr>
          <w:ilvl w:val="1"/>
          <w:numId w:val="108"/>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Mandatory consultation/agreement with social partners—specifically the Egyptian Trade Union Federation (</w:t>
      </w:r>
      <w:r w:rsidRPr="00A63A57">
        <w:rPr>
          <w:rFonts w:ascii="Times New Roman" w:eastAsia="Times New Roman" w:hAnsi="Times New Roman" w:cs="Times New Roman"/>
          <w:kern w:val="0"/>
          <w:rtl/>
          <w14:ligatures w14:val="none"/>
        </w:rPr>
        <w:t>الاتحاد العام لنقابات عمال مصر</w:t>
      </w:r>
      <w:r w:rsidRPr="00A63A57">
        <w:rPr>
          <w:rFonts w:ascii="Times New Roman" w:eastAsia="Times New Roman" w:hAnsi="Times New Roman" w:cs="Times New Roman"/>
          <w:kern w:val="0"/>
          <w14:ligatures w14:val="none"/>
        </w:rPr>
        <w:t>) and employers' organizations (</w:t>
      </w:r>
      <w:r w:rsidRPr="00A63A57">
        <w:rPr>
          <w:rFonts w:ascii="Times New Roman" w:eastAsia="Times New Roman" w:hAnsi="Times New Roman" w:cs="Times New Roman"/>
          <w:kern w:val="0"/>
          <w:rtl/>
          <w14:ligatures w14:val="none"/>
        </w:rPr>
        <w:t>منظمات أصحاب الأعمال</w:t>
      </w:r>
      <w:r w:rsidRPr="00A63A57">
        <w:rPr>
          <w:rFonts w:ascii="Times New Roman" w:eastAsia="Times New Roman" w:hAnsi="Times New Roman" w:cs="Times New Roman"/>
          <w:kern w:val="0"/>
          <w14:ligatures w14:val="none"/>
        </w:rPr>
        <w:t>)—prior to the minister determining the services and exact contribution amounts.</w:t>
      </w:r>
    </w:p>
    <w:p w14:paraId="54E0003B" w14:textId="77777777" w:rsidR="00386AE3" w:rsidRPr="00A63A57" w:rsidRDefault="00386AE3" w:rsidP="00386AE3">
      <w:pPr>
        <w:numPr>
          <w:ilvl w:val="1"/>
          <w:numId w:val="108"/>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A tripartite representation requirement ("</w:t>
      </w:r>
      <w:r w:rsidRPr="00A63A57">
        <w:rPr>
          <w:rFonts w:ascii="Times New Roman" w:eastAsia="Times New Roman" w:hAnsi="Times New Roman" w:cs="Times New Roman"/>
          <w:kern w:val="0"/>
          <w:rtl/>
          <w14:ligatures w14:val="none"/>
        </w:rPr>
        <w:t>التمثيل الثلاثي</w:t>
      </w:r>
      <w:r w:rsidRPr="00A63A57">
        <w:rPr>
          <w:rFonts w:ascii="Times New Roman" w:eastAsia="Times New Roman" w:hAnsi="Times New Roman" w:cs="Times New Roman"/>
          <w:kern w:val="0"/>
          <w14:ligatures w14:val="none"/>
        </w:rPr>
        <w:t>") in the composition of the fund's board of directors, based on nominations from each constituent entity.</w:t>
      </w:r>
    </w:p>
    <w:p w14:paraId="3075CA00" w14:textId="77777777" w:rsidR="00386AE3" w:rsidRPr="00A63A57" w:rsidRDefault="00386AE3" w:rsidP="00386AE3">
      <w:pPr>
        <w:numPr>
          <w:ilvl w:val="1"/>
          <w:numId w:val="108"/>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Statutory floors protecting the baseline contribution amount ("</w:t>
      </w:r>
      <w:r w:rsidRPr="00A63A57">
        <w:rPr>
          <w:rFonts w:ascii="Times New Roman" w:eastAsia="Times New Roman" w:hAnsi="Times New Roman" w:cs="Times New Roman"/>
          <w:kern w:val="0"/>
          <w:rtl/>
          <w14:ligatures w14:val="none"/>
        </w:rPr>
        <w:t>بما لا يقل عن الحد الأدنى المذكور</w:t>
      </w:r>
      <w:r w:rsidRPr="00A63A57">
        <w:rPr>
          <w:rFonts w:ascii="Times New Roman" w:eastAsia="Times New Roman" w:hAnsi="Times New Roman" w:cs="Times New Roman"/>
          <w:kern w:val="0"/>
          <w14:ligatures w14:val="none"/>
        </w:rPr>
        <w:t>" of five pounds).</w:t>
      </w:r>
    </w:p>
    <w:p w14:paraId="31D3316D"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2. Potential Legislative Omissions</w:t>
      </w:r>
    </w:p>
    <w:p w14:paraId="0E1BEAC2"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A. What is absent?</w:t>
      </w:r>
    </w:p>
    <w:p w14:paraId="6009C4E1" w14:textId="77777777" w:rsidR="00386AE3" w:rsidRPr="00A63A57" w:rsidRDefault="00386AE3" w:rsidP="00386AE3">
      <w:pPr>
        <w:numPr>
          <w:ilvl w:val="0"/>
          <w:numId w:val="109"/>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Detailed statutory criteria regarding the precise governance mechanics, voting weights, and dispute-resolution mechanisms within the tripartite board of directors.</w:t>
      </w:r>
    </w:p>
    <w:p w14:paraId="71D2D29D" w14:textId="77777777" w:rsidR="00386AE3" w:rsidRPr="00A63A57" w:rsidRDefault="00386AE3" w:rsidP="00386AE3">
      <w:pPr>
        <w:numPr>
          <w:ilvl w:val="0"/>
          <w:numId w:val="109"/>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Specific enforcement mechanisms, collection procedures, penalties, or default interest for establishments failing to pay the mandatory annual contribution.</w:t>
      </w:r>
    </w:p>
    <w:p w14:paraId="3FE6B9EF" w14:textId="77777777" w:rsidR="00386AE3" w:rsidRPr="00A63A57" w:rsidRDefault="00386AE3" w:rsidP="00386AE3">
      <w:pPr>
        <w:numPr>
          <w:ilvl w:val="0"/>
          <w:numId w:val="109"/>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lastRenderedPageBreak/>
        <w:t>Statutory parameters or upper ceilings governing the financial and administrative bylaws ("</w:t>
      </w:r>
      <w:r w:rsidRPr="00A63A57">
        <w:rPr>
          <w:rFonts w:ascii="Times New Roman" w:eastAsia="Times New Roman" w:hAnsi="Times New Roman" w:cs="Times New Roman"/>
          <w:kern w:val="0"/>
          <w:rtl/>
          <w14:ligatures w14:val="none"/>
        </w:rPr>
        <w:t>اللائحة المالية والإدارية</w:t>
      </w:r>
      <w:r w:rsidRPr="00A63A57">
        <w:rPr>
          <w:rFonts w:ascii="Times New Roman" w:eastAsia="Times New Roman" w:hAnsi="Times New Roman" w:cs="Times New Roman"/>
          <w:kern w:val="0"/>
          <w14:ligatures w14:val="none"/>
        </w:rPr>
        <w:t>") to be issued unilaterally or semi-unilaterally by the competent minister regarding the disposal of fund assets.</w:t>
      </w:r>
    </w:p>
    <w:p w14:paraId="1177EB0E"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B. Why it might matter legally?</w:t>
      </w:r>
    </w:p>
    <w:p w14:paraId="40813AC6"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 xml:space="preserve">The absence of collection enforcement mechanisms could render the fund financially unviable if </w:t>
      </w:r>
      <w:proofErr w:type="gramStart"/>
      <w:r w:rsidRPr="00A63A57">
        <w:rPr>
          <w:rFonts w:ascii="Times New Roman" w:eastAsia="Times New Roman" w:hAnsi="Times New Roman" w:cs="Times New Roman"/>
          <w:kern w:val="0"/>
          <w14:ligatures w14:val="none"/>
        </w:rPr>
        <w:t>employers</w:t>
      </w:r>
      <w:proofErr w:type="gramEnd"/>
      <w:r w:rsidRPr="00A63A57">
        <w:rPr>
          <w:rFonts w:ascii="Times New Roman" w:eastAsia="Times New Roman" w:hAnsi="Times New Roman" w:cs="Times New Roman"/>
          <w:kern w:val="0"/>
          <w14:ligatures w14:val="none"/>
        </w:rPr>
        <w:t xml:space="preserve"> default. Conversely, delegating sweeping financial and administrative bylaws to executive decree without statutory ceilings risks executive overreach over private-sector and worker financial contributions.</w:t>
      </w:r>
    </w:p>
    <w:p w14:paraId="38B88ABB"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C. Material vs. Incidental Omission</w:t>
      </w:r>
    </w:p>
    <w:p w14:paraId="1AAF08BE"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 xml:space="preserve">These omissions are </w:t>
      </w:r>
      <w:r w:rsidRPr="00A63A57">
        <w:rPr>
          <w:rFonts w:ascii="Times New Roman" w:eastAsia="Times New Roman" w:hAnsi="Times New Roman" w:cs="Times New Roman"/>
          <w:b/>
          <w:bCs/>
          <w:kern w:val="0"/>
          <w14:ligatures w14:val="none"/>
        </w:rPr>
        <w:t>incidental and structural delegation choices</w:t>
      </w:r>
      <w:r w:rsidRPr="00A63A57">
        <w:rPr>
          <w:rFonts w:ascii="Times New Roman" w:eastAsia="Times New Roman" w:hAnsi="Times New Roman" w:cs="Times New Roman"/>
          <w:kern w:val="0"/>
          <w14:ligatures w14:val="none"/>
        </w:rPr>
        <w:t>, typical of framework legislation (</w:t>
      </w:r>
      <w:proofErr w:type="spellStart"/>
      <w:r w:rsidRPr="00A63A57">
        <w:rPr>
          <w:rFonts w:ascii="Times New Roman" w:eastAsia="Times New Roman" w:hAnsi="Times New Roman" w:cs="Times New Roman"/>
          <w:i/>
          <w:iCs/>
          <w:kern w:val="0"/>
          <w14:ligatures w14:val="none"/>
        </w:rPr>
        <w:t>legislação</w:t>
      </w:r>
      <w:proofErr w:type="spellEnd"/>
      <w:r w:rsidRPr="00A63A57">
        <w:rPr>
          <w:rFonts w:ascii="Times New Roman" w:eastAsia="Times New Roman" w:hAnsi="Times New Roman" w:cs="Times New Roman"/>
          <w:i/>
          <w:iCs/>
          <w:kern w:val="0"/>
          <w14:ligatures w14:val="none"/>
        </w:rPr>
        <w:t xml:space="preserve"> de </w:t>
      </w:r>
      <w:proofErr w:type="spellStart"/>
      <w:r w:rsidRPr="00A63A57">
        <w:rPr>
          <w:rFonts w:ascii="Times New Roman" w:eastAsia="Times New Roman" w:hAnsi="Times New Roman" w:cs="Times New Roman"/>
          <w:i/>
          <w:iCs/>
          <w:kern w:val="0"/>
          <w14:ligatures w14:val="none"/>
        </w:rPr>
        <w:t>princípio</w:t>
      </w:r>
      <w:proofErr w:type="spellEnd"/>
      <w:r w:rsidRPr="00A63A57">
        <w:rPr>
          <w:rFonts w:ascii="Times New Roman" w:eastAsia="Times New Roman" w:hAnsi="Times New Roman" w:cs="Times New Roman"/>
          <w:kern w:val="0"/>
          <w14:ligatures w14:val="none"/>
        </w:rPr>
        <w:t>), rather than material gaps that paralyze the application of the law.</w:t>
      </w:r>
    </w:p>
    <w:p w14:paraId="47EF2E93" w14:textId="77777777" w:rsidR="00386AE3" w:rsidRPr="0022569B" w:rsidRDefault="00386AE3" w:rsidP="0022569B">
      <w:pPr>
        <w:ind w:firstLine="0"/>
        <w:rPr>
          <w:rFonts w:asciiTheme="majorBidi" w:hAnsiTheme="majorBidi" w:cstheme="majorBidi"/>
          <w:b/>
          <w:bCs/>
          <w:sz w:val="27"/>
          <w:szCs w:val="27"/>
        </w:rPr>
      </w:pPr>
      <w:r w:rsidRPr="0022569B">
        <w:rPr>
          <w:rFonts w:asciiTheme="majorBidi" w:hAnsiTheme="majorBidi" w:cstheme="majorBidi"/>
          <w:b/>
          <w:bCs/>
          <w:sz w:val="27"/>
          <w:szCs w:val="27"/>
        </w:rPr>
        <w:t>D. Intentional Legislative Choice</w:t>
      </w:r>
    </w:p>
    <w:p w14:paraId="3DDA972B"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The Egyptian legislature deliberately chose to vest broad regulatory discretion in the competent minister—conditioned on social dialogue ("</w:t>
      </w:r>
      <w:r w:rsidRPr="00A63A57">
        <w:rPr>
          <w:rFonts w:ascii="Times New Roman" w:eastAsia="Times New Roman" w:hAnsi="Times New Roman" w:cs="Times New Roman"/>
          <w:kern w:val="0"/>
          <w:rtl/>
          <w14:ligatures w14:val="none"/>
        </w:rPr>
        <w:t>بالاتفاق مع</w:t>
      </w:r>
      <w:r w:rsidRPr="00A63A57">
        <w:rPr>
          <w:rFonts w:ascii="Times New Roman" w:eastAsia="Times New Roman" w:hAnsi="Times New Roman" w:cs="Times New Roman"/>
          <w:kern w:val="0"/>
          <w14:ligatures w14:val="none"/>
        </w:rPr>
        <w:t>") and tripartite board representation—to allow administrative flexibility in adapting financial rules and service scopes to changing economic conditions.</w:t>
      </w:r>
    </w:p>
    <w:p w14:paraId="05E61754"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3. Constitutional Assessment</w:t>
      </w:r>
    </w:p>
    <w:p w14:paraId="6719A8A9"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i/>
          <w:iCs/>
          <w:kern w:val="0"/>
          <w14:ligatures w14:val="none"/>
        </w:rPr>
        <w:t>(Note: The prompt mentions concerns regarding "the termination of service of an affected member of the academic staff" and "procedural protection before the termination of his service." As demonstrated in Section 1, the text under analysis concerns a labor social/health fund under the Civil Service Law, not university tenure, academic employment, or disciplinary termination. This analysis addresses the text provided while treating references to academic termination as hypothetical cross-contextual analogies or inapplicable templates).</w:t>
      </w:r>
    </w:p>
    <w:p w14:paraId="5E684F9B" w14:textId="77777777" w:rsidR="00386AE3" w:rsidRPr="00054F41" w:rsidRDefault="00386AE3" w:rsidP="00054F41">
      <w:pPr>
        <w:ind w:firstLine="0"/>
        <w:rPr>
          <w:rFonts w:asciiTheme="majorBidi" w:hAnsiTheme="majorBidi" w:cstheme="majorBidi"/>
          <w:b/>
          <w:bCs/>
          <w:sz w:val="27"/>
          <w:szCs w:val="27"/>
        </w:rPr>
      </w:pPr>
      <w:r w:rsidRPr="00054F41">
        <w:rPr>
          <w:rFonts w:asciiTheme="majorBidi" w:hAnsiTheme="majorBidi" w:cstheme="majorBidi"/>
          <w:b/>
          <w:bCs/>
          <w:sz w:val="27"/>
          <w:szCs w:val="27"/>
        </w:rPr>
        <w:t>A. The argument that the omission is constitutionally problematic</w:t>
      </w:r>
    </w:p>
    <w:p w14:paraId="62C2E2F2" w14:textId="77777777" w:rsidR="00386AE3" w:rsidRPr="00A63A57" w:rsidRDefault="00386AE3" w:rsidP="00386AE3">
      <w:pPr>
        <w:numPr>
          <w:ilvl w:val="0"/>
          <w:numId w:val="110"/>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Argument:</w:t>
      </w:r>
      <w:r w:rsidRPr="00A63A57">
        <w:rPr>
          <w:rFonts w:ascii="Times New Roman" w:eastAsia="Times New Roman" w:hAnsi="Times New Roman" w:cs="Times New Roman"/>
          <w:kern w:val="0"/>
          <w14:ligatures w14:val="none"/>
        </w:rPr>
        <w:t xml:space="preserve"> Delegating the creation of financial and administrative bylaws without explicit statutory parameters or judicial review safeguards for the management of pooled funds could violate the principle of legality of financial burdens (Article 38 of the 2014 Egyptian Constitution, requiring public or mandated financial contributions to be grounded strictly in law) and infringe upon private property protections. If the provision were misconstrued to affect individual employment status or disciplinary measures, the total lack of procedural due process or hearing rights prior to adverse administrative decisions would violate the guarantee of defense rights and due process (Article 98 of the Constitution).</w:t>
      </w:r>
    </w:p>
    <w:p w14:paraId="69893E7F" w14:textId="77777777" w:rsidR="00386AE3" w:rsidRPr="00054F41" w:rsidRDefault="00386AE3" w:rsidP="00054F41">
      <w:pPr>
        <w:ind w:firstLine="0"/>
        <w:rPr>
          <w:rFonts w:asciiTheme="majorBidi" w:hAnsiTheme="majorBidi" w:cstheme="majorBidi"/>
          <w:b/>
          <w:bCs/>
          <w:sz w:val="27"/>
          <w:szCs w:val="27"/>
        </w:rPr>
      </w:pPr>
      <w:r w:rsidRPr="00054F41">
        <w:rPr>
          <w:rFonts w:asciiTheme="majorBidi" w:hAnsiTheme="majorBidi" w:cstheme="majorBidi"/>
          <w:b/>
          <w:bCs/>
          <w:sz w:val="27"/>
          <w:szCs w:val="27"/>
        </w:rPr>
        <w:lastRenderedPageBreak/>
        <w:t>B. The counterargument that the omission represents a permissible legislative choice</w:t>
      </w:r>
    </w:p>
    <w:p w14:paraId="512F6D25" w14:textId="77777777" w:rsidR="00386AE3" w:rsidRPr="00A63A57" w:rsidRDefault="00386AE3" w:rsidP="00386AE3">
      <w:pPr>
        <w:numPr>
          <w:ilvl w:val="0"/>
          <w:numId w:val="111"/>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Argument:</w:t>
      </w:r>
      <w:r w:rsidRPr="00A63A57">
        <w:rPr>
          <w:rFonts w:ascii="Times New Roman" w:eastAsia="Times New Roman" w:hAnsi="Times New Roman" w:cs="Times New Roman"/>
          <w:kern w:val="0"/>
          <w14:ligatures w14:val="none"/>
        </w:rPr>
        <w:t xml:space="preserve"> The text does not regulate individual employment termination, disciplinary penalties, or property expropriation; it establishes a collective social welfare fund financed by modest statutory dues. The legislature constitutionally mitigated executive discretion by embedding two robust institutional safeguards:</w:t>
      </w:r>
    </w:p>
    <w:p w14:paraId="237B0A92" w14:textId="77777777" w:rsidR="00386AE3" w:rsidRPr="00A63A57" w:rsidRDefault="00386AE3" w:rsidP="00386AE3">
      <w:pPr>
        <w:numPr>
          <w:ilvl w:val="1"/>
          <w:numId w:val="111"/>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A mandatory consensus/agreement requirement with social partners (the labor federation and employers' organizations).</w:t>
      </w:r>
    </w:p>
    <w:p w14:paraId="42514C9E" w14:textId="77777777" w:rsidR="00386AE3" w:rsidRPr="00A63A57" w:rsidRDefault="00386AE3" w:rsidP="00386AE3">
      <w:pPr>
        <w:numPr>
          <w:ilvl w:val="1"/>
          <w:numId w:val="111"/>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A tripartite governance structure ensuring that stakeholders participate directly in administering the fund.</w:t>
      </w:r>
    </w:p>
    <w:p w14:paraId="43F53179" w14:textId="77777777" w:rsidR="00386AE3" w:rsidRPr="00A63A57" w:rsidRDefault="00386AE3" w:rsidP="00386AE3">
      <w:pPr>
        <w:spacing w:before="100" w:beforeAutospacing="1" w:after="100" w:afterAutospacing="1" w:line="240" w:lineRule="auto"/>
        <w:ind w:left="720"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Under Egyptian constitutional jurisprudence, legislative delegation to executive authorities to issue implementing bylaws (</w:t>
      </w:r>
      <w:r w:rsidRPr="00A63A57">
        <w:rPr>
          <w:rFonts w:ascii="Times New Roman" w:eastAsia="Times New Roman" w:hAnsi="Times New Roman" w:cs="Times New Roman"/>
          <w:i/>
          <w:iCs/>
          <w:kern w:val="0"/>
          <w14:ligatures w14:val="none"/>
        </w:rPr>
        <w:t>Loi-cadre</w:t>
      </w:r>
      <w:r w:rsidRPr="00A63A57">
        <w:rPr>
          <w:rFonts w:ascii="Times New Roman" w:eastAsia="Times New Roman" w:hAnsi="Times New Roman" w:cs="Times New Roman"/>
          <w:kern w:val="0"/>
          <w14:ligatures w14:val="none"/>
        </w:rPr>
        <w:t xml:space="preserve"> framework) is fully permissible provided it respects the statutory floor and structural parameters, which this article explicitly does.</w:t>
      </w:r>
    </w:p>
    <w:p w14:paraId="3077D443"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4. Legislative-Gap Classification</w:t>
      </w:r>
    </w:p>
    <w:p w14:paraId="0016D800" w14:textId="77777777" w:rsidR="00386AE3" w:rsidRPr="00A63A57" w:rsidRDefault="00386AE3" w:rsidP="00386AE3">
      <w:pPr>
        <w:numPr>
          <w:ilvl w:val="0"/>
          <w:numId w:val="112"/>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Classification:</w:t>
      </w:r>
      <w:r w:rsidRPr="00A63A57">
        <w:rPr>
          <w:rFonts w:ascii="Times New Roman" w:eastAsia="Times New Roman" w:hAnsi="Times New Roman" w:cs="Times New Roman"/>
          <w:kern w:val="0"/>
          <w14:ligatures w14:val="none"/>
        </w:rPr>
        <w:t xml:space="preserve"> </w:t>
      </w:r>
      <w:r w:rsidRPr="00A63A57">
        <w:rPr>
          <w:rFonts w:ascii="Times New Roman" w:eastAsia="Times New Roman" w:hAnsi="Times New Roman" w:cs="Times New Roman"/>
          <w:b/>
          <w:bCs/>
          <w:kern w:val="0"/>
          <w14:ligatures w14:val="none"/>
        </w:rPr>
        <w:t>No legislative gap.</w:t>
      </w:r>
    </w:p>
    <w:p w14:paraId="07691A52" w14:textId="77777777" w:rsidR="00386AE3" w:rsidRPr="00B72E5B" w:rsidRDefault="00386AE3" w:rsidP="00B72E5B">
      <w:pPr>
        <w:ind w:firstLine="0"/>
        <w:rPr>
          <w:rFonts w:asciiTheme="majorBidi" w:hAnsiTheme="majorBidi" w:cstheme="majorBidi"/>
          <w:b/>
          <w:bCs/>
          <w:sz w:val="27"/>
          <w:szCs w:val="27"/>
        </w:rPr>
      </w:pPr>
      <w:r w:rsidRPr="00B72E5B">
        <w:rPr>
          <w:rFonts w:asciiTheme="majorBidi" w:hAnsiTheme="majorBidi" w:cstheme="majorBidi"/>
          <w:b/>
          <w:bCs/>
          <w:sz w:val="27"/>
          <w:szCs w:val="27"/>
        </w:rPr>
        <w:t>Explanation</w:t>
      </w:r>
    </w:p>
    <w:p w14:paraId="6623769B"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The provision is an intentionally framed framework provision (</w:t>
      </w:r>
      <w:r w:rsidRPr="00A63A57">
        <w:rPr>
          <w:rFonts w:ascii="Times New Roman" w:eastAsia="Times New Roman" w:hAnsi="Times New Roman" w:cs="Times New Roman"/>
          <w:i/>
          <w:iCs/>
          <w:kern w:val="0"/>
          <w:rtl/>
          <w14:ligatures w14:val="none"/>
        </w:rPr>
        <w:t>نص إطاري</w:t>
      </w:r>
      <w:r w:rsidRPr="00A63A57">
        <w:rPr>
          <w:rFonts w:ascii="Times New Roman" w:eastAsia="Times New Roman" w:hAnsi="Times New Roman" w:cs="Times New Roman"/>
          <w:kern w:val="0"/>
          <w14:ligatures w14:val="none"/>
        </w:rPr>
        <w:t>) that delegates technical implementation details (bylaws, board configuration details, and exact financial contributions above the statutory floor) to executive regulations enacted in mandatory concert with social partners. The absence of granular administrative details does not constitute a legal void or a legislative defect, but rather a functional delegation designed to ensure flexibility in social security and labor welfare administration.</w:t>
      </w:r>
    </w:p>
    <w:p w14:paraId="798A165B"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5. Judicial-Review Perspective</w:t>
      </w:r>
    </w:p>
    <w:p w14:paraId="418886F6"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 xml:space="preserve">If a litigant challenges this provision under the premise that it lacks procedural safeguards or enables unbridled executive power, the Supreme Constitutional Court of Egypt (SCC) would likely approach the challenge through the lens of </w:t>
      </w:r>
      <w:r w:rsidRPr="00A63A57">
        <w:rPr>
          <w:rFonts w:ascii="Times New Roman" w:eastAsia="Times New Roman" w:hAnsi="Times New Roman" w:cs="Times New Roman"/>
          <w:b/>
          <w:bCs/>
          <w:kern w:val="0"/>
          <w14:ligatures w14:val="none"/>
        </w:rPr>
        <w:t>permissible legislative delegation versus the principle of legality in financial and administrative matters</w:t>
      </w:r>
      <w:r w:rsidRPr="00A63A57">
        <w:rPr>
          <w:rFonts w:ascii="Times New Roman" w:eastAsia="Times New Roman" w:hAnsi="Times New Roman" w:cs="Times New Roman"/>
          <w:kern w:val="0"/>
          <w14:ligatures w14:val="none"/>
        </w:rPr>
        <w:t>.</w:t>
      </w:r>
    </w:p>
    <w:p w14:paraId="2DAE6668" w14:textId="77777777" w:rsidR="00386AE3" w:rsidRPr="00B72E5B" w:rsidRDefault="00386AE3" w:rsidP="00B72E5B">
      <w:pPr>
        <w:ind w:firstLine="0"/>
        <w:rPr>
          <w:rFonts w:asciiTheme="majorBidi" w:hAnsiTheme="majorBidi" w:cstheme="majorBidi"/>
          <w:b/>
          <w:bCs/>
          <w:sz w:val="27"/>
          <w:szCs w:val="27"/>
        </w:rPr>
      </w:pPr>
      <w:r w:rsidRPr="00B72E5B">
        <w:rPr>
          <w:rFonts w:asciiTheme="majorBidi" w:hAnsiTheme="majorBidi" w:cstheme="majorBidi"/>
          <w:b/>
          <w:bCs/>
          <w:sz w:val="27"/>
          <w:szCs w:val="27"/>
        </w:rPr>
        <w:t>Competing Constitutional Considerations</w:t>
      </w:r>
    </w:p>
    <w:p w14:paraId="169B71DC" w14:textId="77777777" w:rsidR="00386AE3" w:rsidRPr="00A63A57" w:rsidRDefault="00386AE3" w:rsidP="00386AE3">
      <w:pPr>
        <w:numPr>
          <w:ilvl w:val="0"/>
          <w:numId w:val="113"/>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The Principle of Executive Delegation and Flexibility:</w:t>
      </w:r>
      <w:r w:rsidRPr="00A63A57">
        <w:rPr>
          <w:rFonts w:ascii="Times New Roman" w:eastAsia="Times New Roman" w:hAnsi="Times New Roman" w:cs="Times New Roman"/>
          <w:kern w:val="0"/>
          <w14:ligatures w14:val="none"/>
        </w:rPr>
        <w:t xml:space="preserve"> The State must maintain regulatory agility in managing national social and health services for workers, allowing executive authorities to adjust to shifting economic realities through delegated legislation (</w:t>
      </w:r>
      <w:r w:rsidRPr="00A63A57">
        <w:rPr>
          <w:rFonts w:ascii="Times New Roman" w:eastAsia="Times New Roman" w:hAnsi="Times New Roman" w:cs="Times New Roman"/>
          <w:i/>
          <w:iCs/>
          <w:kern w:val="0"/>
          <w:rtl/>
          <w14:ligatures w14:val="none"/>
        </w:rPr>
        <w:t>اللوائح التنفيذية والقرارات الوزارية</w:t>
      </w:r>
      <w:r w:rsidRPr="00A63A57">
        <w:rPr>
          <w:rFonts w:ascii="Times New Roman" w:eastAsia="Times New Roman" w:hAnsi="Times New Roman" w:cs="Times New Roman"/>
          <w:kern w:val="0"/>
          <w14:ligatures w14:val="none"/>
        </w:rPr>
        <w:t>).</w:t>
      </w:r>
    </w:p>
    <w:p w14:paraId="646BC2BC" w14:textId="77777777" w:rsidR="00386AE3" w:rsidRPr="00A63A57" w:rsidRDefault="00386AE3" w:rsidP="00386AE3">
      <w:pPr>
        <w:numPr>
          <w:ilvl w:val="0"/>
          <w:numId w:val="113"/>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lastRenderedPageBreak/>
        <w:t>The Protection of Private Funds and Rule of Law:</w:t>
      </w:r>
      <w:r w:rsidRPr="00A63A57">
        <w:rPr>
          <w:rFonts w:ascii="Times New Roman" w:eastAsia="Times New Roman" w:hAnsi="Times New Roman" w:cs="Times New Roman"/>
          <w:kern w:val="0"/>
          <w14:ligatures w14:val="none"/>
        </w:rPr>
        <w:t xml:space="preserve"> Mandating financial contributions from private establishments requires clear statutory boundaries to prevent arbitrary taxation or administrative abuse.</w:t>
      </w:r>
    </w:p>
    <w:p w14:paraId="151AA0E2" w14:textId="77777777" w:rsidR="00386AE3" w:rsidRPr="00B72E5B" w:rsidRDefault="00386AE3" w:rsidP="00B72E5B">
      <w:pPr>
        <w:ind w:firstLine="0"/>
        <w:rPr>
          <w:rFonts w:asciiTheme="majorBidi" w:hAnsiTheme="majorBidi" w:cstheme="majorBidi"/>
          <w:b/>
          <w:bCs/>
          <w:sz w:val="27"/>
          <w:szCs w:val="27"/>
        </w:rPr>
      </w:pPr>
      <w:r w:rsidRPr="00B72E5B">
        <w:rPr>
          <w:rFonts w:asciiTheme="majorBidi" w:hAnsiTheme="majorBidi" w:cstheme="majorBidi"/>
          <w:b/>
          <w:bCs/>
          <w:sz w:val="27"/>
          <w:szCs w:val="27"/>
        </w:rPr>
        <w:t>Legal Analysis and Conclusion</w:t>
      </w:r>
    </w:p>
    <w:p w14:paraId="399AB7DF"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 xml:space="preserve">The interpretation upholding the constitutionality of the provision is </w:t>
      </w:r>
      <w:r w:rsidRPr="00A63A57">
        <w:rPr>
          <w:rFonts w:ascii="Times New Roman" w:eastAsia="Times New Roman" w:hAnsi="Times New Roman" w:cs="Times New Roman"/>
          <w:b/>
          <w:bCs/>
          <w:kern w:val="0"/>
          <w14:ligatures w14:val="none"/>
        </w:rPr>
        <w:t>legally stronger</w:t>
      </w:r>
      <w:r w:rsidRPr="00A63A57">
        <w:rPr>
          <w:rFonts w:ascii="Times New Roman" w:eastAsia="Times New Roman" w:hAnsi="Times New Roman" w:cs="Times New Roman"/>
          <w:kern w:val="0"/>
          <w14:ligatures w14:val="none"/>
        </w:rPr>
        <w:t>. The SCC has consistently held that the legislature is not required to enshrine every minute administrative, financial, or procedural detail within primary statutes. So long as the primary law sets the institutional objective, establishes financial minimums, and mandates structural participation of affected stakeholders (here, through tripartite board representation and mandatory agreement with labor unions and employer associations), the constitutional requirements of due process and legislative delegation are fully satisfied. The safeguard of social partnership ("</w:t>
      </w:r>
      <w:r w:rsidRPr="00A63A57">
        <w:rPr>
          <w:rFonts w:ascii="Times New Roman" w:eastAsia="Times New Roman" w:hAnsi="Times New Roman" w:cs="Times New Roman"/>
          <w:kern w:val="0"/>
          <w:rtl/>
          <w14:ligatures w14:val="none"/>
        </w:rPr>
        <w:t>بالاتفاق مع</w:t>
      </w:r>
      <w:r w:rsidRPr="00A63A57">
        <w:rPr>
          <w:rFonts w:ascii="Times New Roman" w:eastAsia="Times New Roman" w:hAnsi="Times New Roman" w:cs="Times New Roman"/>
          <w:kern w:val="0"/>
          <w14:ligatures w14:val="none"/>
        </w:rPr>
        <w:t>") acts as an effective surrogate for detailed statutory micro-management.</w:t>
      </w:r>
    </w:p>
    <w:p w14:paraId="7F8CC192"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6. Proposed Legislative Amendment</w:t>
      </w:r>
    </w:p>
    <w:p w14:paraId="55EAFCE4" w14:textId="77777777" w:rsidR="00386AE3" w:rsidRPr="00A63A57" w:rsidRDefault="00386AE3" w:rsidP="00386AE3">
      <w:pPr>
        <w:spacing w:before="100" w:beforeAutospacing="1" w:after="100" w:afterAutospacing="1" w:line="240" w:lineRule="auto"/>
        <w:ind w:firstLine="0"/>
        <w:rPr>
          <w:rFonts w:ascii="Times New Roman" w:eastAsia="Times New Roman" w:hAnsi="Times New Roman" w:cs="Times New Roman"/>
          <w:kern w:val="0"/>
          <w14:ligatures w14:val="none"/>
        </w:rPr>
      </w:pPr>
      <w:r w:rsidRPr="00A63A57">
        <w:rPr>
          <w:rFonts w:ascii="Times New Roman" w:eastAsia="Times New Roman" w:hAnsi="Times New Roman" w:cs="Times New Roman"/>
          <w:kern w:val="0"/>
          <w14:ligatures w14:val="none"/>
        </w:rPr>
        <w:t xml:space="preserve">Because the provision contains </w:t>
      </w:r>
      <w:r w:rsidRPr="00A63A57">
        <w:rPr>
          <w:rFonts w:ascii="Times New Roman" w:eastAsia="Times New Roman" w:hAnsi="Times New Roman" w:cs="Times New Roman"/>
          <w:b/>
          <w:bCs/>
          <w:kern w:val="0"/>
          <w14:ligatures w14:val="none"/>
        </w:rPr>
        <w:t>no material or constitutionally significant legislative gap</w:t>
      </w:r>
      <w:r w:rsidRPr="00A63A57">
        <w:rPr>
          <w:rFonts w:ascii="Times New Roman" w:eastAsia="Times New Roman" w:hAnsi="Times New Roman" w:cs="Times New Roman"/>
          <w:kern w:val="0"/>
          <w14:ligatures w14:val="none"/>
        </w:rPr>
        <w:t>, no legislative amendment is legally necessary. Proposing an amendment to insert granular administrative procedures or artificial disciplinary safeguards would disrupt the framework nature of the law and intrude upon matters best left to ministerial bylaws and social-partner agreements.</w:t>
      </w:r>
    </w:p>
    <w:p w14:paraId="32F4A499"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7. Confidence and Limitations</w:t>
      </w:r>
    </w:p>
    <w:p w14:paraId="6E5B5F64" w14:textId="77777777" w:rsidR="00386AE3" w:rsidRPr="00A63A57" w:rsidRDefault="00386AE3" w:rsidP="00386AE3">
      <w:pPr>
        <w:numPr>
          <w:ilvl w:val="0"/>
          <w:numId w:val="114"/>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Overall Conclusion:</w:t>
      </w:r>
      <w:r w:rsidRPr="00A63A57">
        <w:rPr>
          <w:rFonts w:ascii="Times New Roman" w:eastAsia="Times New Roman" w:hAnsi="Times New Roman" w:cs="Times New Roman"/>
          <w:kern w:val="0"/>
          <w14:ligatures w14:val="none"/>
        </w:rPr>
        <w:t xml:space="preserve"> Paragraph (3) of Article 223 of Law No. 47 of 1978 is a sound, intentionally broad framework provision containing no constitutional or material legislative gaps.</w:t>
      </w:r>
    </w:p>
    <w:p w14:paraId="4267690D" w14:textId="77777777" w:rsidR="00386AE3" w:rsidRPr="00A63A57" w:rsidRDefault="00386AE3" w:rsidP="00386AE3">
      <w:pPr>
        <w:numPr>
          <w:ilvl w:val="0"/>
          <w:numId w:val="114"/>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Strongest Argument Supporting the Conclusion:</w:t>
      </w:r>
      <w:r w:rsidRPr="00A63A57">
        <w:rPr>
          <w:rFonts w:ascii="Times New Roman" w:eastAsia="Times New Roman" w:hAnsi="Times New Roman" w:cs="Times New Roman"/>
          <w:kern w:val="0"/>
          <w14:ligatures w14:val="none"/>
        </w:rPr>
        <w:t xml:space="preserve"> The provision explicitly incorporates structural checks and balances—specifically the requirement of joint agreement with social partners (labor unions and employer organizations) and tripartite board representation—which substitute effectively for rigid statutory micromanagement.</w:t>
      </w:r>
    </w:p>
    <w:p w14:paraId="1435FCF4" w14:textId="77777777" w:rsidR="00386AE3" w:rsidRPr="00A63A57" w:rsidRDefault="00386AE3" w:rsidP="00386AE3">
      <w:pPr>
        <w:numPr>
          <w:ilvl w:val="0"/>
          <w:numId w:val="114"/>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Strongest Argument Against It:</w:t>
      </w:r>
      <w:r w:rsidRPr="00A63A57">
        <w:rPr>
          <w:rFonts w:ascii="Times New Roman" w:eastAsia="Times New Roman" w:hAnsi="Times New Roman" w:cs="Times New Roman"/>
          <w:kern w:val="0"/>
          <w14:ligatures w14:val="none"/>
        </w:rPr>
        <w:t xml:space="preserve"> The reliance on executive bylaws for financial administration without explicit upper caps or statutory due process guidelines creates a theoretical risk of administrative overreach.</w:t>
      </w:r>
    </w:p>
    <w:p w14:paraId="7635DF53" w14:textId="77777777" w:rsidR="00386AE3" w:rsidRPr="00A63A57" w:rsidRDefault="00386AE3" w:rsidP="00386AE3">
      <w:pPr>
        <w:numPr>
          <w:ilvl w:val="0"/>
          <w:numId w:val="114"/>
        </w:numPr>
        <w:spacing w:before="100" w:beforeAutospacing="1" w:after="100" w:afterAutospacing="1" w:line="240" w:lineRule="auto"/>
        <w:rPr>
          <w:rFonts w:ascii="Times New Roman" w:eastAsia="Times New Roman" w:hAnsi="Times New Roman" w:cs="Times New Roman"/>
          <w:kern w:val="0"/>
          <w14:ligatures w14:val="none"/>
        </w:rPr>
      </w:pPr>
      <w:r w:rsidRPr="00A63A57">
        <w:rPr>
          <w:rFonts w:ascii="Times New Roman" w:eastAsia="Times New Roman" w:hAnsi="Times New Roman" w:cs="Times New Roman"/>
          <w:b/>
          <w:bCs/>
          <w:kern w:val="0"/>
          <w14:ligatures w14:val="none"/>
        </w:rPr>
        <w:t>Uncertainties Arising from Absence of Authorities:</w:t>
      </w:r>
      <w:r w:rsidRPr="00A63A57">
        <w:rPr>
          <w:rFonts w:ascii="Times New Roman" w:eastAsia="Times New Roman" w:hAnsi="Times New Roman" w:cs="Times New Roman"/>
          <w:kern w:val="0"/>
          <w14:ligatures w14:val="none"/>
        </w:rPr>
        <w:t xml:space="preserve"> The analysis relies strictly on the provided text and established Egyptian constitutional doctrines regarding administrative delegation. The absence of specific historical preparatory works (</w:t>
      </w:r>
      <w:r w:rsidRPr="00A63A57">
        <w:rPr>
          <w:rFonts w:ascii="Times New Roman" w:eastAsia="Times New Roman" w:hAnsi="Times New Roman" w:cs="Times New Roman"/>
          <w:i/>
          <w:iCs/>
          <w:kern w:val="0"/>
          <w:rtl/>
          <w14:ligatures w14:val="none"/>
        </w:rPr>
        <w:t>المذكرة الإيضاحية</w:t>
      </w:r>
      <w:r w:rsidRPr="00A63A57">
        <w:rPr>
          <w:rFonts w:ascii="Times New Roman" w:eastAsia="Times New Roman" w:hAnsi="Times New Roman" w:cs="Times New Roman"/>
          <w:kern w:val="0"/>
          <w14:ligatures w14:val="none"/>
        </w:rPr>
        <w:t>) or parallel labor jurisprudence regarding this exact historical fund does not undermine the structural evaluation, as the text's internal safeguards are legally self-contained.</w:t>
      </w:r>
    </w:p>
    <w:p w14:paraId="0BC56652" w14:textId="77777777" w:rsidR="00386AE3" w:rsidRDefault="00386AE3" w:rsidP="00386AE3">
      <w:pPr>
        <w:jc w:val="both"/>
        <w:rPr>
          <w:lang w:bidi="ar-EG"/>
        </w:rPr>
      </w:pPr>
      <w:r>
        <w:rPr>
          <w:lang w:bidi="ar-EG"/>
        </w:rPr>
        <w:br w:type="page"/>
      </w:r>
    </w:p>
    <w:p w14:paraId="2EF3124F" w14:textId="025F9312" w:rsidR="00386AE3" w:rsidRPr="00797A5A" w:rsidRDefault="00386AE3" w:rsidP="00797A5A">
      <w:pPr>
        <w:pStyle w:val="2"/>
        <w:rPr>
          <w:rFonts w:asciiTheme="majorBidi" w:hAnsiTheme="majorBidi" w:cstheme="majorBidi"/>
        </w:rPr>
      </w:pPr>
      <w:proofErr w:type="spellStart"/>
      <w:r w:rsidRPr="00797A5A">
        <w:rPr>
          <w:rFonts w:asciiTheme="majorBidi" w:hAnsiTheme="majorBidi" w:cstheme="majorBidi"/>
        </w:rPr>
        <w:lastRenderedPageBreak/>
        <w:t>DeepSeek</w:t>
      </w:r>
      <w:proofErr w:type="spellEnd"/>
      <w:r w:rsidRPr="00797A5A">
        <w:rPr>
          <w:rFonts w:asciiTheme="majorBidi" w:hAnsiTheme="majorBidi" w:cstheme="majorBidi"/>
        </w:rPr>
        <w:t xml:space="preserve"> </w:t>
      </w:r>
      <w:r w:rsidR="00797A5A" w:rsidRPr="00797A5A">
        <w:rPr>
          <w:rFonts w:asciiTheme="majorBidi" w:hAnsiTheme="majorBidi" w:cstheme="majorBidi"/>
        </w:rPr>
        <w:t>Output</w:t>
      </w:r>
    </w:p>
    <w:p w14:paraId="3E123538"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1. Statutory Structure</w:t>
      </w:r>
    </w:p>
    <w:p w14:paraId="5B907AFC"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provision establishes a legal mechanism for the creation and operation of a social, health, and cultural services fund at the national level within the competent ministry. The structure operates as follows:</w:t>
      </w:r>
    </w:p>
    <w:p w14:paraId="50CB06FD"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Triggering Event:</w:t>
      </w:r>
      <w:r w:rsidRPr="00A63A57">
        <w:rPr>
          <w:rFonts w:ascii="Segoe UI" w:eastAsia="Times New Roman" w:hAnsi="Segoe UI" w:cs="Segoe UI"/>
          <w:color w:val="0F1115"/>
          <w:kern w:val="0"/>
          <w14:ligatures w14:val="none"/>
        </w:rPr>
        <w:t> The existence of an establishment employing twenty workers or more triggers the obligation to contribute to the fund. The threshold is objectively defined (twenty workers), and the obligation is triggered automatically upon meeting this condition.</w:t>
      </w:r>
    </w:p>
    <w:p w14:paraId="17D7F1E7"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Statutory Period:</w:t>
      </w:r>
      <w:r w:rsidRPr="00A63A57">
        <w:rPr>
          <w:rFonts w:ascii="Segoe UI" w:eastAsia="Times New Roman" w:hAnsi="Segoe UI" w:cs="Segoe UI"/>
          <w:color w:val="0F1115"/>
          <w:kern w:val="0"/>
          <w14:ligatures w14:val="none"/>
        </w:rPr>
        <w:t> The provision does not specify a temporal period for compliance—neither a deadline for payment, nor a frequency of payment (annual, monthly, or otherwise). The phrase "</w:t>
      </w:r>
      <w:r w:rsidRPr="00A63A57">
        <w:rPr>
          <w:rFonts w:ascii="Segoe UI" w:eastAsia="Times New Roman" w:hAnsi="Segoe UI" w:cs="Segoe UI"/>
          <w:color w:val="0F1115"/>
          <w:kern w:val="0"/>
          <w:rtl/>
          <w14:ligatures w14:val="none"/>
        </w:rPr>
        <w:t>لا يقل عن خمس جنيهات سنويا</w:t>
      </w:r>
      <w:r w:rsidRPr="00A63A57">
        <w:rPr>
          <w:rFonts w:ascii="Segoe UI" w:eastAsia="Times New Roman" w:hAnsi="Segoe UI" w:cs="Segoe UI"/>
          <w:color w:val="0F1115"/>
          <w:kern w:val="0"/>
          <w14:ligatures w14:val="none"/>
        </w:rPr>
        <w:t>" (not less than five pounds annually) indicates an annual calculation basis, but does not establish a specific date or period within which the payment must be made.</w:t>
      </w:r>
    </w:p>
    <w:p w14:paraId="5267E42A"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Legal Consequence:</w:t>
      </w:r>
      <w:r w:rsidRPr="00A63A57">
        <w:rPr>
          <w:rFonts w:ascii="Segoe UI" w:eastAsia="Times New Roman" w:hAnsi="Segoe UI" w:cs="Segoe UI"/>
          <w:color w:val="0F1115"/>
          <w:kern w:val="0"/>
          <w14:ligatures w14:val="none"/>
        </w:rPr>
        <w:t> The legal consequence is twofold: (1) the obligation upon establishments to pay a minimum contribution of five pounds per worker annually to finance the fund; and (2) the obligation upon the competent minister to issue implementing decisions regarding services, contribution amounts, board formation, and financial/administrative regulations.</w:t>
      </w:r>
    </w:p>
    <w:p w14:paraId="76A8F067"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Possibility of Returning Within the Prescribed Period:</w:t>
      </w:r>
      <w:r w:rsidRPr="00A63A57">
        <w:rPr>
          <w:rFonts w:ascii="Segoe UI" w:eastAsia="Times New Roman" w:hAnsi="Segoe UI" w:cs="Segoe UI"/>
          <w:color w:val="0F1115"/>
          <w:kern w:val="0"/>
          <w14:ligatures w14:val="none"/>
        </w:rPr>
        <w:t> The provision does not address any "return" mechanism or reconsideration period. There is no prescribed period for action by affected parties, nor any provision for challenging the minister's decisions, contesting the fund's actions, or seeking redress. The text is entirely silent on any temporal dimension related to administrative review, appeal, or reconsideration.</w:t>
      </w:r>
    </w:p>
    <w:p w14:paraId="4A1B94C1"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Role of Competent University Bodies:</w:t>
      </w:r>
      <w:r w:rsidRPr="00A63A57">
        <w:rPr>
          <w:rFonts w:ascii="Segoe UI" w:eastAsia="Times New Roman" w:hAnsi="Segoe UI" w:cs="Segoe UI"/>
          <w:color w:val="0F1115"/>
          <w:kern w:val="0"/>
          <w14:ligatures w14:val="none"/>
        </w:rPr>
        <w:t> The provision makes no reference to university bodies. Article 223 is situated within the Civil Service Law (Law No. 47 of 1978), which applies broadly to civil servants. However, the provision itself does not mention universities, academic staff, or any specialized academic bodies. The reference to "</w:t>
      </w:r>
      <w:r w:rsidRPr="00A63A57">
        <w:rPr>
          <w:rFonts w:ascii="Segoe UI" w:eastAsia="Times New Roman" w:hAnsi="Segoe UI" w:cs="Segoe UI"/>
          <w:color w:val="0F1115"/>
          <w:kern w:val="0"/>
          <w:rtl/>
          <w14:ligatures w14:val="none"/>
        </w:rPr>
        <w:t>الوزارة المختصة</w:t>
      </w:r>
      <w:r w:rsidRPr="00A63A57">
        <w:rPr>
          <w:rFonts w:ascii="Segoe UI" w:eastAsia="Times New Roman" w:hAnsi="Segoe UI" w:cs="Segoe UI"/>
          <w:color w:val="0F1115"/>
          <w:kern w:val="0"/>
          <w14:ligatures w14:val="none"/>
        </w:rPr>
        <w:t>" (the competent ministry) does not specify whether this includes the Ministry of Higher Education, nor does it mention university councils, faculty boards, or any other academic governance structures.</w:t>
      </w:r>
    </w:p>
    <w:p w14:paraId="1F269B57"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Procedural Safeguards Expressly Included:</w:t>
      </w:r>
      <w:r w:rsidRPr="00A63A57">
        <w:rPr>
          <w:rFonts w:ascii="Segoe UI" w:eastAsia="Times New Roman" w:hAnsi="Segoe UI" w:cs="Segoe UI"/>
          <w:color w:val="0F1115"/>
          <w:kern w:val="0"/>
          <w14:ligatures w14:val="none"/>
        </w:rPr>
        <w:t> The provision expressly includes the following procedural safeguards:</w:t>
      </w:r>
    </w:p>
    <w:p w14:paraId="27220950" w14:textId="77777777" w:rsidR="00386AE3" w:rsidRPr="00A63A57" w:rsidRDefault="00386AE3" w:rsidP="00386AE3">
      <w:pPr>
        <w:numPr>
          <w:ilvl w:val="0"/>
          <w:numId w:val="115"/>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Tripartite Representation Requirement:</w:t>
      </w:r>
      <w:r w:rsidRPr="00A63A57">
        <w:rPr>
          <w:rFonts w:ascii="Segoe UI" w:eastAsia="Times New Roman" w:hAnsi="Segoe UI" w:cs="Segoe UI"/>
          <w:color w:val="0F1115"/>
          <w:kern w:val="0"/>
          <w14:ligatures w14:val="none"/>
        </w:rPr>
        <w:t xml:space="preserve"> The minister must observe tripartite representation (workers, employers, and government) when forming the </w:t>
      </w:r>
      <w:r w:rsidRPr="00A63A57">
        <w:rPr>
          <w:rFonts w:ascii="Segoe UI" w:eastAsia="Times New Roman" w:hAnsi="Segoe UI" w:cs="Segoe UI"/>
          <w:color w:val="0F1115"/>
          <w:kern w:val="0"/>
          <w14:ligatures w14:val="none"/>
        </w:rPr>
        <w:lastRenderedPageBreak/>
        <w:t>fund's board of directors, with appointments based on nominations from each party.</w:t>
      </w:r>
    </w:p>
    <w:p w14:paraId="5FCBF816" w14:textId="77777777" w:rsidR="00386AE3" w:rsidRPr="00A63A57" w:rsidRDefault="00386AE3" w:rsidP="00386AE3">
      <w:pPr>
        <w:numPr>
          <w:ilvl w:val="0"/>
          <w:numId w:val="115"/>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Prior Consultation/Agreement:</w:t>
      </w:r>
      <w:r w:rsidRPr="00A63A57">
        <w:rPr>
          <w:rFonts w:ascii="Segoe UI" w:eastAsia="Times New Roman" w:hAnsi="Segoe UI" w:cs="Segoe UI"/>
          <w:color w:val="0F1115"/>
          <w:kern w:val="0"/>
          <w14:ligatures w14:val="none"/>
        </w:rPr>
        <w:t> The minister's decision on services and contribution amounts must be made "</w:t>
      </w:r>
      <w:r w:rsidRPr="00A63A57">
        <w:rPr>
          <w:rFonts w:ascii="Segoe UI" w:eastAsia="Times New Roman" w:hAnsi="Segoe UI" w:cs="Segoe UI"/>
          <w:color w:val="0F1115"/>
          <w:kern w:val="0"/>
          <w:rtl/>
          <w14:ligatures w14:val="none"/>
        </w:rPr>
        <w:t>بالاتفاق مع الاتحاد العام لنقابات عمال مصر ومنظمات أصحاب الأعمال</w:t>
      </w:r>
      <w:r w:rsidRPr="00A63A57">
        <w:rPr>
          <w:rFonts w:ascii="Segoe UI" w:eastAsia="Times New Roman" w:hAnsi="Segoe UI" w:cs="Segoe UI"/>
          <w:color w:val="0F1115"/>
          <w:kern w:val="0"/>
          <w14:ligatures w14:val="none"/>
        </w:rPr>
        <w:t>" (in agreement with the General Federation of Egyptian Trade Unions and employers' organizations).</w:t>
      </w:r>
    </w:p>
    <w:p w14:paraId="2EF93C69" w14:textId="77777777" w:rsidR="00386AE3" w:rsidRPr="00A63A57" w:rsidRDefault="00386AE3" w:rsidP="00386AE3">
      <w:pPr>
        <w:numPr>
          <w:ilvl w:val="0"/>
          <w:numId w:val="115"/>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Regulatory Framework:</w:t>
      </w:r>
      <w:r w:rsidRPr="00A63A57">
        <w:rPr>
          <w:rFonts w:ascii="Segoe UI" w:eastAsia="Times New Roman" w:hAnsi="Segoe UI" w:cs="Segoe UI"/>
          <w:color w:val="0F1115"/>
          <w:kern w:val="0"/>
          <w14:ligatures w14:val="none"/>
        </w:rPr>
        <w:t> The minister must issue a financial and administrative regulation for the fund, which must include, at minimum, procedures for disposing of the collected amounts.</w:t>
      </w:r>
    </w:p>
    <w:p w14:paraId="2A8F4882"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However, these safeguards apply to the administration and governance of the fund itself, not to individual civil servants or academic staff members who may be affected by its decisions or actions.</w:t>
      </w:r>
    </w:p>
    <w:p w14:paraId="55DD7E30"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EF140DB">
          <v:rect id="_x0000_i1099" style="width:0;height:.75pt" o:hralign="center" o:hrstd="t" o:hr="t" fillcolor="#a0a0a0" stroked="f"/>
        </w:pict>
      </w:r>
    </w:p>
    <w:p w14:paraId="2D3EE4E9"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2. Potential Legislative Omissions</w:t>
      </w:r>
    </w:p>
    <w:p w14:paraId="60E08094"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Omission 1: Absence of Procedural Safeguards for Affected Individuals</w:t>
      </w:r>
    </w:p>
    <w:p w14:paraId="1FB1A7FA"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What is absent:</w:t>
      </w:r>
      <w:r w:rsidRPr="00A63A57">
        <w:rPr>
          <w:rFonts w:ascii="Segoe UI" w:eastAsia="Times New Roman" w:hAnsi="Segoe UI" w:cs="Segoe UI"/>
          <w:color w:val="0F1115"/>
          <w:kern w:val="0"/>
          <w14:ligatures w14:val="none"/>
        </w:rPr>
        <w:t> The provision contains no mechanism for an affected individual (whether a worker, civil servant, or academic staff member) to challenge or contest any decision made by the fund, the minister, or the establishment regarding contributions, services, or the application of fund resources. There is no right to notice, hearing, appeal, or judicial review.</w:t>
      </w:r>
    </w:p>
    <w:p w14:paraId="7D85DF1C"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Why it might matter legally:</w:t>
      </w:r>
      <w:r w:rsidRPr="00A63A57">
        <w:rPr>
          <w:rFonts w:ascii="Segoe UI" w:eastAsia="Times New Roman" w:hAnsi="Segoe UI" w:cs="Segoe UI"/>
          <w:color w:val="0F1115"/>
          <w:kern w:val="0"/>
          <w14:ligatures w14:val="none"/>
        </w:rPr>
        <w:t> The fund exercises significant powers—it determines services, collects compulsory contributions, and disburses funds. If an individual is subjected to an adverse decision (e.g., denial of services, assessment of excessive contributions, or adverse employment consequences flowing from the fund's operation), the absence of procedural protections could violate principles of administrative due process.</w:t>
      </w:r>
    </w:p>
    <w:p w14:paraId="13CD2558"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Material or incidental:</w:t>
      </w:r>
      <w:r w:rsidRPr="00A63A57">
        <w:rPr>
          <w:rFonts w:ascii="Segoe UI" w:eastAsia="Times New Roman" w:hAnsi="Segoe UI" w:cs="Segoe UI"/>
          <w:color w:val="0F1115"/>
          <w:kern w:val="0"/>
          <w14:ligatures w14:val="none"/>
        </w:rPr>
        <w:t> This omission is material. The provision establishes compulsory financial obligations and administrative powers that directly affect individuals' rights and interests, yet provides no avenue for individual participation or challenge.</w:t>
      </w:r>
    </w:p>
    <w:p w14:paraId="401E514C"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Legislative intent:</w:t>
      </w:r>
      <w:r w:rsidRPr="00A63A57">
        <w:rPr>
          <w:rFonts w:ascii="Segoe UI" w:eastAsia="Times New Roman" w:hAnsi="Segoe UI" w:cs="Segoe UI"/>
          <w:color w:val="0F1115"/>
          <w:kern w:val="0"/>
          <w14:ligatures w14:val="none"/>
        </w:rPr>
        <w:t xml:space="preserve"> The legislature could reasonably have intended to leave individual procedural matters to the implementing regulations (the financial and administrative bylaw). However, the text's requirement that the bylaw include "on particular" the disposal procedures but not explicitly require procedures for </w:t>
      </w:r>
      <w:r w:rsidRPr="00A63A57">
        <w:rPr>
          <w:rFonts w:ascii="Segoe UI" w:eastAsia="Times New Roman" w:hAnsi="Segoe UI" w:cs="Segoe UI"/>
          <w:color w:val="0F1115"/>
          <w:kern w:val="0"/>
          <w14:ligatures w14:val="none"/>
        </w:rPr>
        <w:lastRenderedPageBreak/>
        <w:t>individual redress suggests this may have been an oversight or a policy choice to leave such matters to ministerial discretion.</w:t>
      </w:r>
    </w:p>
    <w:p w14:paraId="6621B084"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Omission 2: Absence of Enforcement Mechanisms</w:t>
      </w:r>
    </w:p>
    <w:p w14:paraId="357DA4FA"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What is absent:</w:t>
      </w:r>
      <w:r w:rsidRPr="00A63A57">
        <w:rPr>
          <w:rFonts w:ascii="Segoe UI" w:eastAsia="Times New Roman" w:hAnsi="Segoe UI" w:cs="Segoe UI"/>
          <w:color w:val="0F1115"/>
          <w:kern w:val="0"/>
          <w14:ligatures w14:val="none"/>
        </w:rPr>
        <w:t> The provision does not specify how contributions will be collected, what penalties apply for non-payment, or what enforcement powers the fund or ministry possesses.</w:t>
      </w:r>
    </w:p>
    <w:p w14:paraId="302EC950"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Why it might matter legally:</w:t>
      </w:r>
      <w:r w:rsidRPr="00A63A57">
        <w:rPr>
          <w:rFonts w:ascii="Segoe UI" w:eastAsia="Times New Roman" w:hAnsi="Segoe UI" w:cs="Segoe UI"/>
          <w:color w:val="0F1115"/>
          <w:kern w:val="0"/>
          <w14:ligatures w14:val="none"/>
        </w:rPr>
        <w:t> Without enforcement mechanisms, the obligation to contribute may be ineffective. This could undermine the fund's viability and the statutory scheme's purpose.</w:t>
      </w:r>
    </w:p>
    <w:p w14:paraId="0DEDC846"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Material or incidental:</w:t>
      </w:r>
      <w:r w:rsidRPr="00A63A57">
        <w:rPr>
          <w:rFonts w:ascii="Segoe UI" w:eastAsia="Times New Roman" w:hAnsi="Segoe UI" w:cs="Segoe UI"/>
          <w:color w:val="0F1115"/>
          <w:kern w:val="0"/>
          <w14:ligatures w14:val="none"/>
        </w:rPr>
        <w:t> This is arguably incidental, as enforcement mechanisms may be found elsewhere in the Civil Service Law or general administrative law. However, the absence is notable.</w:t>
      </w:r>
    </w:p>
    <w:p w14:paraId="7628E078"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Legislative intent:</w:t>
      </w:r>
      <w:r w:rsidRPr="00A63A57">
        <w:rPr>
          <w:rFonts w:ascii="Segoe UI" w:eastAsia="Times New Roman" w:hAnsi="Segoe UI" w:cs="Segoe UI"/>
          <w:color w:val="0F1115"/>
          <w:kern w:val="0"/>
          <w14:ligatures w14:val="none"/>
        </w:rPr>
        <w:t> The legislature likely intended to leave enforcement to the minister's implementing decisions or to the general framework of the Civil Service Law, which contains enforcement provisions in other articles.</w:t>
      </w:r>
    </w:p>
    <w:p w14:paraId="193860E5"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Omission 3: Absence of Standards for Service Provision</w:t>
      </w:r>
    </w:p>
    <w:p w14:paraId="22E9EA10"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What is absent:</w:t>
      </w:r>
      <w:r w:rsidRPr="00A63A57">
        <w:rPr>
          <w:rFonts w:ascii="Segoe UI" w:eastAsia="Times New Roman" w:hAnsi="Segoe UI" w:cs="Segoe UI"/>
          <w:color w:val="0F1115"/>
          <w:kern w:val="0"/>
          <w14:ligatures w14:val="none"/>
        </w:rPr>
        <w:t> The provision leaves the determination of "services" entirely to ministerial discretion, with no substantive criteria, minimum standards, or priorities established.</w:t>
      </w:r>
    </w:p>
    <w:p w14:paraId="02C53C7C"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Why it might matter legally:</w:t>
      </w:r>
      <w:r w:rsidRPr="00A63A57">
        <w:rPr>
          <w:rFonts w:ascii="Segoe UI" w:eastAsia="Times New Roman" w:hAnsi="Segoe UI" w:cs="Segoe UI"/>
          <w:color w:val="0F1115"/>
          <w:kern w:val="0"/>
          <w14:ligatures w14:val="none"/>
        </w:rPr>
        <w:t> This broad delegation could be challenged as an excessive abdication of legislative authority if the services significantly affect fundamental rights.</w:t>
      </w:r>
    </w:p>
    <w:p w14:paraId="63AE1E43"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Material or incidental:</w:t>
      </w:r>
      <w:r w:rsidRPr="00A63A57">
        <w:rPr>
          <w:rFonts w:ascii="Segoe UI" w:eastAsia="Times New Roman" w:hAnsi="Segoe UI" w:cs="Segoe UI"/>
          <w:color w:val="0F1115"/>
          <w:kern w:val="0"/>
          <w14:ligatures w14:val="none"/>
        </w:rPr>
        <w:t> This is potentially material, as the services could encompass matters affecting health, education, and welfare—interests that may have constitutional dimensions under Articles 16, 17, and 18 of the Egyptian Constitution.</w:t>
      </w:r>
    </w:p>
    <w:p w14:paraId="29CBD98B"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Legislative intent:</w:t>
      </w:r>
      <w:r w:rsidRPr="00A63A57">
        <w:rPr>
          <w:rFonts w:ascii="Segoe UI" w:eastAsia="Times New Roman" w:hAnsi="Segoe UI" w:cs="Segoe UI"/>
          <w:color w:val="0F1115"/>
          <w:kern w:val="0"/>
          <w14:ligatures w14:val="none"/>
        </w:rPr>
        <w:t> The legislature could reasonably have intended to delegate this to the minister, given the expertise required and the need for flexibility over time.</w:t>
      </w:r>
    </w:p>
    <w:p w14:paraId="0C6574E1"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Omission 4: No Definition of Affected Persons or Scope of Application</w:t>
      </w:r>
    </w:p>
    <w:p w14:paraId="2B4184E0"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What is absent:</w:t>
      </w:r>
      <w:r w:rsidRPr="00A63A57">
        <w:rPr>
          <w:rFonts w:ascii="Segoe UI" w:eastAsia="Times New Roman" w:hAnsi="Segoe UI" w:cs="Segoe UI"/>
          <w:color w:val="0F1115"/>
          <w:kern w:val="0"/>
          <w14:ligatures w14:val="none"/>
        </w:rPr>
        <w:t xml:space="preserve"> The provision refers to "each establishment" with twenty or more workers and to "each worker" but does not define these terms or specify whether </w:t>
      </w:r>
      <w:r w:rsidRPr="00A63A57">
        <w:rPr>
          <w:rFonts w:ascii="Segoe UI" w:eastAsia="Times New Roman" w:hAnsi="Segoe UI" w:cs="Segoe UI"/>
          <w:color w:val="0F1115"/>
          <w:kern w:val="0"/>
          <w14:ligatures w14:val="none"/>
        </w:rPr>
        <w:lastRenderedPageBreak/>
        <w:t>academic staff in universities fall within its scope. Universities are "establishments" but academic staff may have a distinct legal status under university regulations.</w:t>
      </w:r>
    </w:p>
    <w:p w14:paraId="0B935481"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Why it might matter legally:</w:t>
      </w:r>
      <w:r w:rsidRPr="00A63A57">
        <w:rPr>
          <w:rFonts w:ascii="Segoe UI" w:eastAsia="Times New Roman" w:hAnsi="Segoe UI" w:cs="Segoe UI"/>
          <w:color w:val="0F1115"/>
          <w:kern w:val="0"/>
          <w14:ligatures w14:val="none"/>
        </w:rPr>
        <w:t> This ambiguity creates uncertainty about the provision's applicability to academic staff, which is particularly relevant given the task's focus on academic staff members.</w:t>
      </w:r>
    </w:p>
    <w:p w14:paraId="2E1D8526"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Material or incidental:</w:t>
      </w:r>
      <w:r w:rsidRPr="00A63A57">
        <w:rPr>
          <w:rFonts w:ascii="Segoe UI" w:eastAsia="Times New Roman" w:hAnsi="Segoe UI" w:cs="Segoe UI"/>
          <w:color w:val="0F1115"/>
          <w:kern w:val="0"/>
          <w14:ligatures w14:val="none"/>
        </w:rPr>
        <w:t> This is material because it directly affects whether the provision applies to the subject of the constitutional challenge.</w:t>
      </w:r>
    </w:p>
    <w:p w14:paraId="3D89C3B1"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Legislative intent:</w:t>
      </w:r>
      <w:r w:rsidRPr="00A63A57">
        <w:rPr>
          <w:rFonts w:ascii="Segoe UI" w:eastAsia="Times New Roman" w:hAnsi="Segoe UI" w:cs="Segoe UI"/>
          <w:color w:val="0F1115"/>
          <w:kern w:val="0"/>
          <w14:ligatures w14:val="none"/>
        </w:rPr>
        <w:t> The legislature likely intended the provision to apply broadly to all "establishments," which would include universities under Law No. 49 of 1972 (regulating universities) or the Higher Education Law.</w:t>
      </w:r>
    </w:p>
    <w:p w14:paraId="692542AD"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7851E39A">
          <v:rect id="_x0000_i1100" style="width:0;height:.75pt" o:hralign="center" o:hrstd="t" o:hr="t" fillcolor="#a0a0a0" stroked="f"/>
        </w:pict>
      </w:r>
    </w:p>
    <w:p w14:paraId="557BDDD5"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3. Constitutional Assessment</w:t>
      </w:r>
    </w:p>
    <w:p w14:paraId="0BFA1F4E"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Relevant Constitutional Principles</w:t>
      </w:r>
    </w:p>
    <w:p w14:paraId="158FAE88"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Egyptian Constitution of 2014 (as amended) contains several relevant provisions:</w:t>
      </w:r>
    </w:p>
    <w:p w14:paraId="44275DEA" w14:textId="77777777" w:rsidR="00386AE3" w:rsidRPr="00A63A57" w:rsidRDefault="00386AE3" w:rsidP="00386AE3">
      <w:pPr>
        <w:numPr>
          <w:ilvl w:val="0"/>
          <w:numId w:val="116"/>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Article 13:</w:t>
      </w:r>
      <w:r w:rsidRPr="00A63A57">
        <w:rPr>
          <w:rFonts w:ascii="Segoe UI" w:eastAsia="Times New Roman" w:hAnsi="Segoe UI" w:cs="Segoe UI"/>
          <w:color w:val="0F1115"/>
          <w:kern w:val="0"/>
          <w14:ligatures w14:val="none"/>
        </w:rPr>
        <w:t> Prohibits unlawful deprivation of public employment and guarantees the right to public employment on the basis of merit.</w:t>
      </w:r>
    </w:p>
    <w:p w14:paraId="354AB0ED" w14:textId="77777777" w:rsidR="00386AE3" w:rsidRPr="00A63A57" w:rsidRDefault="00386AE3" w:rsidP="00386AE3">
      <w:pPr>
        <w:numPr>
          <w:ilvl w:val="0"/>
          <w:numId w:val="116"/>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Article 17:</w:t>
      </w:r>
      <w:r w:rsidRPr="00A63A57">
        <w:rPr>
          <w:rFonts w:ascii="Segoe UI" w:eastAsia="Times New Roman" w:hAnsi="Segoe UI" w:cs="Segoe UI"/>
          <w:color w:val="0F1115"/>
          <w:kern w:val="0"/>
          <w14:ligatures w14:val="none"/>
        </w:rPr>
        <w:t> Guarantees the right to social security, health care, and social services.</w:t>
      </w:r>
    </w:p>
    <w:p w14:paraId="0D72428D" w14:textId="77777777" w:rsidR="00386AE3" w:rsidRPr="00A63A57" w:rsidRDefault="00386AE3" w:rsidP="00386AE3">
      <w:pPr>
        <w:numPr>
          <w:ilvl w:val="0"/>
          <w:numId w:val="116"/>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Article 92:</w:t>
      </w:r>
      <w:r w:rsidRPr="00A63A57">
        <w:rPr>
          <w:rFonts w:ascii="Segoe UI" w:eastAsia="Times New Roman" w:hAnsi="Segoe UI" w:cs="Segoe UI"/>
          <w:color w:val="0F1115"/>
          <w:kern w:val="0"/>
          <w14:ligatures w14:val="none"/>
        </w:rPr>
        <w:t> Requires that the exercise of rights be regulated by law, and that limitations must be provided by law.</w:t>
      </w:r>
    </w:p>
    <w:p w14:paraId="736FD584" w14:textId="77777777" w:rsidR="00386AE3" w:rsidRPr="00A63A57" w:rsidRDefault="00386AE3" w:rsidP="00386AE3">
      <w:pPr>
        <w:numPr>
          <w:ilvl w:val="0"/>
          <w:numId w:val="116"/>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Article 97:</w:t>
      </w:r>
      <w:r w:rsidRPr="00A63A57">
        <w:rPr>
          <w:rFonts w:ascii="Segoe UI" w:eastAsia="Times New Roman" w:hAnsi="Segoe UI" w:cs="Segoe UI"/>
          <w:color w:val="0F1115"/>
          <w:kern w:val="0"/>
          <w14:ligatures w14:val="none"/>
        </w:rPr>
        <w:t> Guarantees the right to litigation and the independence of the judiciary.</w:t>
      </w:r>
    </w:p>
    <w:p w14:paraId="245F0EEF" w14:textId="77777777" w:rsidR="00386AE3" w:rsidRPr="00A63A57" w:rsidRDefault="00386AE3" w:rsidP="00386AE3">
      <w:pPr>
        <w:numPr>
          <w:ilvl w:val="0"/>
          <w:numId w:val="116"/>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Article 238:</w:t>
      </w:r>
      <w:r w:rsidRPr="00A63A57">
        <w:rPr>
          <w:rFonts w:ascii="Segoe UI" w:eastAsia="Times New Roman" w:hAnsi="Segoe UI" w:cs="Segoe UI"/>
          <w:color w:val="0F1115"/>
          <w:kern w:val="0"/>
          <w14:ligatures w14:val="none"/>
        </w:rPr>
        <w:t> (Transitional) relates to administrative justice, though general principles of administrative due process derive from the rule of law principle in Article 1 and the guarantee of judicial protection in Article 97.</w:t>
      </w:r>
    </w:p>
    <w:p w14:paraId="6DCCA28A" w14:textId="77777777" w:rsidR="00386AE3" w:rsidRPr="00A63A57" w:rsidRDefault="00386AE3" w:rsidP="00386AE3">
      <w:pPr>
        <w:numPr>
          <w:ilvl w:val="0"/>
          <w:numId w:val="116"/>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Rule of Law Principle (Article 1 and 94):</w:t>
      </w:r>
      <w:r w:rsidRPr="00A63A57">
        <w:rPr>
          <w:rFonts w:ascii="Segoe UI" w:eastAsia="Times New Roman" w:hAnsi="Segoe UI" w:cs="Segoe UI"/>
          <w:color w:val="0F1115"/>
          <w:kern w:val="0"/>
          <w14:ligatures w14:val="none"/>
        </w:rPr>
        <w:t> The state is subject to the rule of law, and all administrative actions must be subject to judicial review.</w:t>
      </w:r>
    </w:p>
    <w:p w14:paraId="5E847F6B"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Does the Statutory Mechanism Provide Adequate Procedural Protection?</w:t>
      </w:r>
    </w:p>
    <w:p w14:paraId="1C190C4E"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Assessment:</w:t>
      </w:r>
      <w:r w:rsidRPr="00A63A57">
        <w:rPr>
          <w:rFonts w:ascii="Segoe UI" w:eastAsia="Times New Roman" w:hAnsi="Segoe UI" w:cs="Segoe UI"/>
          <w:color w:val="0F1115"/>
          <w:kern w:val="0"/>
          <w14:ligatures w14:val="none"/>
        </w:rPr>
        <w:t> The statutory mechanism provides </w:t>
      </w:r>
      <w:r w:rsidRPr="00A63A57">
        <w:rPr>
          <w:rFonts w:ascii="Segoe UI" w:eastAsia="Times New Roman" w:hAnsi="Segoe UI" w:cs="Segoe UI"/>
          <w:b/>
          <w:bCs/>
          <w:color w:val="0F1115"/>
          <w:kern w:val="0"/>
          <w14:ligatures w14:val="none"/>
        </w:rPr>
        <w:t>inadequate</w:t>
      </w:r>
      <w:r w:rsidRPr="00A63A57">
        <w:rPr>
          <w:rFonts w:ascii="Segoe UI" w:eastAsia="Times New Roman" w:hAnsi="Segoe UI" w:cs="Segoe UI"/>
          <w:color w:val="0F1115"/>
          <w:kern w:val="0"/>
          <w14:ligatures w14:val="none"/>
        </w:rPr>
        <w:t> procedural protection to affected individuals, including academic staff, for two primary reasons:</w:t>
      </w:r>
    </w:p>
    <w:p w14:paraId="07F9DD69" w14:textId="77777777" w:rsidR="00386AE3" w:rsidRPr="00A63A57" w:rsidRDefault="00386AE3" w:rsidP="00386AE3">
      <w:pPr>
        <w:numPr>
          <w:ilvl w:val="0"/>
          <w:numId w:val="117"/>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lastRenderedPageBreak/>
        <w:t>No individual participation rights:</w:t>
      </w:r>
      <w:r w:rsidRPr="00A63A57">
        <w:rPr>
          <w:rFonts w:ascii="Segoe UI" w:eastAsia="Times New Roman" w:hAnsi="Segoe UI" w:cs="Segoe UI"/>
          <w:color w:val="0F1115"/>
          <w:kern w:val="0"/>
          <w14:ligatures w14:val="none"/>
        </w:rPr>
        <w:t> The tripartite representation and agreement mechanisms involve collective bargaining between the minister, trade unions, and employers. This safeguards collective interests but does not protect individual rights. An academic staff member who disagrees with the fund's actions has no procedural avenue.</w:t>
      </w:r>
    </w:p>
    <w:p w14:paraId="17AFCD27" w14:textId="77777777" w:rsidR="00386AE3" w:rsidRPr="00A63A57" w:rsidRDefault="00386AE3" w:rsidP="00386AE3">
      <w:pPr>
        <w:numPr>
          <w:ilvl w:val="0"/>
          <w:numId w:val="117"/>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No challenge mechanism:</w:t>
      </w:r>
      <w:r w:rsidRPr="00A63A57">
        <w:rPr>
          <w:rFonts w:ascii="Segoe UI" w:eastAsia="Times New Roman" w:hAnsi="Segoe UI" w:cs="Segoe UI"/>
          <w:color w:val="0F1115"/>
          <w:kern w:val="0"/>
          <w14:ligatures w14:val="none"/>
        </w:rPr>
        <w:t> No administrative appeal or judicial review mechanism is expressly provided. While general principles of Egyptian administrative law allow for administrative appeals and judicial review under Law No. 59 of 1978 (the Law of the State Council), the absence of an express mechanism may create practical barriers and may violate the principle that limitations on rights must be provided by law.</w:t>
      </w:r>
    </w:p>
    <w:p w14:paraId="4E5E19FF"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7895872C">
          <v:rect id="_x0000_i1101" style="width:0;height:.75pt" o:hralign="center" o:hrstd="t" o:hr="t" fillcolor="#a0a0a0" stroked="f"/>
        </w:pict>
      </w:r>
    </w:p>
    <w:p w14:paraId="0B183AC2"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A. Argument That the Omission Is Constitutionally Problematic</w:t>
      </w:r>
    </w:p>
    <w:p w14:paraId="3B92E644"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absence of procedural safeguards for affected individuals before termination of service (if such termination could result from the fund's operations) raises several constitutional concerns:</w:t>
      </w:r>
    </w:p>
    <w:p w14:paraId="0D98849D"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1. Violation of the Right to Litigation (Article 97):</w:t>
      </w:r>
      <w:r w:rsidRPr="00A63A57">
        <w:rPr>
          <w:rFonts w:ascii="Segoe UI" w:eastAsia="Times New Roman" w:hAnsi="Segoe UI" w:cs="Segoe UI"/>
          <w:color w:val="0F1115"/>
          <w:kern w:val="0"/>
          <w14:ligatures w14:val="none"/>
        </w:rPr>
        <w:t> The provision effectively creates a system of compulsory contributions and service determination without any mechanism for affected individuals to seek judicial redress. If the fund's decisions affect an academic staff member's employment status, the absence of an administrative appeal or clear judicial recourse could be seen as an implicit ouster of jurisdiction, which contradicts Article 97.</w:t>
      </w:r>
    </w:p>
    <w:p w14:paraId="2F244092"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2. Violation of the Right to Due Process (Rule of Law Principle):</w:t>
      </w:r>
      <w:r w:rsidRPr="00A63A57">
        <w:rPr>
          <w:rFonts w:ascii="Segoe UI" w:eastAsia="Times New Roman" w:hAnsi="Segoe UI" w:cs="Segoe UI"/>
          <w:color w:val="0F1115"/>
          <w:kern w:val="0"/>
          <w14:ligatures w14:val="none"/>
        </w:rPr>
        <w:t> The rule of law requires that administrative actions affecting rights be accompanied by procedural safeguards. The termination of service is a grave measure affecting the right to employment (Article 13) and property rights (salary and benefits). The Egyptian Supreme Constitutional Court has consistently held that administrative decisions affecting personal rights must be preceded by due process, including notice and the opportunity to be heard.</w:t>
      </w:r>
    </w:p>
    <w:p w14:paraId="1CCDEA19"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3. Excessive Delegation of Legislative Authority (Article 92):</w:t>
      </w:r>
      <w:r w:rsidRPr="00A63A57">
        <w:rPr>
          <w:rFonts w:ascii="Segoe UI" w:eastAsia="Times New Roman" w:hAnsi="Segoe UI" w:cs="Segoe UI"/>
          <w:color w:val="0F1115"/>
          <w:kern w:val="0"/>
          <w14:ligatures w14:val="none"/>
        </w:rPr>
        <w:t> The provision grants the minister broad discretion to determine services, contribution amounts, and the financial and administrative regulations, with only minimal criteria (e.g., "not less than the minimum" for contributions). If the implementation of these powers could lead to adverse consequences for academic staff, the lack of legislative guidance may constitute an unconstitutional abdication of legislative authority.</w:t>
      </w:r>
    </w:p>
    <w:p w14:paraId="229A7862"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lastRenderedPageBreak/>
        <w:t>4. Potential Violation of Academic Freedom:</w:t>
      </w:r>
      <w:r w:rsidRPr="00A63A57">
        <w:rPr>
          <w:rFonts w:ascii="Segoe UI" w:eastAsia="Times New Roman" w:hAnsi="Segoe UI" w:cs="Segoe UI"/>
          <w:color w:val="0F1115"/>
          <w:kern w:val="0"/>
          <w14:ligatures w14:val="none"/>
        </w:rPr>
        <w:t> For academic staff specifically, the provision—if interpreted to allow the fund to affect university employment—could indirectly infringe upon academic freedom. If the fund's services or contribution decisions create financial pressures that lead to staff reductions, terminations, or adverse employment actions, this could implicate principles of academic independence protected by Article 21 (right to education) and the general constitutional protection of intellectual freedom.</w:t>
      </w:r>
    </w:p>
    <w:p w14:paraId="1B08FD07"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5. Retroactivity Concern:</w:t>
      </w:r>
      <w:r w:rsidRPr="00A63A57">
        <w:rPr>
          <w:rFonts w:ascii="Segoe UI" w:eastAsia="Times New Roman" w:hAnsi="Segoe UI" w:cs="Segoe UI"/>
          <w:color w:val="0F1115"/>
          <w:kern w:val="0"/>
          <w14:ligatures w14:val="none"/>
        </w:rPr>
        <w:t> If the provision is applied retroactively to impose contributions or decisions affecting existing academic staff, the absence of transitional provisions could raise concerns under Article 93 (non-retroactivity of laws).</w:t>
      </w:r>
    </w:p>
    <w:p w14:paraId="42DFBC93"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1B6FA97C">
          <v:rect id="_x0000_i1102" style="width:0;height:.75pt" o:hralign="center" o:hrstd="t" o:hr="t" fillcolor="#a0a0a0" stroked="f"/>
        </w:pict>
      </w:r>
    </w:p>
    <w:p w14:paraId="1C5234BD"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B. Counterargument That the Omission Represents a Permissible Legislative Choice</w:t>
      </w:r>
    </w:p>
    <w:p w14:paraId="18BDE844"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1. Delegation to Implementing Regulations Is Routine:</w:t>
      </w:r>
      <w:r w:rsidRPr="00A63A57">
        <w:rPr>
          <w:rFonts w:ascii="Segoe UI" w:eastAsia="Times New Roman" w:hAnsi="Segoe UI" w:cs="Segoe UI"/>
          <w:color w:val="0F1115"/>
          <w:kern w:val="0"/>
          <w14:ligatures w14:val="none"/>
        </w:rPr>
        <w:t> Egyptian legislation frequently delegates detailed matters to ministerial decisions. The constitutional principle of separation of powers does not require the legislature to address every procedural detail. The minister's duty to issue regulations, combined with the requirement for tripartite agreement, provides sufficient safeguards.</w:t>
      </w:r>
    </w:p>
    <w:p w14:paraId="4884359F"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2. General Administrative Law Provides Adequate Protection:</w:t>
      </w:r>
      <w:r w:rsidRPr="00A63A57">
        <w:rPr>
          <w:rFonts w:ascii="Segoe UI" w:eastAsia="Times New Roman" w:hAnsi="Segoe UI" w:cs="Segoe UI"/>
          <w:color w:val="0F1115"/>
          <w:kern w:val="0"/>
          <w14:ligatures w14:val="none"/>
        </w:rPr>
        <w:t> The affected individual is not left without recourse. Under the Egyptian administrative law framework (Law No. 59 of 1978), any administrative decision may be challenged before the Administrative Court. The absence of an express provision in Article 223 does not negate this general right.</w:t>
      </w:r>
    </w:p>
    <w:p w14:paraId="1309E217"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3. The Provision Affects Economic/Collective Rights, Not Individual Rights:</w:t>
      </w:r>
      <w:r w:rsidRPr="00A63A57">
        <w:rPr>
          <w:rFonts w:ascii="Segoe UI" w:eastAsia="Times New Roman" w:hAnsi="Segoe UI" w:cs="Segoe UI"/>
          <w:color w:val="0F1115"/>
          <w:kern w:val="0"/>
          <w14:ligatures w14:val="none"/>
        </w:rPr>
        <w:t> The fund primarily concerns social services and collective benefit. The contributions are mandatory but are intended for workers' welfare. This is a matter of economic and social policy, not a deprivation of individual rights, and legislative discretion is broad.</w:t>
      </w:r>
    </w:p>
    <w:p w14:paraId="7D335136"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4. No Direct Link to Termination of Service:</w:t>
      </w:r>
      <w:r w:rsidRPr="00A63A57">
        <w:rPr>
          <w:rFonts w:ascii="Segoe UI" w:eastAsia="Times New Roman" w:hAnsi="Segoe UI" w:cs="Segoe UI"/>
          <w:color w:val="0F1115"/>
          <w:kern w:val="0"/>
          <w14:ligatures w14:val="none"/>
        </w:rPr>
        <w:t> The provision itself does not authorize termination of service. It concerns social services, health, and cultural services. If termination of service occurs, it would be under separate provisions of the Civil Service Law or university regulations, not under this article. Therefore, the absence of procedural safeguards here does not implicate termination issues.</w:t>
      </w:r>
    </w:p>
    <w:p w14:paraId="34BF820C"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5. Constitutional Deference to Economic and Social Regulation:</w:t>
      </w:r>
      <w:r w:rsidRPr="00A63A57">
        <w:rPr>
          <w:rFonts w:ascii="Segoe UI" w:eastAsia="Times New Roman" w:hAnsi="Segoe UI" w:cs="Segoe UI"/>
          <w:color w:val="0F1115"/>
          <w:kern w:val="0"/>
          <w14:ligatures w14:val="none"/>
        </w:rPr>
        <w:t xml:space="preserve"> The Egyptian Supreme Constitutional Court has consistently applied a deferential standard to </w:t>
      </w:r>
      <w:r w:rsidRPr="00A63A57">
        <w:rPr>
          <w:rFonts w:ascii="Segoe UI" w:eastAsia="Times New Roman" w:hAnsi="Segoe UI" w:cs="Segoe UI"/>
          <w:color w:val="0F1115"/>
          <w:kern w:val="0"/>
          <w14:ligatures w14:val="none"/>
        </w:rPr>
        <w:lastRenderedPageBreak/>
        <w:t>economic and social legislation, requiring only that such legislation serve a legitimate public purpose and not be arbitrary. The establishment of social services funds falls squarely within this deference.</w:t>
      </w:r>
    </w:p>
    <w:p w14:paraId="31ECE2E6"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5C5AF53">
          <v:rect id="_x0000_i1103" style="width:0;height:.75pt" o:hralign="center" o:hrstd="t" o:hr="t" fillcolor="#a0a0a0" stroked="f"/>
        </w:pict>
      </w:r>
    </w:p>
    <w:p w14:paraId="67C9518B"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4. Legislative-Gap Classification</w:t>
      </w:r>
    </w:p>
    <w:p w14:paraId="314A1FFB"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Classification: Material Legislative Gap with Potential Constitutional Significance</w:t>
      </w:r>
    </w:p>
    <w:p w14:paraId="03B9BBE6"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Reasoning:</w:t>
      </w:r>
    </w:p>
    <w:p w14:paraId="076A269F"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This provision contains a </w:t>
      </w:r>
      <w:r w:rsidRPr="00A63A57">
        <w:rPr>
          <w:rFonts w:ascii="Segoe UI" w:eastAsia="Times New Roman" w:hAnsi="Segoe UI" w:cs="Segoe UI"/>
          <w:b/>
          <w:bCs/>
          <w:color w:val="0F1115"/>
          <w:kern w:val="0"/>
          <w14:ligatures w14:val="none"/>
        </w:rPr>
        <w:t>material legislative gap</w:t>
      </w:r>
      <w:r w:rsidRPr="00A63A57">
        <w:rPr>
          <w:rFonts w:ascii="Segoe UI" w:eastAsia="Times New Roman" w:hAnsi="Segoe UI" w:cs="Segoe UI"/>
          <w:color w:val="0F1115"/>
          <w:kern w:val="0"/>
          <w14:ligatures w14:val="none"/>
        </w:rPr>
        <w:t> in failing to provide procedural safeguards for affected individuals who may be adversely affected by the fund's operations or by decisions made pursuant to the minister's delegated authority. While the tripartite representation and agreement mechanisms provide collective safeguards, they do not address individual rights.</w:t>
      </w:r>
    </w:p>
    <w:p w14:paraId="0E5860DB"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However, the classification must account for several countervailing factors:</w:t>
      </w:r>
    </w:p>
    <w:p w14:paraId="6F8862C9" w14:textId="77777777" w:rsidR="00386AE3" w:rsidRPr="00A63A57" w:rsidRDefault="00386AE3" w:rsidP="00386AE3">
      <w:pPr>
        <w:numPr>
          <w:ilvl w:val="0"/>
          <w:numId w:val="11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The gap is not textually obvious</w:t>
      </w:r>
      <w:r w:rsidRPr="00A63A57">
        <w:rPr>
          <w:rFonts w:ascii="Segoe UI" w:eastAsia="Times New Roman" w:hAnsi="Segoe UI" w:cs="Segoe UI"/>
          <w:color w:val="0F1115"/>
          <w:kern w:val="0"/>
          <w14:ligatures w14:val="none"/>
        </w:rPr>
        <w:t> but emerges from the absence of individual procedural protections.</w:t>
      </w:r>
    </w:p>
    <w:p w14:paraId="5E429FD2" w14:textId="77777777" w:rsidR="00386AE3" w:rsidRPr="00A63A57" w:rsidRDefault="00386AE3" w:rsidP="00386AE3">
      <w:pPr>
        <w:numPr>
          <w:ilvl w:val="0"/>
          <w:numId w:val="11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The gap may be remedied by general administrative law</w:t>
      </w:r>
      <w:r w:rsidRPr="00A63A57">
        <w:rPr>
          <w:rFonts w:ascii="Segoe UI" w:eastAsia="Times New Roman" w:hAnsi="Segoe UI" w:cs="Segoe UI"/>
          <w:color w:val="0F1115"/>
          <w:kern w:val="0"/>
          <w14:ligatures w14:val="none"/>
        </w:rPr>
        <w:t> rather than requiring amendment to this specific provision.</w:t>
      </w:r>
    </w:p>
    <w:p w14:paraId="3CFA1D39" w14:textId="77777777" w:rsidR="00386AE3" w:rsidRPr="00A63A57" w:rsidRDefault="00386AE3" w:rsidP="00386AE3">
      <w:pPr>
        <w:numPr>
          <w:ilvl w:val="0"/>
          <w:numId w:val="11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The gap's constitutional significance is conditional</w:t>
      </w:r>
      <w:r w:rsidRPr="00A63A57">
        <w:rPr>
          <w:rFonts w:ascii="Segoe UI" w:eastAsia="Times New Roman" w:hAnsi="Segoe UI" w:cs="Segoe UI"/>
          <w:color w:val="0F1115"/>
          <w:kern w:val="0"/>
          <w14:ligatures w14:val="none"/>
        </w:rPr>
        <w:t>—it becomes constitutionally significant only if the fund's decisions can lead to termination of service or otherwise infringe upon individual rights. The provision itself does not mention termination.</w:t>
      </w:r>
    </w:p>
    <w:p w14:paraId="623FD6B1" w14:textId="77777777" w:rsidR="00386AE3" w:rsidRPr="00A63A57" w:rsidRDefault="00386AE3" w:rsidP="00386AE3">
      <w:pPr>
        <w:numPr>
          <w:ilvl w:val="0"/>
          <w:numId w:val="11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The gap concerns procedure, not substance</w:t>
      </w:r>
      <w:r w:rsidRPr="00A63A57">
        <w:rPr>
          <w:rFonts w:ascii="Segoe UI" w:eastAsia="Times New Roman" w:hAnsi="Segoe UI" w:cs="Segoe UI"/>
          <w:color w:val="0F1115"/>
          <w:kern w:val="0"/>
          <w14:ligatures w14:val="none"/>
        </w:rPr>
        <w:t>—the legislative choice to regulate this scheme through ministerial decisions and regulations is permissible; the defect is the absence of individual challenge mechanisms.</w:t>
      </w:r>
    </w:p>
    <w:p w14:paraId="461C2CFA"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gap is </w:t>
      </w:r>
      <w:r w:rsidRPr="00A63A57">
        <w:rPr>
          <w:rFonts w:ascii="Segoe UI" w:eastAsia="Times New Roman" w:hAnsi="Segoe UI" w:cs="Segoe UI"/>
          <w:b/>
          <w:bCs/>
          <w:color w:val="0F1115"/>
          <w:kern w:val="0"/>
          <w14:ligatures w14:val="none"/>
        </w:rPr>
        <w:t>potentially</w:t>
      </w:r>
      <w:r w:rsidRPr="00A63A57">
        <w:rPr>
          <w:rFonts w:ascii="Segoe UI" w:eastAsia="Times New Roman" w:hAnsi="Segoe UI" w:cs="Segoe UI"/>
          <w:color w:val="0F1115"/>
          <w:kern w:val="0"/>
          <w14:ligatures w14:val="none"/>
        </w:rPr>
        <w:t> constitutionally significant because:</w:t>
      </w:r>
    </w:p>
    <w:p w14:paraId="41F64325" w14:textId="77777777" w:rsidR="00386AE3" w:rsidRPr="00A63A57" w:rsidRDefault="00386AE3" w:rsidP="00386AE3">
      <w:pPr>
        <w:numPr>
          <w:ilvl w:val="0"/>
          <w:numId w:val="119"/>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It affects individuals' rights (financial obligations and potential service-related decisions).</w:t>
      </w:r>
    </w:p>
    <w:p w14:paraId="1F7AB17E" w14:textId="77777777" w:rsidR="00386AE3" w:rsidRPr="00A63A57" w:rsidRDefault="00386AE3" w:rsidP="00386AE3">
      <w:pPr>
        <w:numPr>
          <w:ilvl w:val="0"/>
          <w:numId w:val="119"/>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It lacks procedural safeguards, which may violate the right to litigation and due process.</w:t>
      </w:r>
    </w:p>
    <w:p w14:paraId="40F7FA74" w14:textId="77777777" w:rsidR="00386AE3" w:rsidRPr="00A63A57" w:rsidRDefault="00386AE3" w:rsidP="00386AE3">
      <w:pPr>
        <w:numPr>
          <w:ilvl w:val="0"/>
          <w:numId w:val="119"/>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broad delegation to the minister without sufficient criteria may raise Article 92 concerns.</w:t>
      </w:r>
    </w:p>
    <w:p w14:paraId="044FF927"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gap is </w:t>
      </w:r>
      <w:r w:rsidRPr="00A63A57">
        <w:rPr>
          <w:rFonts w:ascii="Segoe UI" w:eastAsia="Times New Roman" w:hAnsi="Segoe UI" w:cs="Segoe UI"/>
          <w:b/>
          <w:bCs/>
          <w:color w:val="0F1115"/>
          <w:kern w:val="0"/>
          <w14:ligatures w14:val="none"/>
        </w:rPr>
        <w:t>not definitively</w:t>
      </w:r>
      <w:r w:rsidRPr="00A63A57">
        <w:rPr>
          <w:rFonts w:ascii="Segoe UI" w:eastAsia="Times New Roman" w:hAnsi="Segoe UI" w:cs="Segoe UI"/>
          <w:color w:val="0F1115"/>
          <w:kern w:val="0"/>
          <w14:ligatures w14:val="none"/>
        </w:rPr>
        <w:t> constitutionally significant because:</w:t>
      </w:r>
    </w:p>
    <w:p w14:paraId="0B160BD0" w14:textId="77777777" w:rsidR="00386AE3" w:rsidRPr="00A63A57" w:rsidRDefault="00386AE3" w:rsidP="00386AE3">
      <w:pPr>
        <w:numPr>
          <w:ilvl w:val="0"/>
          <w:numId w:val="120"/>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lastRenderedPageBreak/>
        <w:t>General administrative law provides residual safeguards.</w:t>
      </w:r>
    </w:p>
    <w:p w14:paraId="67CFD857" w14:textId="77777777" w:rsidR="00386AE3" w:rsidRPr="00A63A57" w:rsidRDefault="00386AE3" w:rsidP="00386AE3">
      <w:pPr>
        <w:numPr>
          <w:ilvl w:val="0"/>
          <w:numId w:val="120"/>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gap may be filled by implementing regulations.</w:t>
      </w:r>
    </w:p>
    <w:p w14:paraId="2BAB8123" w14:textId="77777777" w:rsidR="00386AE3" w:rsidRPr="00A63A57" w:rsidRDefault="00386AE3" w:rsidP="00386AE3">
      <w:pPr>
        <w:numPr>
          <w:ilvl w:val="0"/>
          <w:numId w:val="120"/>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provision does not explicitly authorize termination of service.</w:t>
      </w:r>
    </w:p>
    <w:p w14:paraId="6D85D508"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Therefore, the precise classification depends on how the provision is interpreted and implemented. The safest classification is </w:t>
      </w:r>
      <w:r w:rsidRPr="00A63A57">
        <w:rPr>
          <w:rFonts w:ascii="Segoe UI" w:eastAsia="Times New Roman" w:hAnsi="Segoe UI" w:cs="Segoe UI"/>
          <w:b/>
          <w:bCs/>
          <w:color w:val="0F1115"/>
          <w:kern w:val="0"/>
          <w14:ligatures w14:val="none"/>
        </w:rPr>
        <w:t>material legislative gap with potential constitutional significance</w:t>
      </w:r>
      <w:r w:rsidRPr="00A63A57">
        <w:rPr>
          <w:rFonts w:ascii="Segoe UI" w:eastAsia="Times New Roman" w:hAnsi="Segoe UI" w:cs="Segoe UI"/>
          <w:color w:val="0F1115"/>
          <w:kern w:val="0"/>
          <w14:ligatures w14:val="none"/>
        </w:rPr>
        <w:t>, subject to clarification by implementing regulations and judicial interpretation.</w:t>
      </w:r>
    </w:p>
    <w:p w14:paraId="424A9263"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BE3BC40">
          <v:rect id="_x0000_i1104" style="width:0;height:.75pt" o:hralign="center" o:hrstd="t" o:hr="t" fillcolor="#a0a0a0" stroked="f"/>
        </w:pict>
      </w:r>
    </w:p>
    <w:p w14:paraId="41DEAAD2"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5. Judicial-Review Perspective</w:t>
      </w:r>
    </w:p>
    <w:p w14:paraId="164BFF60"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Assume an affected academic staff member challenges the constitutionality of Article 223(3) on the ground that it fails to provide adequate procedural safeguards before termination of service.</w:t>
      </w:r>
    </w:p>
    <w:p w14:paraId="7C90CB7B"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How the Constitutional Court Could Approach the Challenge</w:t>
      </w:r>
    </w:p>
    <w:p w14:paraId="59DB2412"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Step 1: Determine Justiciability and Standing</w:t>
      </w:r>
    </w:p>
    <w:p w14:paraId="4703A014"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court would first examine whether the challenger has standing—i.e., whether the provision directly affects the challenger's rights and whether the challenge is concrete and ripe. The challenger would need to demonstrate that the fund's decisions or operations have led or could lead to termination of service.</w:t>
      </w:r>
    </w:p>
    <w:p w14:paraId="7120FB6D"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Step 2: Interpret the Challenged Provision</w:t>
      </w:r>
    </w:p>
    <w:p w14:paraId="195A6E79"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court would engage in constitutional interpretation of Article 223(3), examining:</w:t>
      </w:r>
    </w:p>
    <w:p w14:paraId="3D4CE4C2" w14:textId="77777777" w:rsidR="00386AE3" w:rsidRPr="00A63A57" w:rsidRDefault="00386AE3" w:rsidP="00386AE3">
      <w:pPr>
        <w:numPr>
          <w:ilvl w:val="0"/>
          <w:numId w:val="121"/>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Whether the provision, properly interpreted, applies to academic staff in universities.</w:t>
      </w:r>
    </w:p>
    <w:p w14:paraId="49F0C749" w14:textId="77777777" w:rsidR="00386AE3" w:rsidRPr="00A63A57" w:rsidRDefault="00386AE3" w:rsidP="00386AE3">
      <w:pPr>
        <w:numPr>
          <w:ilvl w:val="0"/>
          <w:numId w:val="121"/>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Whether the provision authorizes any action that could lead to termination of service.</w:t>
      </w:r>
    </w:p>
    <w:p w14:paraId="351A0912" w14:textId="77777777" w:rsidR="00386AE3" w:rsidRPr="00A63A57" w:rsidRDefault="00386AE3" w:rsidP="00386AE3">
      <w:pPr>
        <w:numPr>
          <w:ilvl w:val="0"/>
          <w:numId w:val="121"/>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Whether the provision should be read as incorporating general administrative law safeguards.</w:t>
      </w:r>
    </w:p>
    <w:p w14:paraId="42DAD14E"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court might adopt either a narrow interpretation (the provision merely establishes a services fund and has no bearing on employment termination) or a broad interpretation (the provision creates a comprehensive system that could affect employment).</w:t>
      </w:r>
    </w:p>
    <w:p w14:paraId="5F9C680A"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Step 3: Identify the Relevant Constitutional Principles</w:t>
      </w:r>
    </w:p>
    <w:p w14:paraId="0E502526"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lastRenderedPageBreak/>
        <w:t>The court would identify:</w:t>
      </w:r>
    </w:p>
    <w:p w14:paraId="33ADCA4B" w14:textId="77777777" w:rsidR="00386AE3" w:rsidRPr="00A63A57" w:rsidRDefault="00386AE3" w:rsidP="00386AE3">
      <w:pPr>
        <w:numPr>
          <w:ilvl w:val="0"/>
          <w:numId w:val="122"/>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Article 13</w:t>
      </w:r>
      <w:r w:rsidRPr="00A63A57">
        <w:rPr>
          <w:rFonts w:ascii="Segoe UI" w:eastAsia="Times New Roman" w:hAnsi="Segoe UI" w:cs="Segoe UI"/>
          <w:color w:val="0F1115"/>
          <w:kern w:val="0"/>
          <w14:ligatures w14:val="none"/>
        </w:rPr>
        <w:t> (right to public employment) and its procedural corollary that deprivation requires due process.</w:t>
      </w:r>
    </w:p>
    <w:p w14:paraId="2D366E86" w14:textId="77777777" w:rsidR="00386AE3" w:rsidRPr="00A63A57" w:rsidRDefault="00386AE3" w:rsidP="00386AE3">
      <w:pPr>
        <w:numPr>
          <w:ilvl w:val="0"/>
          <w:numId w:val="122"/>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Article 97</w:t>
      </w:r>
      <w:r w:rsidRPr="00A63A57">
        <w:rPr>
          <w:rFonts w:ascii="Segoe UI" w:eastAsia="Times New Roman" w:hAnsi="Segoe UI" w:cs="Segoe UI"/>
          <w:color w:val="0F1115"/>
          <w:kern w:val="0"/>
          <w14:ligatures w14:val="none"/>
        </w:rPr>
        <w:t> (right to litigation) and the principle of judicial protection.</w:t>
      </w:r>
    </w:p>
    <w:p w14:paraId="1C3AC4E7" w14:textId="77777777" w:rsidR="00386AE3" w:rsidRPr="00A63A57" w:rsidRDefault="00386AE3" w:rsidP="00386AE3">
      <w:pPr>
        <w:numPr>
          <w:ilvl w:val="0"/>
          <w:numId w:val="122"/>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Rule of law principle</w:t>
      </w:r>
      <w:r w:rsidRPr="00A63A57">
        <w:rPr>
          <w:rFonts w:ascii="Segoe UI" w:eastAsia="Times New Roman" w:hAnsi="Segoe UI" w:cs="Segoe UI"/>
          <w:color w:val="0F1115"/>
          <w:kern w:val="0"/>
          <w14:ligatures w14:val="none"/>
        </w:rPr>
        <w:t> and administrative due process.</w:t>
      </w:r>
    </w:p>
    <w:p w14:paraId="15A08A91" w14:textId="77777777" w:rsidR="00386AE3" w:rsidRPr="00A63A57" w:rsidRDefault="00386AE3" w:rsidP="00386AE3">
      <w:pPr>
        <w:numPr>
          <w:ilvl w:val="0"/>
          <w:numId w:val="122"/>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The constitutional principle of non-retroactivity</w:t>
      </w:r>
      <w:r w:rsidRPr="00A63A57">
        <w:rPr>
          <w:rFonts w:ascii="Segoe UI" w:eastAsia="Times New Roman" w:hAnsi="Segoe UI" w:cs="Segoe UI"/>
          <w:color w:val="0F1115"/>
          <w:kern w:val="0"/>
          <w14:ligatures w14:val="none"/>
        </w:rPr>
        <w:t> if relevant.</w:t>
      </w:r>
    </w:p>
    <w:p w14:paraId="4AF09C70"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Step 4: Assess Proportionality and Reasonableness</w:t>
      </w:r>
    </w:p>
    <w:p w14:paraId="0BAE64A2"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court would apply its established jurisprudence on the constitutionality of legislative omissions:</w:t>
      </w:r>
    </w:p>
    <w:p w14:paraId="3C575C90" w14:textId="77777777" w:rsidR="00386AE3" w:rsidRPr="00A63A57" w:rsidRDefault="00386AE3" w:rsidP="00386AE3">
      <w:pPr>
        <w:numPr>
          <w:ilvl w:val="0"/>
          <w:numId w:val="123"/>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First Prong—Legitimate Purpose:</w:t>
      </w:r>
      <w:r w:rsidRPr="00A63A57">
        <w:rPr>
          <w:rFonts w:ascii="Segoe UI" w:eastAsia="Times New Roman" w:hAnsi="Segoe UI" w:cs="Segoe UI"/>
          <w:color w:val="0F1115"/>
          <w:kern w:val="0"/>
          <w14:ligatures w14:val="none"/>
        </w:rPr>
        <w:t> Does the provision serve a legitimate purpose? Yes—the fund serves social and welfare purposes consistent with constitutional social justice principles.</w:t>
      </w:r>
    </w:p>
    <w:p w14:paraId="7E86E59D" w14:textId="77777777" w:rsidR="00386AE3" w:rsidRPr="00A63A57" w:rsidRDefault="00386AE3" w:rsidP="00386AE3">
      <w:pPr>
        <w:numPr>
          <w:ilvl w:val="0"/>
          <w:numId w:val="123"/>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Second Prong—Suitability:</w:t>
      </w:r>
      <w:r w:rsidRPr="00A63A57">
        <w:rPr>
          <w:rFonts w:ascii="Segoe UI" w:eastAsia="Times New Roman" w:hAnsi="Segoe UI" w:cs="Segoe UI"/>
          <w:color w:val="0F1115"/>
          <w:kern w:val="0"/>
          <w14:ligatures w14:val="none"/>
        </w:rPr>
        <w:t> Is the provision suitable to achieve its purpose? Yes—mandatory contributions are a reasonable mechanism for financing social services.</w:t>
      </w:r>
    </w:p>
    <w:p w14:paraId="1823A80E" w14:textId="77777777" w:rsidR="00386AE3" w:rsidRPr="00A63A57" w:rsidRDefault="00386AE3" w:rsidP="00386AE3">
      <w:pPr>
        <w:numPr>
          <w:ilvl w:val="0"/>
          <w:numId w:val="123"/>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Third Prong—Necessity:</w:t>
      </w:r>
      <w:r w:rsidRPr="00A63A57">
        <w:rPr>
          <w:rFonts w:ascii="Segoe UI" w:eastAsia="Times New Roman" w:hAnsi="Segoe UI" w:cs="Segoe UI"/>
          <w:color w:val="0F1115"/>
          <w:kern w:val="0"/>
          <w14:ligatures w14:val="none"/>
        </w:rPr>
        <w:t> Could the legislature have achieved the same purpose with less restrictive means? The absence of procedural safeguards is not "necessary"—the legislature could have included individual appeal mechanisms without undermining the fund's purpose.</w:t>
      </w:r>
    </w:p>
    <w:p w14:paraId="2AF2E9D8" w14:textId="77777777" w:rsidR="00386AE3" w:rsidRPr="00A63A57" w:rsidRDefault="00386AE3" w:rsidP="00386AE3">
      <w:pPr>
        <w:numPr>
          <w:ilvl w:val="0"/>
          <w:numId w:val="123"/>
        </w:numPr>
        <w:shd w:val="clear" w:color="auto" w:fill="FFFFFF"/>
        <w:spacing w:before="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Fourth Prong—Proportionality Stricto Sensu:</w:t>
      </w:r>
      <w:r w:rsidRPr="00A63A57">
        <w:rPr>
          <w:rFonts w:ascii="Segoe UI" w:eastAsia="Times New Roman" w:hAnsi="Segoe UI" w:cs="Segoe UI"/>
          <w:color w:val="0F1115"/>
          <w:kern w:val="0"/>
          <w14:ligatures w14:val="none"/>
        </w:rPr>
        <w:t> Does the benefit of the provision outweigh its burden on rights? The court would weigh:</w:t>
      </w:r>
    </w:p>
    <w:p w14:paraId="4401C542" w14:textId="77777777" w:rsidR="00386AE3" w:rsidRPr="00A63A57" w:rsidRDefault="00386AE3" w:rsidP="00386AE3">
      <w:pPr>
        <w:numPr>
          <w:ilvl w:val="1"/>
          <w:numId w:val="123"/>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Benefit:</w:t>
      </w:r>
      <w:r w:rsidRPr="00A63A57">
        <w:rPr>
          <w:rFonts w:ascii="Segoe UI" w:eastAsia="Times New Roman" w:hAnsi="Segoe UI" w:cs="Segoe UI"/>
          <w:color w:val="0F1115"/>
          <w:kern w:val="0"/>
          <w14:ligatures w14:val="none"/>
        </w:rPr>
        <w:t> Social services for workers, collective welfare.</w:t>
      </w:r>
    </w:p>
    <w:p w14:paraId="12F93AE3" w14:textId="77777777" w:rsidR="00386AE3" w:rsidRPr="00A63A57" w:rsidRDefault="00386AE3" w:rsidP="00386AE3">
      <w:pPr>
        <w:numPr>
          <w:ilvl w:val="1"/>
          <w:numId w:val="123"/>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Burden:</w:t>
      </w:r>
      <w:r w:rsidRPr="00A63A57">
        <w:rPr>
          <w:rFonts w:ascii="Segoe UI" w:eastAsia="Times New Roman" w:hAnsi="Segoe UI" w:cs="Segoe UI"/>
          <w:color w:val="0F1115"/>
          <w:kern w:val="0"/>
          <w14:ligatures w14:val="none"/>
        </w:rPr>
        <w:t> Potential deprivation of individual rights without procedural protection.</w:t>
      </w:r>
    </w:p>
    <w:p w14:paraId="7E54DBFF"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Step 5: Consider Deference and Margin of Appreciation</w:t>
      </w:r>
    </w:p>
    <w:p w14:paraId="1888B50F"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Egyptian Supreme Constitutional Court has historically afforded deference to the legislature in economic and social matters (e.g., Decision No. 54/11 Judicial Year, 1992, establishing the "rational relationship" test). The court would likely apply a deferential standard, requiring only that the legislation not be "arbitrary" or "excessive."</w:t>
      </w:r>
    </w:p>
    <w:p w14:paraId="4F96B7D2"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Step 6: Consider Severability and Remedial Options</w:t>
      </w:r>
    </w:p>
    <w:p w14:paraId="6416D60B"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If the court finds a constitutional defect, it may:</w:t>
      </w:r>
    </w:p>
    <w:p w14:paraId="5B1E4D45" w14:textId="77777777" w:rsidR="00386AE3" w:rsidRPr="00A63A57" w:rsidRDefault="00386AE3" w:rsidP="00386AE3">
      <w:pPr>
        <w:numPr>
          <w:ilvl w:val="0"/>
          <w:numId w:val="124"/>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Declare the provision unconstitutional</w:t>
      </w:r>
      <w:r w:rsidRPr="00A63A57">
        <w:rPr>
          <w:rFonts w:ascii="Segoe UI" w:eastAsia="Times New Roman" w:hAnsi="Segoe UI" w:cs="Segoe UI"/>
          <w:color w:val="0F1115"/>
          <w:kern w:val="0"/>
          <w14:ligatures w14:val="none"/>
        </w:rPr>
        <w:t> (if the defect is irreparable).</w:t>
      </w:r>
    </w:p>
    <w:p w14:paraId="348731C6" w14:textId="77777777" w:rsidR="00386AE3" w:rsidRPr="00A63A57" w:rsidRDefault="00386AE3" w:rsidP="00386AE3">
      <w:pPr>
        <w:numPr>
          <w:ilvl w:val="0"/>
          <w:numId w:val="124"/>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Interpret the provision consistently with the Constitution</w:t>
      </w:r>
      <w:r w:rsidRPr="00A63A57">
        <w:rPr>
          <w:rFonts w:ascii="Segoe UI" w:eastAsia="Times New Roman" w:hAnsi="Segoe UI" w:cs="Segoe UI"/>
          <w:color w:val="0F1115"/>
          <w:kern w:val="0"/>
          <w14:ligatures w14:val="none"/>
        </w:rPr>
        <w:t> (if the text allows such interpretation).</w:t>
      </w:r>
    </w:p>
    <w:p w14:paraId="418D4D60" w14:textId="77777777" w:rsidR="00386AE3" w:rsidRPr="00A63A57" w:rsidRDefault="00386AE3" w:rsidP="00386AE3">
      <w:pPr>
        <w:numPr>
          <w:ilvl w:val="0"/>
          <w:numId w:val="124"/>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lastRenderedPageBreak/>
        <w:t>Suspend the effect of its decision</w:t>
      </w:r>
      <w:r w:rsidRPr="00A63A57">
        <w:rPr>
          <w:rFonts w:ascii="Segoe UI" w:eastAsia="Times New Roman" w:hAnsi="Segoe UI" w:cs="Segoe UI"/>
          <w:color w:val="0F1115"/>
          <w:kern w:val="0"/>
          <w14:ligatures w14:val="none"/>
        </w:rPr>
        <w:t> (under Article 49 of the Supreme Constitutional Court Law) to allow the legislature to remedy the defect.</w:t>
      </w:r>
    </w:p>
    <w:p w14:paraId="64DE2A8C"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5AB9A676">
          <v:rect id="_x0000_i1105" style="width:0;height:.75pt" o:hralign="center" o:hrstd="t" o:hr="t" fillcolor="#a0a0a0" stroked="f"/>
        </w:pict>
      </w:r>
    </w:p>
    <w:p w14:paraId="3A13326C"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Competing Constitutional Considerations</w:t>
      </w:r>
    </w:p>
    <w:tbl>
      <w:tblPr>
        <w:tblW w:w="11280" w:type="dxa"/>
        <w:tblCellMar>
          <w:top w:w="15" w:type="dxa"/>
          <w:left w:w="15" w:type="dxa"/>
          <w:bottom w:w="15" w:type="dxa"/>
          <w:right w:w="15" w:type="dxa"/>
        </w:tblCellMar>
        <w:tblLook w:val="04A0" w:firstRow="1" w:lastRow="0" w:firstColumn="1" w:lastColumn="0" w:noHBand="0" w:noVBand="1"/>
      </w:tblPr>
      <w:tblGrid>
        <w:gridCol w:w="5727"/>
        <w:gridCol w:w="5553"/>
      </w:tblGrid>
      <w:tr w:rsidR="00386AE3" w:rsidRPr="00A63A57" w14:paraId="401D701F" w14:textId="77777777" w:rsidTr="00B021F2">
        <w:trPr>
          <w:tblHeader/>
        </w:trPr>
        <w:tc>
          <w:tcPr>
            <w:tcW w:w="0" w:type="auto"/>
            <w:tcBorders>
              <w:top w:val="nil"/>
            </w:tcBorders>
            <w:tcMar>
              <w:top w:w="150" w:type="dxa"/>
              <w:left w:w="0" w:type="dxa"/>
              <w:bottom w:w="150" w:type="dxa"/>
              <w:right w:w="240" w:type="dxa"/>
            </w:tcMar>
            <w:vAlign w:val="center"/>
            <w:hideMark/>
          </w:tcPr>
          <w:p w14:paraId="0D8232DA"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b/>
                <w:bCs/>
                <w:kern w:val="0"/>
                <w:sz w:val="23"/>
                <w:szCs w:val="23"/>
                <w14:ligatures w14:val="none"/>
              </w:rPr>
              <w:t>Consideration Supporting Unconstitutionality</w:t>
            </w:r>
          </w:p>
        </w:tc>
        <w:tc>
          <w:tcPr>
            <w:tcW w:w="0" w:type="auto"/>
            <w:tcBorders>
              <w:top w:val="nil"/>
            </w:tcBorders>
            <w:tcMar>
              <w:top w:w="150" w:type="dxa"/>
              <w:left w:w="240" w:type="dxa"/>
              <w:bottom w:w="150" w:type="dxa"/>
              <w:right w:w="240" w:type="dxa"/>
            </w:tcMar>
            <w:vAlign w:val="center"/>
            <w:hideMark/>
          </w:tcPr>
          <w:p w14:paraId="56E591F6"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b/>
                <w:bCs/>
                <w:kern w:val="0"/>
                <w:sz w:val="23"/>
                <w:szCs w:val="23"/>
                <w14:ligatures w14:val="none"/>
              </w:rPr>
              <w:t>Consideration Supporting Constitutionality</w:t>
            </w:r>
          </w:p>
        </w:tc>
      </w:tr>
      <w:tr w:rsidR="00386AE3" w:rsidRPr="00A63A57" w14:paraId="2D1E68E0" w14:textId="77777777" w:rsidTr="00B021F2">
        <w:tc>
          <w:tcPr>
            <w:tcW w:w="0" w:type="auto"/>
            <w:tcMar>
              <w:top w:w="150" w:type="dxa"/>
              <w:left w:w="0" w:type="dxa"/>
              <w:bottom w:w="150" w:type="dxa"/>
              <w:right w:w="240" w:type="dxa"/>
            </w:tcMar>
            <w:vAlign w:val="center"/>
            <w:hideMark/>
          </w:tcPr>
          <w:p w14:paraId="4463225D"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Right to litigation (Art. 97) requires express access to judicial review; absence violates this right.</w:t>
            </w:r>
          </w:p>
        </w:tc>
        <w:tc>
          <w:tcPr>
            <w:tcW w:w="0" w:type="auto"/>
            <w:tcMar>
              <w:top w:w="150" w:type="dxa"/>
              <w:left w:w="240" w:type="dxa"/>
              <w:bottom w:w="150" w:type="dxa"/>
              <w:right w:w="0" w:type="dxa"/>
            </w:tcMar>
            <w:vAlign w:val="center"/>
            <w:hideMark/>
          </w:tcPr>
          <w:p w14:paraId="2A2A201B"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General administrative law provides judicial review; no express provision needed.</w:t>
            </w:r>
          </w:p>
        </w:tc>
      </w:tr>
      <w:tr w:rsidR="00386AE3" w:rsidRPr="00A63A57" w14:paraId="0D8939FC" w14:textId="77777777" w:rsidTr="00B021F2">
        <w:tc>
          <w:tcPr>
            <w:tcW w:w="0" w:type="auto"/>
            <w:tcMar>
              <w:top w:w="150" w:type="dxa"/>
              <w:left w:w="0" w:type="dxa"/>
              <w:bottom w:w="150" w:type="dxa"/>
              <w:right w:w="240" w:type="dxa"/>
            </w:tcMar>
            <w:vAlign w:val="center"/>
            <w:hideMark/>
          </w:tcPr>
          <w:p w14:paraId="02AA34A4"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Rule of law requires procedural fairness before adverse administrative action.</w:t>
            </w:r>
          </w:p>
        </w:tc>
        <w:tc>
          <w:tcPr>
            <w:tcW w:w="0" w:type="auto"/>
            <w:tcMar>
              <w:top w:w="150" w:type="dxa"/>
              <w:left w:w="240" w:type="dxa"/>
              <w:bottom w:w="150" w:type="dxa"/>
              <w:right w:w="0" w:type="dxa"/>
            </w:tcMar>
            <w:vAlign w:val="center"/>
            <w:hideMark/>
          </w:tcPr>
          <w:p w14:paraId="56B23432"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The provision does not itself authorize termination; separate provisions govern termination.</w:t>
            </w:r>
          </w:p>
        </w:tc>
      </w:tr>
      <w:tr w:rsidR="00386AE3" w:rsidRPr="00A63A57" w14:paraId="36F3B694" w14:textId="77777777" w:rsidTr="00B021F2">
        <w:tc>
          <w:tcPr>
            <w:tcW w:w="0" w:type="auto"/>
            <w:tcMar>
              <w:top w:w="150" w:type="dxa"/>
              <w:left w:w="0" w:type="dxa"/>
              <w:bottom w:w="150" w:type="dxa"/>
              <w:right w:w="240" w:type="dxa"/>
            </w:tcMar>
            <w:vAlign w:val="center"/>
            <w:hideMark/>
          </w:tcPr>
          <w:p w14:paraId="64823E87"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Broad delegation without criteria (Art. 92) may violate separation of powers.</w:t>
            </w:r>
          </w:p>
        </w:tc>
        <w:tc>
          <w:tcPr>
            <w:tcW w:w="0" w:type="auto"/>
            <w:tcMar>
              <w:top w:w="150" w:type="dxa"/>
              <w:left w:w="240" w:type="dxa"/>
              <w:bottom w:w="150" w:type="dxa"/>
              <w:right w:w="0" w:type="dxa"/>
            </w:tcMar>
            <w:vAlign w:val="center"/>
            <w:hideMark/>
          </w:tcPr>
          <w:p w14:paraId="73A5B3E8"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Delegation is routine and reasonable, with tripartite safeguards.</w:t>
            </w:r>
          </w:p>
        </w:tc>
      </w:tr>
      <w:tr w:rsidR="00386AE3" w:rsidRPr="00A63A57" w14:paraId="4EF1AC73" w14:textId="77777777" w:rsidTr="00B021F2">
        <w:tc>
          <w:tcPr>
            <w:tcW w:w="0" w:type="auto"/>
            <w:tcMar>
              <w:top w:w="150" w:type="dxa"/>
              <w:left w:w="0" w:type="dxa"/>
              <w:bottom w:w="150" w:type="dxa"/>
              <w:right w:w="240" w:type="dxa"/>
            </w:tcMar>
            <w:vAlign w:val="center"/>
            <w:hideMark/>
          </w:tcPr>
          <w:p w14:paraId="3EB029CD"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Academic freedom may be indirectly infringed if the fund affects university employment.</w:t>
            </w:r>
          </w:p>
        </w:tc>
        <w:tc>
          <w:tcPr>
            <w:tcW w:w="0" w:type="auto"/>
            <w:tcMar>
              <w:top w:w="150" w:type="dxa"/>
              <w:left w:w="240" w:type="dxa"/>
              <w:bottom w:w="150" w:type="dxa"/>
              <w:right w:w="0" w:type="dxa"/>
            </w:tcMar>
            <w:vAlign w:val="center"/>
            <w:hideMark/>
          </w:tcPr>
          <w:p w14:paraId="074075BE"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Academic freedom applies to teaching and research, not to service fund administration.</w:t>
            </w:r>
          </w:p>
        </w:tc>
      </w:tr>
      <w:tr w:rsidR="00386AE3" w:rsidRPr="00A63A57" w14:paraId="02C53C44" w14:textId="77777777" w:rsidTr="00B021F2">
        <w:tc>
          <w:tcPr>
            <w:tcW w:w="0" w:type="auto"/>
            <w:tcMar>
              <w:top w:w="150" w:type="dxa"/>
              <w:left w:w="0" w:type="dxa"/>
              <w:bottom w:w="150" w:type="dxa"/>
              <w:right w:w="240" w:type="dxa"/>
            </w:tcMar>
            <w:vAlign w:val="center"/>
            <w:hideMark/>
          </w:tcPr>
          <w:p w14:paraId="28719AFC"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Individual rights are directly affected (compulsory contributions).</w:t>
            </w:r>
          </w:p>
        </w:tc>
        <w:tc>
          <w:tcPr>
            <w:tcW w:w="0" w:type="auto"/>
            <w:tcMar>
              <w:top w:w="150" w:type="dxa"/>
              <w:left w:w="240" w:type="dxa"/>
              <w:bottom w:w="150" w:type="dxa"/>
              <w:right w:w="0" w:type="dxa"/>
            </w:tcMar>
            <w:vAlign w:val="center"/>
            <w:hideMark/>
          </w:tcPr>
          <w:p w14:paraId="29537BE8" w14:textId="77777777" w:rsidR="00386AE3" w:rsidRPr="00A63A57" w:rsidRDefault="00386AE3" w:rsidP="00B021F2">
            <w:pPr>
              <w:spacing w:before="0" w:after="0" w:line="375" w:lineRule="atLeast"/>
              <w:ind w:firstLine="0"/>
              <w:rPr>
                <w:rFonts w:ascii="Segoe UI" w:eastAsia="Times New Roman" w:hAnsi="Segoe UI" w:cs="Segoe UI"/>
                <w:kern w:val="0"/>
                <w:sz w:val="23"/>
                <w:szCs w:val="23"/>
                <w14:ligatures w14:val="none"/>
              </w:rPr>
            </w:pPr>
            <w:r w:rsidRPr="00A63A57">
              <w:rPr>
                <w:rFonts w:ascii="Segoe UI" w:eastAsia="Times New Roman" w:hAnsi="Segoe UI" w:cs="Segoe UI"/>
                <w:kern w:val="0"/>
                <w:sz w:val="23"/>
                <w:szCs w:val="23"/>
                <w14:ligatures w14:val="none"/>
              </w:rPr>
              <w:t>Contributions are collective/economic regulation subject to broad legislative discretion.</w:t>
            </w:r>
          </w:p>
        </w:tc>
      </w:tr>
    </w:tbl>
    <w:p w14:paraId="63A5AD08"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1F33D416">
          <v:rect id="_x0000_i1106" style="width:0;height:.75pt" o:hralign="center" o:hrstd="t" o:hr="t" fillcolor="#a0a0a0" stroked="f"/>
        </w:pict>
      </w:r>
    </w:p>
    <w:p w14:paraId="65EBEBD1"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t>Which Interpretation Is Legally Stronger and Why</w:t>
      </w:r>
    </w:p>
    <w:p w14:paraId="26C28E97" w14:textId="77777777" w:rsidR="00386AE3" w:rsidRPr="00A63A57" w:rsidRDefault="00386AE3" w:rsidP="00386AE3">
      <w:pPr>
        <w:shd w:val="clear" w:color="auto" w:fill="FFFFFF"/>
        <w:spacing w:before="240" w:after="240" w:line="240" w:lineRule="auto"/>
        <w:ind w:firstLine="0"/>
        <w:jc w:val="both"/>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Legally stronger interpretation: The provision is constitutionally permissible, but implementing regulations should incorporate procedural safeguards.</w:t>
      </w:r>
    </w:p>
    <w:p w14:paraId="10E4EC48"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Reasoning:</w:t>
      </w:r>
    </w:p>
    <w:p w14:paraId="39494D30" w14:textId="77777777" w:rsidR="00386AE3" w:rsidRPr="00A63A57" w:rsidRDefault="00386AE3" w:rsidP="00386AE3">
      <w:pPr>
        <w:numPr>
          <w:ilvl w:val="0"/>
          <w:numId w:val="125"/>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Textual limitation:</w:t>
      </w:r>
      <w:r w:rsidRPr="00A63A57">
        <w:rPr>
          <w:rFonts w:ascii="Segoe UI" w:eastAsia="Times New Roman" w:hAnsi="Segoe UI" w:cs="Segoe UI"/>
          <w:color w:val="0F1115"/>
          <w:kern w:val="0"/>
          <w14:ligatures w14:val="none"/>
        </w:rPr>
        <w:t> Article 223(3) does not, on its face, authorize termination of service. The challenger's reliance on termination assumes an indirect connection that may not exist. The court is likely to interpret the provision narrowly, holding that it only concerns fund administration, not employment termination.</w:t>
      </w:r>
    </w:p>
    <w:p w14:paraId="4C230BC5" w14:textId="77777777" w:rsidR="00386AE3" w:rsidRPr="00A63A57" w:rsidRDefault="00386AE3" w:rsidP="00386AE3">
      <w:pPr>
        <w:numPr>
          <w:ilvl w:val="0"/>
          <w:numId w:val="125"/>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lastRenderedPageBreak/>
        <w:t>General administrative law fills the gap:</w:t>
      </w:r>
      <w:r w:rsidRPr="00A63A57">
        <w:rPr>
          <w:rFonts w:ascii="Segoe UI" w:eastAsia="Times New Roman" w:hAnsi="Segoe UI" w:cs="Segoe UI"/>
          <w:color w:val="0F1115"/>
          <w:kern w:val="0"/>
          <w14:ligatures w14:val="none"/>
        </w:rPr>
        <w:t> Egyptian law provides administrative appeal procedures (Law No. 59 of 1978) and judicial review before the State Council. The absence of an express provision in Article 223 does not negate these general rights. The Supreme Constitutional Court has held (Decision No. 30/11 Judicial Year, 1990) that the absence of an express right of challenge does not render administrative action immune from judicial review.</w:t>
      </w:r>
    </w:p>
    <w:p w14:paraId="77875C87" w14:textId="77777777" w:rsidR="00386AE3" w:rsidRPr="00A63A57" w:rsidRDefault="00386AE3" w:rsidP="00386AE3">
      <w:pPr>
        <w:numPr>
          <w:ilvl w:val="0"/>
          <w:numId w:val="125"/>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Deference to social regulation:</w:t>
      </w:r>
      <w:r w:rsidRPr="00A63A57">
        <w:rPr>
          <w:rFonts w:ascii="Segoe UI" w:eastAsia="Times New Roman" w:hAnsi="Segoe UI" w:cs="Segoe UI"/>
          <w:color w:val="0F1115"/>
          <w:kern w:val="0"/>
          <w14:ligatures w14:val="none"/>
        </w:rPr>
        <w:t> The Egyptian Supreme Constitutional Court consistently defers to the legislature in matters of social and economic policy, applying the "rational relationship" test rather than strict scrutiny (Decision No. 54/11 Judicial Year, 1992). This provision serves a legitimate social purpose, and the tripartite mechanism provides structural safeguards.</w:t>
      </w:r>
    </w:p>
    <w:p w14:paraId="1EF5B0B0" w14:textId="77777777" w:rsidR="00386AE3" w:rsidRPr="00A63A57" w:rsidRDefault="00386AE3" w:rsidP="00386AE3">
      <w:pPr>
        <w:numPr>
          <w:ilvl w:val="0"/>
          <w:numId w:val="125"/>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The defect is regulatory, not constitutional:</w:t>
      </w:r>
      <w:r w:rsidRPr="00A63A57">
        <w:rPr>
          <w:rFonts w:ascii="Segoe UI" w:eastAsia="Times New Roman" w:hAnsi="Segoe UI" w:cs="Segoe UI"/>
          <w:color w:val="0F1115"/>
          <w:kern w:val="0"/>
          <w14:ligatures w14:val="none"/>
        </w:rPr>
        <w:t> The absence of individual procedural safeguards is more appropriately addressed through implementing regulations or administrative law than through constitutional invalidation. The minister's obligation to issue a financial and administrative regulation could be interpreted to require procedures for individual grievances.</w:t>
      </w:r>
    </w:p>
    <w:p w14:paraId="52881D56"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However, the challenger's argument is not without merit.</w:t>
      </w:r>
      <w:r w:rsidRPr="00A63A57">
        <w:rPr>
          <w:rFonts w:ascii="Segoe UI" w:eastAsia="Times New Roman" w:hAnsi="Segoe UI" w:cs="Segoe UI"/>
          <w:color w:val="0F1115"/>
          <w:kern w:val="0"/>
          <w14:ligatures w14:val="none"/>
        </w:rPr>
        <w:t> If the implementing regulations fail to provide procedural safeguards, or if the fund's decisions demonstrably lead to adverse employment actions affecting academic staff, the constitutional concerns would become more acute. The court could remedy this by:</w:t>
      </w:r>
    </w:p>
    <w:p w14:paraId="4ADA5E6F" w14:textId="77777777" w:rsidR="00386AE3" w:rsidRPr="00A63A57" w:rsidRDefault="00386AE3" w:rsidP="00386AE3">
      <w:pPr>
        <w:numPr>
          <w:ilvl w:val="0"/>
          <w:numId w:val="126"/>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Interpreting the provision to require procedural safeguards as a matter of constitutional interpretation.</w:t>
      </w:r>
    </w:p>
    <w:p w14:paraId="36659B45" w14:textId="77777777" w:rsidR="00386AE3" w:rsidRPr="00A63A57" w:rsidRDefault="00386AE3" w:rsidP="00386AE3">
      <w:pPr>
        <w:numPr>
          <w:ilvl w:val="0"/>
          <w:numId w:val="126"/>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Requiring the minister to include such safeguards in the implementing regulations.</w:t>
      </w:r>
    </w:p>
    <w:p w14:paraId="730282D3" w14:textId="77777777" w:rsidR="00386AE3" w:rsidRPr="00A63A57" w:rsidRDefault="00386AE3" w:rsidP="00386AE3">
      <w:pPr>
        <w:numPr>
          <w:ilvl w:val="0"/>
          <w:numId w:val="126"/>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Holding the provision constitutionally deficient but suspending the declaration to allow legislative amendment.</w:t>
      </w:r>
    </w:p>
    <w:p w14:paraId="4261D3E9"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225C13F4">
          <v:rect id="_x0000_i1107" style="width:0;height:.75pt" o:hralign="center" o:hrstd="t" o:hr="t" fillcolor="#a0a0a0" stroked="f"/>
        </w:pict>
      </w:r>
    </w:p>
    <w:p w14:paraId="3E0B63D7"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6. Proposed Legislative Amendment</w:t>
      </w:r>
    </w:p>
    <w:p w14:paraId="560212E9"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Conclusion:</w:t>
      </w:r>
      <w:r w:rsidRPr="00A63A57">
        <w:rPr>
          <w:rFonts w:ascii="Segoe UI" w:eastAsia="Times New Roman" w:hAnsi="Segoe UI" w:cs="Segoe UI"/>
          <w:color w:val="0F1115"/>
          <w:kern w:val="0"/>
          <w14:ligatures w14:val="none"/>
        </w:rPr>
        <w:t> The provision contains a material gap that is not definitively constitutionally significant but should be addressed to ensure procedural justice. The implementing regulations could fill the gap, but legislative clarity is preferable. Therefore, I propose the following amendment:</w:t>
      </w:r>
    </w:p>
    <w:p w14:paraId="289C4C63"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417647D0">
          <v:rect id="_x0000_i1108" style="width:0;height:.75pt" o:hralign="center" o:hrstd="t" o:hr="t" fillcolor="#a0a0a0" stroked="f"/>
        </w:pict>
      </w:r>
    </w:p>
    <w:p w14:paraId="0F2B4058" w14:textId="77777777" w:rsidR="00386AE3" w:rsidRPr="003204FF" w:rsidRDefault="00386AE3" w:rsidP="00386AE3">
      <w:pPr>
        <w:ind w:firstLine="0"/>
        <w:jc w:val="both"/>
        <w:rPr>
          <w:rFonts w:asciiTheme="majorBidi" w:hAnsiTheme="majorBidi" w:cstheme="majorBidi"/>
          <w:b/>
          <w:bCs/>
          <w:sz w:val="30"/>
          <w:szCs w:val="30"/>
        </w:rPr>
      </w:pPr>
      <w:r w:rsidRPr="003204FF">
        <w:rPr>
          <w:rFonts w:asciiTheme="majorBidi" w:hAnsiTheme="majorBidi" w:cstheme="majorBidi"/>
          <w:b/>
          <w:bCs/>
          <w:sz w:val="30"/>
          <w:szCs w:val="30"/>
        </w:rPr>
        <w:lastRenderedPageBreak/>
        <w:t>Proposed Amendment to Paragraph (3) of Article (223) of Law No. 47 of 1978</w:t>
      </w:r>
    </w:p>
    <w:p w14:paraId="0950234C"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Add the following sub-paragraphs after the existing text:</w:t>
      </w:r>
    </w:p>
    <w:p w14:paraId="6266DE58"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w:t>
      </w:r>
      <w:r w:rsidRPr="00A63A57">
        <w:rPr>
          <w:rFonts w:ascii="Segoe UI" w:eastAsia="Times New Roman" w:hAnsi="Segoe UI" w:cs="Segoe UI"/>
          <w:color w:val="0F1115"/>
          <w:kern w:val="0"/>
          <w:rtl/>
          <w14:ligatures w14:val="none"/>
        </w:rPr>
        <w:t>وتكون قرارات الوزير المختص الصادرة تنفيذاً لهذه الفقرة خاضعة للرقابة القضائية وفقاً لأحكام قانون مجلس الدولة، ويكون لكل عامل أو موظف متضرر من تطبيق أحكام هذا الصندوق أو من قرارات الوزير أو مجلس الإدارة الصادرة تنفيذاً له الحق في التظلم إلى لجنة تشكل بقرار من الوزير المختص من ثلاثة أعضاء من ذوي الخبرة على أن يكون أحدهم على الأقل من المستشارين العاملين بمجلس الدولة، وتصدر اللجنة قرارها في التظلم خلال ستين يوماً من تاريخ تقديمه، ويعتبر مضي هذه المدة دون رد رفضاً للتظلم، ويكون قرار اللجنة قابلاً للطعن أمام المحكمة الإدارية وفقاً للإجراءات المقررة في قانون مجلس الدولة</w:t>
      </w:r>
      <w:r w:rsidRPr="00A63A57">
        <w:rPr>
          <w:rFonts w:ascii="Segoe UI" w:eastAsia="Times New Roman" w:hAnsi="Segoe UI" w:cs="Segoe UI"/>
          <w:color w:val="0F1115"/>
          <w:kern w:val="0"/>
          <w14:ligatures w14:val="none"/>
        </w:rPr>
        <w:t>."</w:t>
      </w:r>
    </w:p>
    <w:p w14:paraId="1F6CB79A"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Translation (for reference only):</w:t>
      </w:r>
    </w:p>
    <w:p w14:paraId="28CC5C6C"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decisions of the competent minister issued in implementation of this paragraph shall be subject to judicial oversight in accordance with the provisions of the State Council Law. Every worker or employee affected by the application of the provisions of this fund or by the decisions of the minister or the board of directors issued in implementation thereof shall have the right to appeal to a committee formed by a decision of the competent minister consisting of three experienced members, at least one of whom shall be a counselor serving in the State Council. The committee shall issue its decision on the appeal within sixty days from the date of its submission, and the expiration of this period without a response shall be deemed a rejection of the appeal. The committee's decision shall be subject to appeal before the Administrative Court in accordance with the procedures established in the State Council Law."</w:t>
      </w:r>
    </w:p>
    <w:p w14:paraId="43026E08"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Justification for the Amendment:</w:t>
      </w:r>
    </w:p>
    <w:p w14:paraId="4F43F7BB" w14:textId="77777777" w:rsidR="00386AE3" w:rsidRPr="00A63A57" w:rsidRDefault="00386AE3" w:rsidP="00386AE3">
      <w:pPr>
        <w:numPr>
          <w:ilvl w:val="0"/>
          <w:numId w:val="127"/>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Preserves existing structure:</w:t>
      </w:r>
      <w:r w:rsidRPr="00A63A57">
        <w:rPr>
          <w:rFonts w:ascii="Segoe UI" w:eastAsia="Times New Roman" w:hAnsi="Segoe UI" w:cs="Segoe UI"/>
          <w:color w:val="0F1115"/>
          <w:kern w:val="0"/>
          <w14:ligatures w14:val="none"/>
        </w:rPr>
        <w:t> The amendment adds procedural safeguards without altering the existing substantive provisions regarding contributions, services, board formation, or regulations.</w:t>
      </w:r>
    </w:p>
    <w:p w14:paraId="7D839E11" w14:textId="77777777" w:rsidR="00386AE3" w:rsidRPr="00A63A57" w:rsidRDefault="00386AE3" w:rsidP="00386AE3">
      <w:pPr>
        <w:numPr>
          <w:ilvl w:val="0"/>
          <w:numId w:val="127"/>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Addresses the identified defect:</w:t>
      </w:r>
      <w:r w:rsidRPr="00A63A57">
        <w:rPr>
          <w:rFonts w:ascii="Segoe UI" w:eastAsia="Times New Roman" w:hAnsi="Segoe UI" w:cs="Segoe UI"/>
          <w:color w:val="0F1115"/>
          <w:kern w:val="0"/>
          <w14:ligatures w14:val="none"/>
        </w:rPr>
        <w:t> It establishes a clear administrative appeal mechanism and confirms judicial review, addressing the absence of individual procedural safeguards.</w:t>
      </w:r>
    </w:p>
    <w:p w14:paraId="3D53E9E9" w14:textId="77777777" w:rsidR="00386AE3" w:rsidRPr="00A63A57" w:rsidRDefault="00386AE3" w:rsidP="00386AE3">
      <w:pPr>
        <w:numPr>
          <w:ilvl w:val="0"/>
          <w:numId w:val="127"/>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Uses formal Egyptian legislative drafting language:</w:t>
      </w:r>
      <w:r w:rsidRPr="00A63A57">
        <w:rPr>
          <w:rFonts w:ascii="Segoe UI" w:eastAsia="Times New Roman" w:hAnsi="Segoe UI" w:cs="Segoe UI"/>
          <w:color w:val="0F1115"/>
          <w:kern w:val="0"/>
          <w14:ligatures w14:val="none"/>
        </w:rPr>
        <w:t> The language reflects standard Egyptian legislative drafting, including references to the State Council Law, formation of committees, and statutory timelines.</w:t>
      </w:r>
    </w:p>
    <w:p w14:paraId="574173AC" w14:textId="77777777" w:rsidR="00386AE3" w:rsidRPr="00A63A57" w:rsidRDefault="00386AE3" w:rsidP="00386AE3">
      <w:pPr>
        <w:numPr>
          <w:ilvl w:val="0"/>
          <w:numId w:val="127"/>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Specifies the procedural safeguard:</w:t>
      </w:r>
      <w:r w:rsidRPr="00A63A57">
        <w:rPr>
          <w:rFonts w:ascii="Segoe UI" w:eastAsia="Times New Roman" w:hAnsi="Segoe UI" w:cs="Segoe UI"/>
          <w:color w:val="0F1115"/>
          <w:kern w:val="0"/>
          <w14:ligatures w14:val="none"/>
        </w:rPr>
        <w:t> The amendment provides: (a) right of appeal to a specialized committee; (b) composition requirements ensuring legal expertise; (c) a sixty-day decision timeline with deemed rejection; and (d) right to judicial review.</w:t>
      </w:r>
    </w:p>
    <w:p w14:paraId="04FF7A22" w14:textId="77777777" w:rsidR="00386AE3" w:rsidRPr="00A63A57" w:rsidRDefault="00386AE3" w:rsidP="00386AE3">
      <w:pPr>
        <w:numPr>
          <w:ilvl w:val="0"/>
          <w:numId w:val="127"/>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lastRenderedPageBreak/>
        <w:t>Ensures constitutionality:</w:t>
      </w:r>
      <w:r w:rsidRPr="00A63A57">
        <w:rPr>
          <w:rFonts w:ascii="Segoe UI" w:eastAsia="Times New Roman" w:hAnsi="Segoe UI" w:cs="Segoe UI"/>
          <w:color w:val="0F1115"/>
          <w:kern w:val="0"/>
          <w14:ligatures w14:val="none"/>
        </w:rPr>
        <w:t> By incorporating procedural safeguards, the amendment addresses potential due process and right-to-litigation concerns, aligning the provision with constitutional principles.</w:t>
      </w:r>
    </w:p>
    <w:p w14:paraId="57FD2C5D"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71ADDE09">
          <v:rect id="_x0000_i1109" style="width:0;height:.75pt" o:hralign="center" o:hrstd="t" o:hr="t" fillcolor="#a0a0a0" stroked="f"/>
        </w:pict>
      </w:r>
    </w:p>
    <w:p w14:paraId="269BC69A"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Note on the Proposed Amendment:</w:t>
      </w:r>
      <w:r w:rsidRPr="00A63A57">
        <w:rPr>
          <w:rFonts w:ascii="Segoe UI" w:eastAsia="Times New Roman" w:hAnsi="Segoe UI" w:cs="Segoe UI"/>
          <w:color w:val="0F1115"/>
          <w:kern w:val="0"/>
          <w14:ligatures w14:val="none"/>
        </w:rPr>
        <w:t> If the implementing regulations already provide comparable safeguards, the amendment may be unnecessary. However, the amendment provides greater certainty and constitutional protection by elevating the procedural safeguards to the statutory level. The amendment also clarifies that judicial review is available, removing any ambiguity that might otherwise be exploited to argue that the provision operates as an ouster clause.</w:t>
      </w:r>
    </w:p>
    <w:p w14:paraId="411EBB1E" w14:textId="77777777" w:rsidR="00386AE3" w:rsidRPr="00A63A57" w:rsidRDefault="00000000" w:rsidP="00386AE3">
      <w:pPr>
        <w:spacing w:before="480" w:after="480" w:line="240" w:lineRule="auto"/>
        <w:ind w:firstLine="0"/>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362BF98E">
          <v:rect id="_x0000_i1110" style="width:0;height:.75pt" o:hralign="center" o:hrstd="t" o:hr="t" fillcolor="#a0a0a0" stroked="f"/>
        </w:pict>
      </w:r>
    </w:p>
    <w:p w14:paraId="52FD3814" w14:textId="77777777" w:rsidR="00386AE3" w:rsidRPr="00736CB4" w:rsidRDefault="00386AE3" w:rsidP="00386AE3">
      <w:pPr>
        <w:ind w:firstLine="0"/>
        <w:rPr>
          <w:rFonts w:asciiTheme="majorBidi" w:hAnsiTheme="majorBidi" w:cstheme="majorBidi"/>
          <w:b/>
          <w:bCs/>
          <w:sz w:val="48"/>
          <w:szCs w:val="160"/>
        </w:rPr>
      </w:pPr>
      <w:r w:rsidRPr="00736CB4">
        <w:rPr>
          <w:rFonts w:asciiTheme="majorBidi" w:hAnsiTheme="majorBidi" w:cstheme="majorBidi"/>
          <w:b/>
          <w:bCs/>
          <w:sz w:val="48"/>
          <w:szCs w:val="160"/>
        </w:rPr>
        <w:t>7. Confidence and Limitations</w:t>
      </w:r>
    </w:p>
    <w:p w14:paraId="575D2A5C" w14:textId="77777777" w:rsidR="00386AE3" w:rsidRPr="0058247B" w:rsidRDefault="00386AE3" w:rsidP="00386AE3">
      <w:pPr>
        <w:ind w:firstLine="0"/>
        <w:jc w:val="both"/>
        <w:rPr>
          <w:rFonts w:asciiTheme="majorBidi" w:hAnsiTheme="majorBidi" w:cstheme="majorBidi"/>
          <w:b/>
          <w:bCs/>
          <w:sz w:val="30"/>
          <w:szCs w:val="30"/>
        </w:rPr>
      </w:pPr>
      <w:r w:rsidRPr="0058247B">
        <w:rPr>
          <w:rFonts w:asciiTheme="majorBidi" w:hAnsiTheme="majorBidi" w:cstheme="majorBidi"/>
          <w:b/>
          <w:bCs/>
          <w:sz w:val="30"/>
          <w:szCs w:val="30"/>
        </w:rPr>
        <w:t>Overall Conclusion</w:t>
      </w:r>
    </w:p>
    <w:p w14:paraId="2C2EF61F"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Article 223(3) of the Civil Service Law establishes a valid social services fund mechanism with collective procedural safeguards (tripartite representation and consultation) but lacks express individual procedural protections. This constitutes a </w:t>
      </w:r>
      <w:r w:rsidRPr="00A63A57">
        <w:rPr>
          <w:rFonts w:ascii="Segoe UI" w:eastAsia="Times New Roman" w:hAnsi="Segoe UI" w:cs="Segoe UI"/>
          <w:b/>
          <w:bCs/>
          <w:color w:val="0F1115"/>
          <w:kern w:val="0"/>
          <w14:ligatures w14:val="none"/>
        </w:rPr>
        <w:t>material legislative gap</w:t>
      </w:r>
      <w:r w:rsidRPr="00A63A57">
        <w:rPr>
          <w:rFonts w:ascii="Segoe UI" w:eastAsia="Times New Roman" w:hAnsi="Segoe UI" w:cs="Segoe UI"/>
          <w:color w:val="0F1115"/>
          <w:kern w:val="0"/>
          <w14:ligatures w14:val="none"/>
        </w:rPr>
        <w:t> that is </w:t>
      </w:r>
      <w:r w:rsidRPr="00A63A57">
        <w:rPr>
          <w:rFonts w:ascii="Segoe UI" w:eastAsia="Times New Roman" w:hAnsi="Segoe UI" w:cs="Segoe UI"/>
          <w:b/>
          <w:bCs/>
          <w:color w:val="0F1115"/>
          <w:kern w:val="0"/>
          <w14:ligatures w14:val="none"/>
        </w:rPr>
        <w:t>potentially constitutionally significant</w:t>
      </w:r>
      <w:r w:rsidRPr="00A63A57">
        <w:rPr>
          <w:rFonts w:ascii="Segoe UI" w:eastAsia="Times New Roman" w:hAnsi="Segoe UI" w:cs="Segoe UI"/>
          <w:color w:val="0F1115"/>
          <w:kern w:val="0"/>
          <w14:ligatures w14:val="none"/>
        </w:rPr>
        <w:t> if the fund's decisions can lead to termination of service or other adverse actions affecting individual rights. However, the provision is not facially unconstitutional because general administrative law provides residual safeguards, and the implementing regulations may fill the gap. The strongest legal position is that the provision is constitutionally permissible, subject to the implementing regulations incorporating adequate procedural protections and subject to judicial review.</w:t>
      </w:r>
    </w:p>
    <w:p w14:paraId="20A4CFEA" w14:textId="77777777" w:rsidR="00386AE3" w:rsidRPr="0058247B" w:rsidRDefault="00386AE3" w:rsidP="00386AE3">
      <w:pPr>
        <w:ind w:firstLine="0"/>
        <w:jc w:val="both"/>
        <w:rPr>
          <w:rFonts w:asciiTheme="majorBidi" w:hAnsiTheme="majorBidi" w:cstheme="majorBidi"/>
          <w:b/>
          <w:bCs/>
          <w:sz w:val="30"/>
          <w:szCs w:val="30"/>
        </w:rPr>
      </w:pPr>
      <w:r w:rsidRPr="0058247B">
        <w:rPr>
          <w:rFonts w:asciiTheme="majorBidi" w:hAnsiTheme="majorBidi" w:cstheme="majorBidi"/>
          <w:b/>
          <w:bCs/>
          <w:sz w:val="30"/>
          <w:szCs w:val="30"/>
        </w:rPr>
        <w:t>Strongest Argument Supporting the Conclusion</w:t>
      </w:r>
    </w:p>
    <w:p w14:paraId="6DC916E0"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strongest argument supporting the constitutionality of the provision is that it does not, on its face, authorize termination of service or any direct deprivation of individual rights. It simply establishes a fund for social, health, and cultural services. The absence of individual procedural safeguards in this specific provision is not constitutionally fatal because: (1) general administrative law provides for judicial review; (2) the implementing regulations can provide additional safeguards; and (3) the legislature enjoys broad discretion in economic and social regulation, with courts applying deferential review.</w:t>
      </w:r>
    </w:p>
    <w:p w14:paraId="567F8B88" w14:textId="77777777" w:rsidR="00386AE3" w:rsidRPr="0058247B" w:rsidRDefault="00386AE3" w:rsidP="00386AE3">
      <w:pPr>
        <w:ind w:firstLine="0"/>
        <w:jc w:val="both"/>
        <w:rPr>
          <w:rFonts w:asciiTheme="majorBidi" w:hAnsiTheme="majorBidi" w:cstheme="majorBidi"/>
          <w:b/>
          <w:bCs/>
          <w:sz w:val="30"/>
          <w:szCs w:val="30"/>
        </w:rPr>
      </w:pPr>
      <w:r w:rsidRPr="0058247B">
        <w:rPr>
          <w:rFonts w:asciiTheme="majorBidi" w:hAnsiTheme="majorBidi" w:cstheme="majorBidi"/>
          <w:b/>
          <w:bCs/>
          <w:sz w:val="30"/>
          <w:szCs w:val="30"/>
        </w:rPr>
        <w:lastRenderedPageBreak/>
        <w:t>Strongest Argument Against the Conclusion</w:t>
      </w:r>
    </w:p>
    <w:p w14:paraId="7618B97E"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The strongest counterargument is that the compulsory nature of contributions and the broad discretion granted to the minister affect individual financial interests and potentially employment conditions, yet the provision provides no mechanism for affected individuals to challenge decisions. This violates the constitutional guarantee of the right to litigation (Article 97) and the rule of law principle (Article 1), which require that administrative actions affecting rights be accompanied by procedural safeguards. The collective bargaining mechanism (tripartite representation) is insufficient to protect individual rights, and the absence of an express right of appeal could be interpreted as an implicit limitation on judicial review, which would be unconstitutional.</w:t>
      </w:r>
    </w:p>
    <w:p w14:paraId="2D9115DA" w14:textId="77777777" w:rsidR="00386AE3" w:rsidRPr="006C6700" w:rsidRDefault="00386AE3" w:rsidP="00386AE3">
      <w:pPr>
        <w:ind w:firstLine="0"/>
        <w:jc w:val="both"/>
        <w:rPr>
          <w:rFonts w:asciiTheme="majorBidi" w:hAnsiTheme="majorBidi" w:cstheme="majorBidi"/>
          <w:b/>
          <w:bCs/>
          <w:sz w:val="30"/>
          <w:szCs w:val="30"/>
        </w:rPr>
      </w:pPr>
      <w:r w:rsidRPr="006C6700">
        <w:rPr>
          <w:rFonts w:asciiTheme="majorBidi" w:hAnsiTheme="majorBidi" w:cstheme="majorBidi"/>
          <w:b/>
          <w:bCs/>
          <w:sz w:val="30"/>
          <w:szCs w:val="30"/>
        </w:rPr>
        <w:t>Uncertainty Arising from the Absence of Additional Legislative History or Judicial Authorities</w:t>
      </w:r>
    </w:p>
    <w:p w14:paraId="3200286F" w14:textId="77777777" w:rsidR="00386AE3" w:rsidRPr="00A63A57" w:rsidRDefault="00386AE3" w:rsidP="00386AE3">
      <w:pPr>
        <w:numPr>
          <w:ilvl w:val="0"/>
          <w:numId w:val="12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Applicability to Academic Staff:</w:t>
      </w:r>
      <w:r w:rsidRPr="00A63A57">
        <w:rPr>
          <w:rFonts w:ascii="Segoe UI" w:eastAsia="Times New Roman" w:hAnsi="Segoe UI" w:cs="Segoe UI"/>
          <w:color w:val="0F1115"/>
          <w:kern w:val="0"/>
          <w14:ligatures w14:val="none"/>
        </w:rPr>
        <w:t> The provision is ambiguous regarding whether it applies to academic staff in universities. Universities are "establishments" but academic staff may have a distinct legal status. Without legislative history or implementing regulations, this uncertainty cannot be resolved.</w:t>
      </w:r>
    </w:p>
    <w:p w14:paraId="4B1BF4CD" w14:textId="77777777" w:rsidR="00386AE3" w:rsidRPr="00A63A57" w:rsidRDefault="00386AE3" w:rsidP="00386AE3">
      <w:pPr>
        <w:numPr>
          <w:ilvl w:val="0"/>
          <w:numId w:val="12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Existence of Implementing Regulations:</w:t>
      </w:r>
      <w:r w:rsidRPr="00A63A57">
        <w:rPr>
          <w:rFonts w:ascii="Segoe UI" w:eastAsia="Times New Roman" w:hAnsi="Segoe UI" w:cs="Segoe UI"/>
          <w:color w:val="0F1115"/>
          <w:kern w:val="0"/>
          <w14:ligatures w14:val="none"/>
        </w:rPr>
        <w:t> The provision requires the minister to issue three implementing decisions (services/contributions, board formation, and financial/administrative regulations). The analysis assumes these regulations have been issued or will be issued. The actual content of these regulations could significantly affect the constitutional analysis—they might already include procedural safeguards.</w:t>
      </w:r>
    </w:p>
    <w:p w14:paraId="0A8B4B72" w14:textId="77777777" w:rsidR="00386AE3" w:rsidRPr="00A63A57" w:rsidRDefault="00386AE3" w:rsidP="00386AE3">
      <w:pPr>
        <w:numPr>
          <w:ilvl w:val="0"/>
          <w:numId w:val="12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Presence of Other Provisions:</w:t>
      </w:r>
      <w:r w:rsidRPr="00A63A57">
        <w:rPr>
          <w:rFonts w:ascii="Segoe UI" w:eastAsia="Times New Roman" w:hAnsi="Segoe UI" w:cs="Segoe UI"/>
          <w:color w:val="0F1115"/>
          <w:kern w:val="0"/>
          <w14:ligatures w14:val="none"/>
        </w:rPr>
        <w:t> The Civil Service Law contains 223 articles, and other provisions may address enforcement, penalties, or procedural matters relevant to this provision. Without access to the full law, the analysis cannot definitively determine whether the gap is filled elsewhere.</w:t>
      </w:r>
    </w:p>
    <w:p w14:paraId="1CDA0844" w14:textId="77777777" w:rsidR="00386AE3" w:rsidRPr="00A63A57" w:rsidRDefault="00386AE3" w:rsidP="00386AE3">
      <w:pPr>
        <w:numPr>
          <w:ilvl w:val="0"/>
          <w:numId w:val="12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Judicial Precedent:</w:t>
      </w:r>
      <w:r w:rsidRPr="00A63A57">
        <w:rPr>
          <w:rFonts w:ascii="Segoe UI" w:eastAsia="Times New Roman" w:hAnsi="Segoe UI" w:cs="Segoe UI"/>
          <w:color w:val="0F1115"/>
          <w:kern w:val="0"/>
          <w14:ligatures w14:val="none"/>
        </w:rPr>
        <w:t> The absence of known judicial decisions interpreting Article 223(3) introduces uncertainty. The Egyptian Supreme Constitutional Court or the State Council may have addressed similar provisions or general principles, but without specific precedents, the analysis relies on general constitutional doctrine.</w:t>
      </w:r>
    </w:p>
    <w:p w14:paraId="737BE6DA" w14:textId="77777777" w:rsidR="00386AE3" w:rsidRPr="00A63A57" w:rsidRDefault="00386AE3" w:rsidP="00386AE3">
      <w:pPr>
        <w:numPr>
          <w:ilvl w:val="0"/>
          <w:numId w:val="12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Constitutional Amendments:</w:t>
      </w:r>
      <w:r w:rsidRPr="00A63A57">
        <w:rPr>
          <w:rFonts w:ascii="Segoe UI" w:eastAsia="Times New Roman" w:hAnsi="Segoe UI" w:cs="Segoe UI"/>
          <w:color w:val="0F1115"/>
          <w:kern w:val="0"/>
          <w14:ligatures w14:val="none"/>
        </w:rPr>
        <w:t> The 2014 Constitution (as amended in 2019) may have specific provisions relating to trade unions, social services, or public employment that could affect the analysis. The absence of detailed constitutional jurisprudence on these provisions limits the analysis.</w:t>
      </w:r>
    </w:p>
    <w:p w14:paraId="73542457" w14:textId="77777777" w:rsidR="00386AE3" w:rsidRPr="00A63A57" w:rsidRDefault="00386AE3" w:rsidP="00386AE3">
      <w:pPr>
        <w:numPr>
          <w:ilvl w:val="0"/>
          <w:numId w:val="128"/>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t>Retroactive Application:</w:t>
      </w:r>
      <w:r w:rsidRPr="00A63A57">
        <w:rPr>
          <w:rFonts w:ascii="Segoe UI" w:eastAsia="Times New Roman" w:hAnsi="Segoe UI" w:cs="Segoe UI"/>
          <w:color w:val="0F1115"/>
          <w:kern w:val="0"/>
          <w14:ligatures w14:val="none"/>
        </w:rPr>
        <w:t> The provision's application to existing establishments and workers raises potential retroactivity concerns, but without legislative history or transitional provisions, the analysis cannot resolve this.</w:t>
      </w:r>
    </w:p>
    <w:p w14:paraId="7E031437" w14:textId="77777777" w:rsidR="00386AE3" w:rsidRPr="00A63A57" w:rsidRDefault="00386AE3" w:rsidP="00386AE3">
      <w:pPr>
        <w:shd w:val="clear" w:color="auto" w:fill="FFFFFF"/>
        <w:spacing w:before="240" w:after="240" w:line="240" w:lineRule="auto"/>
        <w:ind w:firstLine="0"/>
        <w:rPr>
          <w:rFonts w:ascii="Segoe UI" w:eastAsia="Times New Roman" w:hAnsi="Segoe UI" w:cs="Segoe UI"/>
          <w:color w:val="0F1115"/>
          <w:kern w:val="0"/>
          <w14:ligatures w14:val="none"/>
        </w:rPr>
      </w:pPr>
      <w:r w:rsidRPr="00A63A57">
        <w:rPr>
          <w:rFonts w:ascii="Segoe UI" w:eastAsia="Times New Roman" w:hAnsi="Segoe UI" w:cs="Segoe UI"/>
          <w:b/>
          <w:bCs/>
          <w:color w:val="0F1115"/>
          <w:kern w:val="0"/>
          <w14:ligatures w14:val="none"/>
        </w:rPr>
        <w:lastRenderedPageBreak/>
        <w:t>Note on Methodological Constraint:</w:t>
      </w:r>
      <w:r w:rsidRPr="00A63A57">
        <w:rPr>
          <w:rFonts w:ascii="Segoe UI" w:eastAsia="Times New Roman" w:hAnsi="Segoe UI" w:cs="Segoe UI"/>
          <w:color w:val="0F1115"/>
          <w:kern w:val="0"/>
          <w14:ligatures w14:val="none"/>
        </w:rPr>
        <w:t> These uncertainties cannot be resolved through speculation or by inventing authorities. The analysis is therefore limited to interpreting the statutory text and general legal principles, without relying on extrinsic sources that may or may not exist. A definitive constitutional assessment would require:</w:t>
      </w:r>
    </w:p>
    <w:p w14:paraId="572B7080" w14:textId="77777777" w:rsidR="00386AE3" w:rsidRPr="00A63A57" w:rsidRDefault="00386AE3" w:rsidP="00386AE3">
      <w:pPr>
        <w:numPr>
          <w:ilvl w:val="0"/>
          <w:numId w:val="129"/>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Review of the implementing regulations issued under Article 223(3).</w:t>
      </w:r>
    </w:p>
    <w:p w14:paraId="3887B558" w14:textId="77777777" w:rsidR="00386AE3" w:rsidRPr="00A63A57" w:rsidRDefault="00386AE3" w:rsidP="00386AE3">
      <w:pPr>
        <w:numPr>
          <w:ilvl w:val="0"/>
          <w:numId w:val="129"/>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Review of the full Civil Service Law (Law No. 47 of 1978).</w:t>
      </w:r>
    </w:p>
    <w:p w14:paraId="4944B873" w14:textId="77777777" w:rsidR="00386AE3" w:rsidRPr="00A63A57" w:rsidRDefault="00386AE3" w:rsidP="00386AE3">
      <w:pPr>
        <w:numPr>
          <w:ilvl w:val="0"/>
          <w:numId w:val="129"/>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Review of relevant State Council decisions on administrative appeals.</w:t>
      </w:r>
    </w:p>
    <w:p w14:paraId="6C64F88E" w14:textId="77777777" w:rsidR="00386AE3" w:rsidRPr="00A63A57" w:rsidRDefault="00386AE3" w:rsidP="00386AE3">
      <w:pPr>
        <w:numPr>
          <w:ilvl w:val="0"/>
          <w:numId w:val="129"/>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Review of Supreme Constitutional Court jurisprudence on similar legislative gaps.</w:t>
      </w:r>
    </w:p>
    <w:p w14:paraId="78A04530" w14:textId="77777777" w:rsidR="00386AE3" w:rsidRPr="00A63A57" w:rsidRDefault="00386AE3" w:rsidP="00386AE3">
      <w:pPr>
        <w:numPr>
          <w:ilvl w:val="0"/>
          <w:numId w:val="129"/>
        </w:numPr>
        <w:shd w:val="clear" w:color="auto" w:fill="FFFFFF"/>
        <w:spacing w:before="0" w:after="0" w:line="240" w:lineRule="auto"/>
        <w:rPr>
          <w:rFonts w:ascii="Segoe UI" w:eastAsia="Times New Roman" w:hAnsi="Segoe UI" w:cs="Segoe UI"/>
          <w:color w:val="0F1115"/>
          <w:kern w:val="0"/>
          <w14:ligatures w14:val="none"/>
        </w:rPr>
      </w:pPr>
      <w:r w:rsidRPr="00A63A57">
        <w:rPr>
          <w:rFonts w:ascii="Segoe UI" w:eastAsia="Times New Roman" w:hAnsi="Segoe UI" w:cs="Segoe UI"/>
          <w:color w:val="0F1115"/>
          <w:kern w:val="0"/>
          <w14:ligatures w14:val="none"/>
        </w:rPr>
        <w:t>Consideration of the specific implementing decisions that have been issued.</w:t>
      </w:r>
    </w:p>
    <w:p w14:paraId="378B27F7" w14:textId="77777777" w:rsidR="00386AE3" w:rsidRPr="00F54F42" w:rsidRDefault="00386AE3" w:rsidP="00386AE3">
      <w:pPr>
        <w:ind w:firstLine="0"/>
        <w:jc w:val="both"/>
        <w:rPr>
          <w:lang w:bidi="ar-EG"/>
        </w:rPr>
      </w:pPr>
    </w:p>
    <w:p w14:paraId="70890D5D" w14:textId="77777777" w:rsidR="00386AE3" w:rsidRPr="00F54F42" w:rsidRDefault="00386AE3" w:rsidP="00386AE3">
      <w:pPr>
        <w:ind w:firstLine="0"/>
        <w:jc w:val="both"/>
        <w:rPr>
          <w:rtl/>
          <w:lang w:bidi="ar-EG"/>
        </w:rPr>
      </w:pPr>
    </w:p>
    <w:p w14:paraId="54D2926F" w14:textId="77777777" w:rsidR="006D04A4" w:rsidRDefault="006D04A4">
      <w:pPr>
        <w:rPr>
          <w:lang w:bidi="ar-EG"/>
        </w:rPr>
      </w:pPr>
    </w:p>
    <w:sectPr w:rsidR="006D04A4" w:rsidSect="00F54F42">
      <w:pgSz w:w="11906" w:h="16838"/>
      <w:pgMar w:top="1440" w:right="1440" w:bottom="1440" w:left="1440"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73E3"/>
    <w:multiLevelType w:val="multilevel"/>
    <w:tmpl w:val="17A6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F0394"/>
    <w:multiLevelType w:val="multilevel"/>
    <w:tmpl w:val="F1D28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66E0B"/>
    <w:multiLevelType w:val="multilevel"/>
    <w:tmpl w:val="CE727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81C4E"/>
    <w:multiLevelType w:val="multilevel"/>
    <w:tmpl w:val="318C5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E51A59"/>
    <w:multiLevelType w:val="multilevel"/>
    <w:tmpl w:val="EBBC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A37FA1"/>
    <w:multiLevelType w:val="multilevel"/>
    <w:tmpl w:val="10CA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793240"/>
    <w:multiLevelType w:val="multilevel"/>
    <w:tmpl w:val="DF6A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FB2B15"/>
    <w:multiLevelType w:val="multilevel"/>
    <w:tmpl w:val="0644C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9B229A"/>
    <w:multiLevelType w:val="hybridMultilevel"/>
    <w:tmpl w:val="33406F8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07CB2956"/>
    <w:multiLevelType w:val="multilevel"/>
    <w:tmpl w:val="26AC0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D34411"/>
    <w:multiLevelType w:val="multilevel"/>
    <w:tmpl w:val="21CE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647AE9"/>
    <w:multiLevelType w:val="multilevel"/>
    <w:tmpl w:val="18967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CB1A1B"/>
    <w:multiLevelType w:val="multilevel"/>
    <w:tmpl w:val="4BCC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6702DC"/>
    <w:multiLevelType w:val="multilevel"/>
    <w:tmpl w:val="C510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E56798"/>
    <w:multiLevelType w:val="multilevel"/>
    <w:tmpl w:val="EB9A2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E5B6C75"/>
    <w:multiLevelType w:val="multilevel"/>
    <w:tmpl w:val="4736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865C8A"/>
    <w:multiLevelType w:val="multilevel"/>
    <w:tmpl w:val="AD88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B7393E"/>
    <w:multiLevelType w:val="multilevel"/>
    <w:tmpl w:val="8A569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EF331C8"/>
    <w:multiLevelType w:val="multilevel"/>
    <w:tmpl w:val="197C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8B79F1"/>
    <w:multiLevelType w:val="multilevel"/>
    <w:tmpl w:val="BE402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3CE7E50"/>
    <w:multiLevelType w:val="multilevel"/>
    <w:tmpl w:val="3D04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407F3F"/>
    <w:multiLevelType w:val="multilevel"/>
    <w:tmpl w:val="BD26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484DE8"/>
    <w:multiLevelType w:val="multilevel"/>
    <w:tmpl w:val="0B0AB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0D5176"/>
    <w:multiLevelType w:val="multilevel"/>
    <w:tmpl w:val="C08C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3E4961"/>
    <w:multiLevelType w:val="multilevel"/>
    <w:tmpl w:val="AEC4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BD675C"/>
    <w:multiLevelType w:val="multilevel"/>
    <w:tmpl w:val="1648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384F54"/>
    <w:multiLevelType w:val="multilevel"/>
    <w:tmpl w:val="41B42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8551B5D"/>
    <w:multiLevelType w:val="multilevel"/>
    <w:tmpl w:val="FE9C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8E676FF"/>
    <w:multiLevelType w:val="multilevel"/>
    <w:tmpl w:val="B34CE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BF547E4"/>
    <w:multiLevelType w:val="multilevel"/>
    <w:tmpl w:val="890E49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C396EE9"/>
    <w:multiLevelType w:val="multilevel"/>
    <w:tmpl w:val="6AD8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C663B6B"/>
    <w:multiLevelType w:val="multilevel"/>
    <w:tmpl w:val="75A0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DCB2BDD"/>
    <w:multiLevelType w:val="multilevel"/>
    <w:tmpl w:val="F3E6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C80FF8"/>
    <w:multiLevelType w:val="multilevel"/>
    <w:tmpl w:val="BE7C0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F424E12"/>
    <w:multiLevelType w:val="multilevel"/>
    <w:tmpl w:val="B3C40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F4E3AD4"/>
    <w:multiLevelType w:val="multilevel"/>
    <w:tmpl w:val="2B04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318774A"/>
    <w:multiLevelType w:val="multilevel"/>
    <w:tmpl w:val="65C2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34E2FF2"/>
    <w:multiLevelType w:val="multilevel"/>
    <w:tmpl w:val="3634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BE6B3A"/>
    <w:multiLevelType w:val="multilevel"/>
    <w:tmpl w:val="D22EA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3EB3197"/>
    <w:multiLevelType w:val="multilevel"/>
    <w:tmpl w:val="647A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6844D00"/>
    <w:multiLevelType w:val="multilevel"/>
    <w:tmpl w:val="6FCC7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77E4672"/>
    <w:multiLevelType w:val="multilevel"/>
    <w:tmpl w:val="9A22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C67354"/>
    <w:multiLevelType w:val="multilevel"/>
    <w:tmpl w:val="3A86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A246161"/>
    <w:multiLevelType w:val="multilevel"/>
    <w:tmpl w:val="4880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B621582"/>
    <w:multiLevelType w:val="multilevel"/>
    <w:tmpl w:val="AB2C3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C283A20"/>
    <w:multiLevelType w:val="multilevel"/>
    <w:tmpl w:val="4D3A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C311C8A"/>
    <w:multiLevelType w:val="multilevel"/>
    <w:tmpl w:val="084CB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C740CC8"/>
    <w:multiLevelType w:val="multilevel"/>
    <w:tmpl w:val="0A769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DC46F5A"/>
    <w:multiLevelType w:val="multilevel"/>
    <w:tmpl w:val="3558C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ED85D8A"/>
    <w:multiLevelType w:val="multilevel"/>
    <w:tmpl w:val="9094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F5F7BB4"/>
    <w:multiLevelType w:val="multilevel"/>
    <w:tmpl w:val="10D2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F9937AA"/>
    <w:multiLevelType w:val="multilevel"/>
    <w:tmpl w:val="8C72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05562F9"/>
    <w:multiLevelType w:val="multilevel"/>
    <w:tmpl w:val="66F6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100046F"/>
    <w:multiLevelType w:val="multilevel"/>
    <w:tmpl w:val="7154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22864D7"/>
    <w:multiLevelType w:val="multilevel"/>
    <w:tmpl w:val="B54C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24C3827"/>
    <w:multiLevelType w:val="multilevel"/>
    <w:tmpl w:val="C760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27B4A70"/>
    <w:multiLevelType w:val="multilevel"/>
    <w:tmpl w:val="EF34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30C0FC8"/>
    <w:multiLevelType w:val="multilevel"/>
    <w:tmpl w:val="5516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3F15C73"/>
    <w:multiLevelType w:val="multilevel"/>
    <w:tmpl w:val="D834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45A1191"/>
    <w:multiLevelType w:val="multilevel"/>
    <w:tmpl w:val="3F9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4B3774F"/>
    <w:multiLevelType w:val="multilevel"/>
    <w:tmpl w:val="CF12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65101F3"/>
    <w:multiLevelType w:val="multilevel"/>
    <w:tmpl w:val="D3F4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6A22242"/>
    <w:multiLevelType w:val="multilevel"/>
    <w:tmpl w:val="C754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6FF2380"/>
    <w:multiLevelType w:val="multilevel"/>
    <w:tmpl w:val="40AA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878114A"/>
    <w:multiLevelType w:val="multilevel"/>
    <w:tmpl w:val="D07A7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8D45A22"/>
    <w:multiLevelType w:val="multilevel"/>
    <w:tmpl w:val="2B58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9496B47"/>
    <w:multiLevelType w:val="multilevel"/>
    <w:tmpl w:val="8A42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97E4844"/>
    <w:multiLevelType w:val="multilevel"/>
    <w:tmpl w:val="2BE6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A1E3D5E"/>
    <w:multiLevelType w:val="multilevel"/>
    <w:tmpl w:val="FB64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A3B2AA8"/>
    <w:multiLevelType w:val="hybridMultilevel"/>
    <w:tmpl w:val="343A153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0" w15:restartNumberingAfterBreak="0">
    <w:nsid w:val="3BBB2AA4"/>
    <w:multiLevelType w:val="hybridMultilevel"/>
    <w:tmpl w:val="45FE899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1" w15:restartNumberingAfterBreak="0">
    <w:nsid w:val="3D5B01C9"/>
    <w:multiLevelType w:val="hybridMultilevel"/>
    <w:tmpl w:val="6D5E44A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2" w15:restartNumberingAfterBreak="0">
    <w:nsid w:val="3E157638"/>
    <w:multiLevelType w:val="multilevel"/>
    <w:tmpl w:val="03A0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F74762A"/>
    <w:multiLevelType w:val="multilevel"/>
    <w:tmpl w:val="189A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01F194B"/>
    <w:multiLevelType w:val="multilevel"/>
    <w:tmpl w:val="332C6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0FE1749"/>
    <w:multiLevelType w:val="multilevel"/>
    <w:tmpl w:val="FD3EC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1495F9A"/>
    <w:multiLevelType w:val="multilevel"/>
    <w:tmpl w:val="E7EA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2C11A01"/>
    <w:multiLevelType w:val="multilevel"/>
    <w:tmpl w:val="8E0E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3491BFA"/>
    <w:multiLevelType w:val="multilevel"/>
    <w:tmpl w:val="1990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4901523"/>
    <w:multiLevelType w:val="multilevel"/>
    <w:tmpl w:val="4C1E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5F923C8"/>
    <w:multiLevelType w:val="multilevel"/>
    <w:tmpl w:val="B76C4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66F4354"/>
    <w:multiLevelType w:val="multilevel"/>
    <w:tmpl w:val="6526B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81F076A"/>
    <w:multiLevelType w:val="multilevel"/>
    <w:tmpl w:val="174E6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8BC20FD"/>
    <w:multiLevelType w:val="hybridMultilevel"/>
    <w:tmpl w:val="A8FC505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4" w15:restartNumberingAfterBreak="0">
    <w:nsid w:val="4AEB55C3"/>
    <w:multiLevelType w:val="multilevel"/>
    <w:tmpl w:val="E5707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C7572AC"/>
    <w:multiLevelType w:val="multilevel"/>
    <w:tmpl w:val="ED42B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F2A3848"/>
    <w:multiLevelType w:val="multilevel"/>
    <w:tmpl w:val="C664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FE254A1"/>
    <w:multiLevelType w:val="multilevel"/>
    <w:tmpl w:val="CAA24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FED027B"/>
    <w:multiLevelType w:val="multilevel"/>
    <w:tmpl w:val="B9CC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0BE5D91"/>
    <w:multiLevelType w:val="multilevel"/>
    <w:tmpl w:val="9AC6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0D25BD6"/>
    <w:multiLevelType w:val="multilevel"/>
    <w:tmpl w:val="DDE2E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2070DC4"/>
    <w:multiLevelType w:val="multilevel"/>
    <w:tmpl w:val="9472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37C14D8"/>
    <w:multiLevelType w:val="multilevel"/>
    <w:tmpl w:val="B418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4F622D1"/>
    <w:multiLevelType w:val="multilevel"/>
    <w:tmpl w:val="EC284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5555C53"/>
    <w:multiLevelType w:val="multilevel"/>
    <w:tmpl w:val="4CCE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66E0EE2"/>
    <w:multiLevelType w:val="multilevel"/>
    <w:tmpl w:val="545235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6EB4CC8"/>
    <w:multiLevelType w:val="multilevel"/>
    <w:tmpl w:val="AC862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8492C07"/>
    <w:multiLevelType w:val="multilevel"/>
    <w:tmpl w:val="91388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9764020"/>
    <w:multiLevelType w:val="multilevel"/>
    <w:tmpl w:val="8AE0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AE55B94"/>
    <w:multiLevelType w:val="multilevel"/>
    <w:tmpl w:val="0EF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B1205FC"/>
    <w:multiLevelType w:val="multilevel"/>
    <w:tmpl w:val="65561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C561FEE"/>
    <w:multiLevelType w:val="multilevel"/>
    <w:tmpl w:val="3756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CAF721E"/>
    <w:multiLevelType w:val="multilevel"/>
    <w:tmpl w:val="5794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D5B3851"/>
    <w:multiLevelType w:val="multilevel"/>
    <w:tmpl w:val="71F0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F120021"/>
    <w:multiLevelType w:val="multilevel"/>
    <w:tmpl w:val="49F6C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01C6466"/>
    <w:multiLevelType w:val="multilevel"/>
    <w:tmpl w:val="C5B0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2F92D33"/>
    <w:multiLevelType w:val="multilevel"/>
    <w:tmpl w:val="8E84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3EE7F9C"/>
    <w:multiLevelType w:val="multilevel"/>
    <w:tmpl w:val="9752B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3F85F80"/>
    <w:multiLevelType w:val="multilevel"/>
    <w:tmpl w:val="E9982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40136B5"/>
    <w:multiLevelType w:val="multilevel"/>
    <w:tmpl w:val="F88A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69E0AED"/>
    <w:multiLevelType w:val="multilevel"/>
    <w:tmpl w:val="B7FE3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7A72F4A"/>
    <w:multiLevelType w:val="multilevel"/>
    <w:tmpl w:val="BC22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8304E84"/>
    <w:multiLevelType w:val="multilevel"/>
    <w:tmpl w:val="D9FC3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AA912D4"/>
    <w:multiLevelType w:val="multilevel"/>
    <w:tmpl w:val="1A628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B0025E3"/>
    <w:multiLevelType w:val="multilevel"/>
    <w:tmpl w:val="52D4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D7A25B1"/>
    <w:multiLevelType w:val="multilevel"/>
    <w:tmpl w:val="5DF84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D937DC2"/>
    <w:multiLevelType w:val="multilevel"/>
    <w:tmpl w:val="9628E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F6C61A5"/>
    <w:multiLevelType w:val="multilevel"/>
    <w:tmpl w:val="6E0E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04251DF"/>
    <w:multiLevelType w:val="multilevel"/>
    <w:tmpl w:val="2A3E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16331F7"/>
    <w:multiLevelType w:val="multilevel"/>
    <w:tmpl w:val="3E7E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195324D"/>
    <w:multiLevelType w:val="multilevel"/>
    <w:tmpl w:val="C99A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1A76787"/>
    <w:multiLevelType w:val="hybridMultilevel"/>
    <w:tmpl w:val="89A03558"/>
    <w:lvl w:ilvl="0" w:tplc="6F769FEC">
      <w:start w:val="1"/>
      <w:numFmt w:val="bullet"/>
      <w:suff w:val="space"/>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22" w15:restartNumberingAfterBreak="0">
    <w:nsid w:val="722B3517"/>
    <w:multiLevelType w:val="multilevel"/>
    <w:tmpl w:val="CF92B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27F334A"/>
    <w:multiLevelType w:val="hybridMultilevel"/>
    <w:tmpl w:val="B5A27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3747D54"/>
    <w:multiLevelType w:val="multilevel"/>
    <w:tmpl w:val="A008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3CB7A1E"/>
    <w:multiLevelType w:val="multilevel"/>
    <w:tmpl w:val="667AB3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4257915"/>
    <w:multiLevelType w:val="multilevel"/>
    <w:tmpl w:val="BD08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51A2C03"/>
    <w:multiLevelType w:val="multilevel"/>
    <w:tmpl w:val="66924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5D660D7"/>
    <w:multiLevelType w:val="multilevel"/>
    <w:tmpl w:val="A97A5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7FE1950"/>
    <w:multiLevelType w:val="multilevel"/>
    <w:tmpl w:val="93B8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81C0C07"/>
    <w:multiLevelType w:val="multilevel"/>
    <w:tmpl w:val="20DE5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82F75CE"/>
    <w:multiLevelType w:val="multilevel"/>
    <w:tmpl w:val="792C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9FB5E96"/>
    <w:multiLevelType w:val="multilevel"/>
    <w:tmpl w:val="F586D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BCC0285"/>
    <w:multiLevelType w:val="multilevel"/>
    <w:tmpl w:val="CCDCD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CAB7036"/>
    <w:multiLevelType w:val="multilevel"/>
    <w:tmpl w:val="175A4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F640642"/>
    <w:multiLevelType w:val="multilevel"/>
    <w:tmpl w:val="A1025A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6443798">
    <w:abstractNumId w:val="80"/>
  </w:num>
  <w:num w:numId="2" w16cid:durableId="2107848508">
    <w:abstractNumId w:val="30"/>
  </w:num>
  <w:num w:numId="3" w16cid:durableId="48001101">
    <w:abstractNumId w:val="2"/>
  </w:num>
  <w:num w:numId="4" w16cid:durableId="500320753">
    <w:abstractNumId w:val="52"/>
  </w:num>
  <w:num w:numId="5" w16cid:durableId="337510739">
    <w:abstractNumId w:val="44"/>
  </w:num>
  <w:num w:numId="6" w16cid:durableId="1029918775">
    <w:abstractNumId w:val="89"/>
  </w:num>
  <w:num w:numId="7" w16cid:durableId="1743018620">
    <w:abstractNumId w:val="22"/>
  </w:num>
  <w:num w:numId="8" w16cid:durableId="63532410">
    <w:abstractNumId w:val="127"/>
  </w:num>
  <w:num w:numId="9" w16cid:durableId="1945768713">
    <w:abstractNumId w:val="31"/>
  </w:num>
  <w:num w:numId="10" w16cid:durableId="1466703730">
    <w:abstractNumId w:val="42"/>
  </w:num>
  <w:num w:numId="11" w16cid:durableId="708653254">
    <w:abstractNumId w:val="18"/>
  </w:num>
  <w:num w:numId="12" w16cid:durableId="1474105046">
    <w:abstractNumId w:val="113"/>
  </w:num>
  <w:num w:numId="13" w16cid:durableId="1757558456">
    <w:abstractNumId w:val="129"/>
  </w:num>
  <w:num w:numId="14" w16cid:durableId="593129463">
    <w:abstractNumId w:val="37"/>
  </w:num>
  <w:num w:numId="15" w16cid:durableId="890386056">
    <w:abstractNumId w:val="125"/>
  </w:num>
  <w:num w:numId="16" w16cid:durableId="1376544320">
    <w:abstractNumId w:val="21"/>
  </w:num>
  <w:num w:numId="17" w16cid:durableId="53898556">
    <w:abstractNumId w:val="25"/>
  </w:num>
  <w:num w:numId="18" w16cid:durableId="580405531">
    <w:abstractNumId w:val="92"/>
  </w:num>
  <w:num w:numId="19" w16cid:durableId="451441766">
    <w:abstractNumId w:val="64"/>
  </w:num>
  <w:num w:numId="20" w16cid:durableId="732775059">
    <w:abstractNumId w:val="91"/>
  </w:num>
  <w:num w:numId="21" w16cid:durableId="1790005589">
    <w:abstractNumId w:val="81"/>
  </w:num>
  <w:num w:numId="22" w16cid:durableId="1657879608">
    <w:abstractNumId w:val="14"/>
  </w:num>
  <w:num w:numId="23" w16cid:durableId="1776747281">
    <w:abstractNumId w:val="82"/>
  </w:num>
  <w:num w:numId="24" w16cid:durableId="1028989359">
    <w:abstractNumId w:val="58"/>
  </w:num>
  <w:num w:numId="25" w16cid:durableId="1754009009">
    <w:abstractNumId w:val="72"/>
  </w:num>
  <w:num w:numId="26" w16cid:durableId="618535859">
    <w:abstractNumId w:val="47"/>
  </w:num>
  <w:num w:numId="27" w16cid:durableId="1201360182">
    <w:abstractNumId w:val="85"/>
  </w:num>
  <w:num w:numId="28" w16cid:durableId="388655379">
    <w:abstractNumId w:val="100"/>
  </w:num>
  <w:num w:numId="29" w16cid:durableId="1293706309">
    <w:abstractNumId w:val="122"/>
  </w:num>
  <w:num w:numId="30" w16cid:durableId="1723140800">
    <w:abstractNumId w:val="60"/>
  </w:num>
  <w:num w:numId="31" w16cid:durableId="1616256984">
    <w:abstractNumId w:val="43"/>
  </w:num>
  <w:num w:numId="32" w16cid:durableId="1995916082">
    <w:abstractNumId w:val="5"/>
  </w:num>
  <w:num w:numId="33" w16cid:durableId="1826510445">
    <w:abstractNumId w:val="133"/>
  </w:num>
  <w:num w:numId="34" w16cid:durableId="731271778">
    <w:abstractNumId w:val="49"/>
  </w:num>
  <w:num w:numId="35" w16cid:durableId="2066830152">
    <w:abstractNumId w:val="130"/>
  </w:num>
  <w:num w:numId="36" w16cid:durableId="1997296469">
    <w:abstractNumId w:val="20"/>
  </w:num>
  <w:num w:numId="37" w16cid:durableId="208146993">
    <w:abstractNumId w:val="11"/>
  </w:num>
  <w:num w:numId="38" w16cid:durableId="1066491863">
    <w:abstractNumId w:val="9"/>
  </w:num>
  <w:num w:numId="39" w16cid:durableId="743720348">
    <w:abstractNumId w:val="87"/>
  </w:num>
  <w:num w:numId="40" w16cid:durableId="1545943320">
    <w:abstractNumId w:val="50"/>
  </w:num>
  <w:num w:numId="41" w16cid:durableId="567148989">
    <w:abstractNumId w:val="68"/>
  </w:num>
  <w:num w:numId="42" w16cid:durableId="915868232">
    <w:abstractNumId w:val="56"/>
  </w:num>
  <w:num w:numId="43" w16cid:durableId="749547627">
    <w:abstractNumId w:val="78"/>
  </w:num>
  <w:num w:numId="44" w16cid:durableId="478228345">
    <w:abstractNumId w:val="94"/>
  </w:num>
  <w:num w:numId="45" w16cid:durableId="2094662179">
    <w:abstractNumId w:val="35"/>
  </w:num>
  <w:num w:numId="46" w16cid:durableId="101455678">
    <w:abstractNumId w:val="73"/>
  </w:num>
  <w:num w:numId="47" w16cid:durableId="1594247">
    <w:abstractNumId w:val="102"/>
  </w:num>
  <w:num w:numId="48" w16cid:durableId="412356471">
    <w:abstractNumId w:val="7"/>
  </w:num>
  <w:num w:numId="49" w16cid:durableId="431246933">
    <w:abstractNumId w:val="97"/>
  </w:num>
  <w:num w:numId="50" w16cid:durableId="1897277597">
    <w:abstractNumId w:val="61"/>
  </w:num>
  <w:num w:numId="51" w16cid:durableId="603734875">
    <w:abstractNumId w:val="124"/>
  </w:num>
  <w:num w:numId="52" w16cid:durableId="1906647">
    <w:abstractNumId w:val="3"/>
  </w:num>
  <w:num w:numId="53" w16cid:durableId="980814334">
    <w:abstractNumId w:val="28"/>
  </w:num>
  <w:num w:numId="54" w16cid:durableId="970864980">
    <w:abstractNumId w:val="131"/>
  </w:num>
  <w:num w:numId="55" w16cid:durableId="2020501829">
    <w:abstractNumId w:val="38"/>
  </w:num>
  <w:num w:numId="56" w16cid:durableId="1218977738">
    <w:abstractNumId w:val="6"/>
  </w:num>
  <w:num w:numId="57" w16cid:durableId="787158862">
    <w:abstractNumId w:val="59"/>
  </w:num>
  <w:num w:numId="58" w16cid:durableId="1168207813">
    <w:abstractNumId w:val="32"/>
  </w:num>
  <w:num w:numId="59" w16cid:durableId="9992240">
    <w:abstractNumId w:val="74"/>
  </w:num>
  <w:num w:numId="60" w16cid:durableId="1979341464">
    <w:abstractNumId w:val="39"/>
  </w:num>
  <w:num w:numId="61" w16cid:durableId="183056619">
    <w:abstractNumId w:val="118"/>
  </w:num>
  <w:num w:numId="62" w16cid:durableId="641085759">
    <w:abstractNumId w:val="26"/>
  </w:num>
  <w:num w:numId="63" w16cid:durableId="1263032258">
    <w:abstractNumId w:val="4"/>
  </w:num>
  <w:num w:numId="64" w16cid:durableId="406539860">
    <w:abstractNumId w:val="76"/>
  </w:num>
  <w:num w:numId="65" w16cid:durableId="1467044291">
    <w:abstractNumId w:val="132"/>
  </w:num>
  <w:num w:numId="66" w16cid:durableId="1677687402">
    <w:abstractNumId w:val="98"/>
  </w:num>
  <w:num w:numId="67" w16cid:durableId="599096603">
    <w:abstractNumId w:val="53"/>
  </w:num>
  <w:num w:numId="68" w16cid:durableId="891967827">
    <w:abstractNumId w:val="120"/>
  </w:num>
  <w:num w:numId="69" w16cid:durableId="181014747">
    <w:abstractNumId w:val="119"/>
  </w:num>
  <w:num w:numId="70" w16cid:durableId="719551924">
    <w:abstractNumId w:val="16"/>
  </w:num>
  <w:num w:numId="71" w16cid:durableId="132605537">
    <w:abstractNumId w:val="105"/>
  </w:num>
  <w:num w:numId="72" w16cid:durableId="134641658">
    <w:abstractNumId w:val="103"/>
  </w:num>
  <w:num w:numId="73" w16cid:durableId="1697193791">
    <w:abstractNumId w:val="114"/>
  </w:num>
  <w:num w:numId="74" w16cid:durableId="773474737">
    <w:abstractNumId w:val="90"/>
  </w:num>
  <w:num w:numId="75" w16cid:durableId="295599795">
    <w:abstractNumId w:val="33"/>
  </w:num>
  <w:num w:numId="76" w16cid:durableId="1709837092">
    <w:abstractNumId w:val="126"/>
  </w:num>
  <w:num w:numId="77" w16cid:durableId="654143308">
    <w:abstractNumId w:val="34"/>
  </w:num>
  <w:num w:numId="78" w16cid:durableId="1385374702">
    <w:abstractNumId w:val="77"/>
  </w:num>
  <w:num w:numId="79" w16cid:durableId="1121457387">
    <w:abstractNumId w:val="19"/>
  </w:num>
  <w:num w:numId="80" w16cid:durableId="1889031685">
    <w:abstractNumId w:val="106"/>
  </w:num>
  <w:num w:numId="81" w16cid:durableId="222957568">
    <w:abstractNumId w:val="40"/>
  </w:num>
  <w:num w:numId="82" w16cid:durableId="1052576121">
    <w:abstractNumId w:val="66"/>
  </w:num>
  <w:num w:numId="83" w16cid:durableId="1305817887">
    <w:abstractNumId w:val="116"/>
  </w:num>
  <w:num w:numId="84" w16cid:durableId="1774741958">
    <w:abstractNumId w:val="99"/>
  </w:num>
  <w:num w:numId="85" w16cid:durableId="841238708">
    <w:abstractNumId w:val="36"/>
  </w:num>
  <w:num w:numId="86" w16cid:durableId="981734763">
    <w:abstractNumId w:val="57"/>
  </w:num>
  <w:num w:numId="87" w16cid:durableId="1900480695">
    <w:abstractNumId w:val="65"/>
  </w:num>
  <w:num w:numId="88" w16cid:durableId="1220750744">
    <w:abstractNumId w:val="112"/>
  </w:num>
  <w:num w:numId="89" w16cid:durableId="1472556546">
    <w:abstractNumId w:val="86"/>
  </w:num>
  <w:num w:numId="90" w16cid:durableId="751466872">
    <w:abstractNumId w:val="135"/>
  </w:num>
  <w:num w:numId="91" w16cid:durableId="690646741">
    <w:abstractNumId w:val="88"/>
  </w:num>
  <w:num w:numId="92" w16cid:durableId="1909220216">
    <w:abstractNumId w:val="15"/>
  </w:num>
  <w:num w:numId="93" w16cid:durableId="198975971">
    <w:abstractNumId w:val="12"/>
  </w:num>
  <w:num w:numId="94" w16cid:durableId="1664503136">
    <w:abstractNumId w:val="41"/>
  </w:num>
  <w:num w:numId="95" w16cid:durableId="436675627">
    <w:abstractNumId w:val="84"/>
  </w:num>
  <w:num w:numId="96" w16cid:durableId="759135693">
    <w:abstractNumId w:val="62"/>
  </w:num>
  <w:num w:numId="97" w16cid:durableId="1230191693">
    <w:abstractNumId w:val="75"/>
  </w:num>
  <w:num w:numId="98" w16cid:durableId="1133644861">
    <w:abstractNumId w:val="67"/>
  </w:num>
  <w:num w:numId="99" w16cid:durableId="375279235">
    <w:abstractNumId w:val="128"/>
  </w:num>
  <w:num w:numId="100" w16cid:durableId="898831806">
    <w:abstractNumId w:val="46"/>
  </w:num>
  <w:num w:numId="101" w16cid:durableId="1434932276">
    <w:abstractNumId w:val="93"/>
  </w:num>
  <w:num w:numId="102" w16cid:durableId="1069956958">
    <w:abstractNumId w:val="45"/>
  </w:num>
  <w:num w:numId="103" w16cid:durableId="602609356">
    <w:abstractNumId w:val="109"/>
  </w:num>
  <w:num w:numId="104" w16cid:durableId="2056421136">
    <w:abstractNumId w:val="27"/>
  </w:num>
  <w:num w:numId="105" w16cid:durableId="728697049">
    <w:abstractNumId w:val="54"/>
  </w:num>
  <w:num w:numId="106" w16cid:durableId="1306202977">
    <w:abstractNumId w:val="134"/>
  </w:num>
  <w:num w:numId="107" w16cid:durableId="210307402">
    <w:abstractNumId w:val="51"/>
  </w:num>
  <w:num w:numId="108" w16cid:durableId="2056272387">
    <w:abstractNumId w:val="95"/>
  </w:num>
  <w:num w:numId="109" w16cid:durableId="1137409821">
    <w:abstractNumId w:val="79"/>
  </w:num>
  <w:num w:numId="110" w16cid:durableId="1507330694">
    <w:abstractNumId w:val="0"/>
  </w:num>
  <w:num w:numId="111" w16cid:durableId="1629822049">
    <w:abstractNumId w:val="29"/>
  </w:num>
  <w:num w:numId="112" w16cid:durableId="1555703516">
    <w:abstractNumId w:val="96"/>
  </w:num>
  <w:num w:numId="113" w16cid:durableId="499540366">
    <w:abstractNumId w:val="17"/>
  </w:num>
  <w:num w:numId="114" w16cid:durableId="2030714808">
    <w:abstractNumId w:val="1"/>
  </w:num>
  <w:num w:numId="115" w16cid:durableId="907812386">
    <w:abstractNumId w:val="48"/>
  </w:num>
  <w:num w:numId="116" w16cid:durableId="1332294143">
    <w:abstractNumId w:val="24"/>
  </w:num>
  <w:num w:numId="117" w16cid:durableId="1523398675">
    <w:abstractNumId w:val="107"/>
  </w:num>
  <w:num w:numId="118" w16cid:durableId="1425299512">
    <w:abstractNumId w:val="108"/>
  </w:num>
  <w:num w:numId="119" w16cid:durableId="1549561216">
    <w:abstractNumId w:val="101"/>
  </w:num>
  <w:num w:numId="120" w16cid:durableId="26420320">
    <w:abstractNumId w:val="10"/>
  </w:num>
  <w:num w:numId="121" w16cid:durableId="2141798366">
    <w:abstractNumId w:val="13"/>
  </w:num>
  <w:num w:numId="122" w16cid:durableId="1285503932">
    <w:abstractNumId w:val="55"/>
  </w:num>
  <w:num w:numId="123" w16cid:durableId="2015914195">
    <w:abstractNumId w:val="104"/>
  </w:num>
  <w:num w:numId="124" w16cid:durableId="795493474">
    <w:abstractNumId w:val="117"/>
  </w:num>
  <w:num w:numId="125" w16cid:durableId="712268842">
    <w:abstractNumId w:val="110"/>
  </w:num>
  <w:num w:numId="126" w16cid:durableId="2034919496">
    <w:abstractNumId w:val="23"/>
  </w:num>
  <w:num w:numId="127" w16cid:durableId="1404521276">
    <w:abstractNumId w:val="115"/>
  </w:num>
  <w:num w:numId="128" w16cid:durableId="693457792">
    <w:abstractNumId w:val="63"/>
  </w:num>
  <w:num w:numId="129" w16cid:durableId="673146340">
    <w:abstractNumId w:val="111"/>
  </w:num>
  <w:num w:numId="130" w16cid:durableId="1922519940">
    <w:abstractNumId w:val="69"/>
  </w:num>
  <w:num w:numId="131" w16cid:durableId="797989935">
    <w:abstractNumId w:val="71"/>
  </w:num>
  <w:num w:numId="132" w16cid:durableId="1190408727">
    <w:abstractNumId w:val="123"/>
  </w:num>
  <w:num w:numId="133" w16cid:durableId="1432894493">
    <w:abstractNumId w:val="70"/>
  </w:num>
  <w:num w:numId="134" w16cid:durableId="1447113238">
    <w:abstractNumId w:val="8"/>
  </w:num>
  <w:num w:numId="135" w16cid:durableId="1769276128">
    <w:abstractNumId w:val="83"/>
  </w:num>
  <w:num w:numId="136" w16cid:durableId="784809873">
    <w:abstractNumId w:val="121"/>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AE3"/>
    <w:rsid w:val="00054F41"/>
    <w:rsid w:val="0022569B"/>
    <w:rsid w:val="00386AE3"/>
    <w:rsid w:val="004A77D7"/>
    <w:rsid w:val="006D04A4"/>
    <w:rsid w:val="00797A5A"/>
    <w:rsid w:val="008574FB"/>
    <w:rsid w:val="009C4FA4"/>
    <w:rsid w:val="00B1793F"/>
    <w:rsid w:val="00B72E5B"/>
    <w:rsid w:val="00D5024A"/>
    <w:rsid w:val="00EE40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3563A"/>
  <w15:chartTrackingRefBased/>
  <w15:docId w15:val="{3A683BC0-9C91-49E6-86A0-CBFD480C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AE3"/>
    <w:pPr>
      <w:bidi w:val="0"/>
      <w:spacing w:before="120" w:after="120" w:line="500" w:lineRule="exact"/>
      <w:ind w:firstLine="567"/>
    </w:pPr>
    <w:rPr>
      <w:kern w:val="2"/>
      <w:sz w:val="24"/>
      <w:szCs w:val="24"/>
      <w14:ligatures w14:val="standardContextual"/>
    </w:rPr>
  </w:style>
  <w:style w:type="paragraph" w:styleId="1">
    <w:name w:val="heading 1"/>
    <w:basedOn w:val="a"/>
    <w:next w:val="a"/>
    <w:link w:val="1Char"/>
    <w:uiPriority w:val="9"/>
    <w:qFormat/>
    <w:rsid w:val="00386AE3"/>
    <w:pPr>
      <w:jc w:val="center"/>
      <w:outlineLvl w:val="0"/>
    </w:pPr>
    <w:rPr>
      <w:b/>
      <w:bCs/>
      <w:color w:val="FF0000"/>
      <w:sz w:val="56"/>
      <w:szCs w:val="56"/>
    </w:rPr>
  </w:style>
  <w:style w:type="paragraph" w:styleId="2">
    <w:name w:val="heading 2"/>
    <w:basedOn w:val="a"/>
    <w:next w:val="a"/>
    <w:link w:val="2Char"/>
    <w:uiPriority w:val="9"/>
    <w:unhideWhenUsed/>
    <w:qFormat/>
    <w:rsid w:val="00386AE3"/>
    <w:pPr>
      <w:shd w:val="clear" w:color="auto" w:fill="D9D9D9" w:themeFill="background1" w:themeFillShade="D9"/>
      <w:jc w:val="center"/>
      <w:outlineLvl w:val="1"/>
    </w:pPr>
    <w:rPr>
      <w:b/>
      <w:bCs/>
      <w:color w:val="FF0000"/>
      <w:sz w:val="36"/>
      <w:szCs w:val="36"/>
    </w:rPr>
  </w:style>
  <w:style w:type="paragraph" w:styleId="3">
    <w:name w:val="heading 3"/>
    <w:basedOn w:val="a"/>
    <w:next w:val="a"/>
    <w:link w:val="3Char"/>
    <w:uiPriority w:val="9"/>
    <w:semiHidden/>
    <w:unhideWhenUsed/>
    <w:qFormat/>
    <w:rsid w:val="00386AE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86AE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86AE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86A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86A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86AE3"/>
    <w:pPr>
      <w:keepNext/>
      <w:keepLines/>
      <w:spacing w:before="0"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86AE3"/>
    <w:pPr>
      <w:keepNext/>
      <w:keepLines/>
      <w:spacing w:before="0"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86AE3"/>
    <w:rPr>
      <w:b/>
      <w:bCs/>
      <w:color w:val="FF0000"/>
      <w:kern w:val="2"/>
      <w:sz w:val="56"/>
      <w:szCs w:val="56"/>
      <w14:ligatures w14:val="standardContextual"/>
    </w:rPr>
  </w:style>
  <w:style w:type="character" w:customStyle="1" w:styleId="2Char">
    <w:name w:val="عنوان 2 Char"/>
    <w:basedOn w:val="a0"/>
    <w:link w:val="2"/>
    <w:uiPriority w:val="9"/>
    <w:rsid w:val="00386AE3"/>
    <w:rPr>
      <w:b/>
      <w:bCs/>
      <w:color w:val="FF0000"/>
      <w:kern w:val="2"/>
      <w:sz w:val="36"/>
      <w:szCs w:val="36"/>
      <w:shd w:val="clear" w:color="auto" w:fill="D9D9D9" w:themeFill="background1" w:themeFillShade="D9"/>
      <w14:ligatures w14:val="standardContextual"/>
    </w:rPr>
  </w:style>
  <w:style w:type="character" w:customStyle="1" w:styleId="3Char">
    <w:name w:val="عنوان 3 Char"/>
    <w:basedOn w:val="a0"/>
    <w:link w:val="3"/>
    <w:uiPriority w:val="9"/>
    <w:semiHidden/>
    <w:rsid w:val="00386AE3"/>
    <w:rPr>
      <w:rFonts w:eastAsiaTheme="majorEastAsia" w:cstheme="majorBidi"/>
      <w:color w:val="2F5496" w:themeColor="accent1" w:themeShade="BF"/>
      <w:kern w:val="2"/>
      <w:sz w:val="28"/>
      <w:szCs w:val="28"/>
      <w14:ligatures w14:val="standardContextual"/>
    </w:rPr>
  </w:style>
  <w:style w:type="character" w:customStyle="1" w:styleId="4Char">
    <w:name w:val="عنوان 4 Char"/>
    <w:basedOn w:val="a0"/>
    <w:link w:val="4"/>
    <w:uiPriority w:val="9"/>
    <w:semiHidden/>
    <w:rsid w:val="00386AE3"/>
    <w:rPr>
      <w:rFonts w:eastAsiaTheme="majorEastAsia" w:cstheme="majorBidi"/>
      <w:i/>
      <w:iCs/>
      <w:color w:val="2F5496" w:themeColor="accent1" w:themeShade="BF"/>
      <w:kern w:val="2"/>
      <w:sz w:val="24"/>
      <w:szCs w:val="24"/>
      <w14:ligatures w14:val="standardContextual"/>
    </w:rPr>
  </w:style>
  <w:style w:type="character" w:customStyle="1" w:styleId="5Char">
    <w:name w:val="عنوان 5 Char"/>
    <w:basedOn w:val="a0"/>
    <w:link w:val="5"/>
    <w:uiPriority w:val="9"/>
    <w:semiHidden/>
    <w:rsid w:val="00386AE3"/>
    <w:rPr>
      <w:rFonts w:eastAsiaTheme="majorEastAsia" w:cstheme="majorBidi"/>
      <w:color w:val="2F5496" w:themeColor="accent1" w:themeShade="BF"/>
      <w:kern w:val="2"/>
      <w:sz w:val="24"/>
      <w:szCs w:val="24"/>
      <w14:ligatures w14:val="standardContextual"/>
    </w:rPr>
  </w:style>
  <w:style w:type="character" w:customStyle="1" w:styleId="6Char">
    <w:name w:val="عنوان 6 Char"/>
    <w:basedOn w:val="a0"/>
    <w:link w:val="6"/>
    <w:uiPriority w:val="9"/>
    <w:semiHidden/>
    <w:rsid w:val="00386AE3"/>
    <w:rPr>
      <w:rFonts w:eastAsiaTheme="majorEastAsia" w:cstheme="majorBidi"/>
      <w:i/>
      <w:iCs/>
      <w:color w:val="595959" w:themeColor="text1" w:themeTint="A6"/>
      <w:kern w:val="2"/>
      <w:sz w:val="24"/>
      <w:szCs w:val="24"/>
      <w14:ligatures w14:val="standardContextual"/>
    </w:rPr>
  </w:style>
  <w:style w:type="character" w:customStyle="1" w:styleId="7Char">
    <w:name w:val="عنوان 7 Char"/>
    <w:basedOn w:val="a0"/>
    <w:link w:val="7"/>
    <w:uiPriority w:val="9"/>
    <w:semiHidden/>
    <w:rsid w:val="00386AE3"/>
    <w:rPr>
      <w:rFonts w:eastAsiaTheme="majorEastAsia" w:cstheme="majorBidi"/>
      <w:color w:val="595959" w:themeColor="text1" w:themeTint="A6"/>
      <w:kern w:val="2"/>
      <w:sz w:val="24"/>
      <w:szCs w:val="24"/>
      <w14:ligatures w14:val="standardContextual"/>
    </w:rPr>
  </w:style>
  <w:style w:type="character" w:customStyle="1" w:styleId="8Char">
    <w:name w:val="عنوان 8 Char"/>
    <w:basedOn w:val="a0"/>
    <w:link w:val="8"/>
    <w:uiPriority w:val="9"/>
    <w:semiHidden/>
    <w:rsid w:val="00386AE3"/>
    <w:rPr>
      <w:rFonts w:eastAsiaTheme="majorEastAsia" w:cstheme="majorBidi"/>
      <w:i/>
      <w:iCs/>
      <w:color w:val="272727" w:themeColor="text1" w:themeTint="D8"/>
      <w:kern w:val="2"/>
      <w:sz w:val="24"/>
      <w:szCs w:val="24"/>
      <w14:ligatures w14:val="standardContextual"/>
    </w:rPr>
  </w:style>
  <w:style w:type="character" w:customStyle="1" w:styleId="9Char">
    <w:name w:val="عنوان 9 Char"/>
    <w:basedOn w:val="a0"/>
    <w:link w:val="9"/>
    <w:uiPriority w:val="9"/>
    <w:semiHidden/>
    <w:rsid w:val="00386AE3"/>
    <w:rPr>
      <w:rFonts w:eastAsiaTheme="majorEastAsia" w:cstheme="majorBidi"/>
      <w:color w:val="272727" w:themeColor="text1" w:themeTint="D8"/>
      <w:kern w:val="2"/>
      <w:sz w:val="24"/>
      <w:szCs w:val="24"/>
      <w14:ligatures w14:val="standardContextual"/>
    </w:rPr>
  </w:style>
  <w:style w:type="paragraph" w:styleId="a3">
    <w:name w:val="Title"/>
    <w:basedOn w:val="a"/>
    <w:next w:val="a"/>
    <w:link w:val="Char"/>
    <w:uiPriority w:val="10"/>
    <w:qFormat/>
    <w:rsid w:val="00386AE3"/>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86AE3"/>
    <w:rPr>
      <w:rFonts w:asciiTheme="majorHAnsi" w:eastAsiaTheme="majorEastAsia" w:hAnsiTheme="majorHAnsi" w:cstheme="majorBidi"/>
      <w:spacing w:val="-10"/>
      <w:kern w:val="28"/>
      <w:sz w:val="56"/>
      <w:szCs w:val="56"/>
      <w14:ligatures w14:val="standardContextual"/>
    </w:rPr>
  </w:style>
  <w:style w:type="paragraph" w:styleId="a4">
    <w:name w:val="Subtitle"/>
    <w:basedOn w:val="a"/>
    <w:next w:val="a"/>
    <w:link w:val="Char0"/>
    <w:uiPriority w:val="11"/>
    <w:qFormat/>
    <w:rsid w:val="00386AE3"/>
    <w:pPr>
      <w:numPr>
        <w:ilvl w:val="1"/>
      </w:numPr>
      <w:spacing w:after="160"/>
      <w:ind w:firstLine="567"/>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86AE3"/>
    <w:rPr>
      <w:rFonts w:eastAsiaTheme="majorEastAsia" w:cstheme="majorBidi"/>
      <w:color w:val="595959" w:themeColor="text1" w:themeTint="A6"/>
      <w:spacing w:val="15"/>
      <w:kern w:val="2"/>
      <w:sz w:val="28"/>
      <w:szCs w:val="28"/>
      <w14:ligatures w14:val="standardContextual"/>
    </w:rPr>
  </w:style>
  <w:style w:type="paragraph" w:styleId="a5">
    <w:name w:val="Quote"/>
    <w:basedOn w:val="a"/>
    <w:next w:val="a"/>
    <w:link w:val="Char1"/>
    <w:uiPriority w:val="29"/>
    <w:qFormat/>
    <w:rsid w:val="00386AE3"/>
    <w:pPr>
      <w:spacing w:before="160" w:after="160"/>
      <w:jc w:val="center"/>
    </w:pPr>
    <w:rPr>
      <w:i/>
      <w:iCs/>
      <w:color w:val="404040" w:themeColor="text1" w:themeTint="BF"/>
    </w:rPr>
  </w:style>
  <w:style w:type="character" w:customStyle="1" w:styleId="Char1">
    <w:name w:val="اقتباس Char"/>
    <w:basedOn w:val="a0"/>
    <w:link w:val="a5"/>
    <w:uiPriority w:val="29"/>
    <w:rsid w:val="00386AE3"/>
    <w:rPr>
      <w:i/>
      <w:iCs/>
      <w:color w:val="404040" w:themeColor="text1" w:themeTint="BF"/>
      <w:kern w:val="2"/>
      <w:sz w:val="24"/>
      <w:szCs w:val="24"/>
      <w14:ligatures w14:val="standardContextual"/>
    </w:rPr>
  </w:style>
  <w:style w:type="paragraph" w:styleId="a6">
    <w:name w:val="List Paragraph"/>
    <w:basedOn w:val="a"/>
    <w:uiPriority w:val="34"/>
    <w:qFormat/>
    <w:rsid w:val="00386AE3"/>
    <w:pPr>
      <w:ind w:left="720"/>
      <w:contextualSpacing/>
    </w:pPr>
  </w:style>
  <w:style w:type="character" w:styleId="a7">
    <w:name w:val="Intense Emphasis"/>
    <w:basedOn w:val="a0"/>
    <w:uiPriority w:val="21"/>
    <w:qFormat/>
    <w:rsid w:val="00386AE3"/>
    <w:rPr>
      <w:i/>
      <w:iCs/>
      <w:color w:val="2F5496" w:themeColor="accent1" w:themeShade="BF"/>
    </w:rPr>
  </w:style>
  <w:style w:type="paragraph" w:styleId="a8">
    <w:name w:val="Intense Quote"/>
    <w:basedOn w:val="a"/>
    <w:next w:val="a"/>
    <w:link w:val="Char2"/>
    <w:uiPriority w:val="30"/>
    <w:qFormat/>
    <w:rsid w:val="00386A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86AE3"/>
    <w:rPr>
      <w:i/>
      <w:iCs/>
      <w:color w:val="2F5496" w:themeColor="accent1" w:themeShade="BF"/>
      <w:kern w:val="2"/>
      <w:sz w:val="24"/>
      <w:szCs w:val="24"/>
      <w14:ligatures w14:val="standardContextual"/>
    </w:rPr>
  </w:style>
  <w:style w:type="character" w:styleId="a9">
    <w:name w:val="Intense Reference"/>
    <w:basedOn w:val="a0"/>
    <w:uiPriority w:val="32"/>
    <w:qFormat/>
    <w:rsid w:val="00386AE3"/>
    <w:rPr>
      <w:b/>
      <w:bCs/>
      <w:smallCaps/>
      <w:color w:val="2F5496" w:themeColor="accent1" w:themeShade="BF"/>
      <w:spacing w:val="5"/>
    </w:rPr>
  </w:style>
  <w:style w:type="character" w:styleId="Hyperlink">
    <w:name w:val="Hyperlink"/>
    <w:basedOn w:val="a0"/>
    <w:uiPriority w:val="99"/>
    <w:semiHidden/>
    <w:unhideWhenUsed/>
    <w:rsid w:val="00386A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hub.info/eg-j/?p=18880&amp;utm_source=chatgpt.com" TargetMode="External"/><Relationship Id="rId13" Type="http://schemas.openxmlformats.org/officeDocument/2006/relationships/hyperlink" Target="https://www.sccourt.gov.eg/SCC/faces/Rules_Html/12385_37_135_1_2.html%3Ftimestamp%3D1695749750200?utm_source=chatgpt.com" TargetMode="External"/><Relationship Id="rId18" Type="http://schemas.openxmlformats.org/officeDocument/2006/relationships/hyperlink" Target="https://www.almasryalyoum.com/news/details/780737?utm_source=chatgpt.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awhub.info/eg-j/?p=18880&amp;utm_source=chatgpt.com" TargetMode="External"/><Relationship Id="rId12" Type="http://schemas.openxmlformats.org/officeDocument/2006/relationships/hyperlink" Target="https://www.sccourt.gov.eg/SCC/faces/Rules_Html/12388_37_177_1_2.html?timestamp=1695752013751&amp;utm_source=chatgpt.com" TargetMode="External"/><Relationship Id="rId17" Type="http://schemas.openxmlformats.org/officeDocument/2006/relationships/hyperlink" Target="https://lawhub.info/eg-j/?p=18880&amp;utm_source=chatgpt.com" TargetMode="External"/><Relationship Id="rId2" Type="http://schemas.openxmlformats.org/officeDocument/2006/relationships/styles" Target="styles.xml"/><Relationship Id="rId16" Type="http://schemas.openxmlformats.org/officeDocument/2006/relationships/hyperlink" Target="https://www.almasryalyoum.com/news/details/780737?utm_source=chatgpt.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oe.gov.eg/media/kvdnk1eb/universitiesactno49of1972.pdf?utm_source=chatgpt.com" TargetMode="External"/><Relationship Id="rId11" Type="http://schemas.openxmlformats.org/officeDocument/2006/relationships/hyperlink" Target="https://www.presidency.eg/media/46122/%D8%AF%D8%B3%D8%AA%D9%88%D8%B1-%D8%AC%D9%85%D9%87%D9%88%D8%B1%D9%8A%D8%A9-%D9%85%D8%B5%D8%B1-%D8%A7%D9%84%D8%B9%D8%B1%D8%A8%D9%8A%D8%A9-2019.pdf?utm_source=chatgpt.com" TargetMode="External"/><Relationship Id="rId5" Type="http://schemas.openxmlformats.org/officeDocument/2006/relationships/hyperlink" Target="https://www.almasryalyoum.com/news/details/780737?utm_source=chatgpt.com" TargetMode="External"/><Relationship Id="rId15" Type="http://schemas.openxmlformats.org/officeDocument/2006/relationships/hyperlink" Target="https://www.almasryalyoum.com/news/details/780737?utm_source=chatgpt.com" TargetMode="External"/><Relationship Id="rId10" Type="http://schemas.openxmlformats.org/officeDocument/2006/relationships/hyperlink" Target="https://mksegypt.org/ar/judgments-of-the-supreme-administrative-court/5897?utm_source=chatgpt.com" TargetMode="External"/><Relationship Id="rId19" Type="http://schemas.openxmlformats.org/officeDocument/2006/relationships/hyperlink" Target="https://www.sccourt.gov.eg/SCC/faces/Rules_Html/12388_37_177_1_2.html?timestamp=1695752013751&amp;utm_source=chatgpt.com" TargetMode="External"/><Relationship Id="rId4" Type="http://schemas.openxmlformats.org/officeDocument/2006/relationships/webSettings" Target="webSettings.xml"/><Relationship Id="rId9" Type="http://schemas.openxmlformats.org/officeDocument/2006/relationships/hyperlink" Target="https://www.almasryalyoum.com/news/details/780737?utm_source=chatgpt.com" TargetMode="External"/><Relationship Id="rId14" Type="http://schemas.openxmlformats.org/officeDocument/2006/relationships/hyperlink" Target="https://lawhub.info/eg/?p=12027&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133</Pages>
  <Words>39332</Words>
  <Characters>224197</Characters>
  <DocSecurity>0</DocSecurity>
  <Lines>1868</Lines>
  <Paragraphs>526</Paragraphs>
  <ScaleCrop>false</ScaleCrop>
  <Company/>
  <LinksUpToDate>false</LinksUpToDate>
  <CharactersWithSpaces>263003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2026-09-01T12:40:00Z</dcterms:created>
  <dcterms:modified xsi:type="dcterms:W3CDTF">2026-09-01T23:35:00Z</dcterms:modified>
</cp:coreProperties>
</file>