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0B40" w:rsidRPr="00590F2F" w:rsidRDefault="00A70B40" w:rsidP="0098461F">
      <w:pPr>
        <w:jc w:val="center"/>
        <w:rPr>
          <w:b/>
          <w:sz w:val="40"/>
          <w:szCs w:val="40"/>
        </w:rPr>
      </w:pPr>
      <w:r w:rsidRPr="00590F2F">
        <w:rPr>
          <w:b/>
          <w:sz w:val="40"/>
          <w:szCs w:val="40"/>
        </w:rPr>
        <w:t>Supplementary Information</w:t>
      </w: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A70B40" w:rsidP="0098461F">
      <w:pPr>
        <w:jc w:val="center"/>
        <w:rPr>
          <w:b/>
        </w:rPr>
      </w:pPr>
    </w:p>
    <w:p w:rsidR="00A70B40" w:rsidRPr="00590F2F" w:rsidRDefault="000259D5" w:rsidP="0098461F">
      <w:pPr>
        <w:spacing w:line="480" w:lineRule="auto"/>
        <w:jc w:val="center"/>
        <w:rPr>
          <w:b/>
          <w:bCs/>
          <w:sz w:val="36"/>
          <w:szCs w:val="36"/>
        </w:rPr>
      </w:pPr>
      <w:r>
        <w:rPr>
          <w:b/>
          <w:bCs/>
          <w:sz w:val="36"/>
          <w:szCs w:val="36"/>
        </w:rPr>
        <w:t>Port’s criticality</w:t>
      </w:r>
      <w:r w:rsidR="00A70B40" w:rsidRPr="00590F2F">
        <w:rPr>
          <w:b/>
          <w:bCs/>
          <w:sz w:val="36"/>
          <w:szCs w:val="36"/>
        </w:rPr>
        <w:t xml:space="preserve"> in international trade and global supply-chains</w:t>
      </w:r>
    </w:p>
    <w:p w:rsidR="00A70B40" w:rsidRPr="00590F2F" w:rsidRDefault="00A70B40" w:rsidP="0098461F">
      <w:pPr>
        <w:jc w:val="center"/>
        <w:rPr>
          <w:b/>
          <w:sz w:val="40"/>
          <w:szCs w:val="40"/>
        </w:rPr>
      </w:pPr>
    </w:p>
    <w:p w:rsidR="00A70B40" w:rsidRPr="00590F2F" w:rsidRDefault="00A70B40" w:rsidP="0098461F">
      <w:pPr>
        <w:jc w:val="center"/>
        <w:rPr>
          <w:bCs/>
          <w:sz w:val="32"/>
          <w:szCs w:val="32"/>
        </w:rPr>
      </w:pPr>
      <w:r w:rsidRPr="00590F2F">
        <w:rPr>
          <w:bCs/>
          <w:sz w:val="32"/>
          <w:szCs w:val="32"/>
        </w:rPr>
        <w:t>Verschuur et al.</w:t>
      </w:r>
    </w:p>
    <w:p w:rsidR="00A70B40" w:rsidRPr="00590F2F" w:rsidRDefault="00A70B40" w:rsidP="0098461F">
      <w:pPr>
        <w:jc w:val="both"/>
        <w:rPr>
          <w:b/>
        </w:rPr>
      </w:pPr>
    </w:p>
    <w:p w:rsidR="00A70B40" w:rsidRPr="00590F2F" w:rsidRDefault="00A70B40" w:rsidP="0098461F">
      <w:pPr>
        <w:jc w:val="both"/>
        <w:rPr>
          <w:b/>
        </w:rPr>
      </w:pPr>
    </w:p>
    <w:p w:rsidR="00A70B40" w:rsidRPr="00590F2F" w:rsidRDefault="00A70B40" w:rsidP="0098461F">
      <w:pPr>
        <w:jc w:val="both"/>
        <w:rPr>
          <w:b/>
        </w:rPr>
      </w:pPr>
    </w:p>
    <w:p w:rsidR="00A70B40" w:rsidRPr="00590F2F" w:rsidRDefault="00A70B40" w:rsidP="0098461F">
      <w:pPr>
        <w:jc w:val="both"/>
        <w:rPr>
          <w:b/>
        </w:rPr>
      </w:pPr>
    </w:p>
    <w:p w:rsidR="00A70B40" w:rsidRPr="00590F2F" w:rsidRDefault="00A70B40" w:rsidP="0098461F">
      <w:pPr>
        <w:jc w:val="both"/>
        <w:rPr>
          <w:b/>
        </w:rPr>
      </w:pPr>
    </w:p>
    <w:p w:rsidR="00A70B40" w:rsidRPr="00590F2F" w:rsidRDefault="00A70B40" w:rsidP="0098461F">
      <w:pPr>
        <w:jc w:val="both"/>
        <w:rPr>
          <w:b/>
        </w:rPr>
      </w:pPr>
      <w:r w:rsidRPr="00590F2F">
        <w:rPr>
          <w:b/>
        </w:rPr>
        <w:br w:type="page"/>
      </w:r>
    </w:p>
    <w:p w:rsidR="000E1813" w:rsidRDefault="000E1813" w:rsidP="0098461F">
      <w:pPr>
        <w:jc w:val="both"/>
        <w:rPr>
          <w:b/>
          <w:sz w:val="28"/>
          <w:szCs w:val="28"/>
        </w:rPr>
      </w:pPr>
      <w:r w:rsidRPr="00590F2F">
        <w:rPr>
          <w:b/>
          <w:sz w:val="28"/>
          <w:szCs w:val="28"/>
        </w:rPr>
        <w:lastRenderedPageBreak/>
        <w:t>Supplementary Figures</w:t>
      </w:r>
    </w:p>
    <w:p w:rsidR="000259D5" w:rsidRDefault="000259D5" w:rsidP="0098461F">
      <w:pPr>
        <w:jc w:val="both"/>
        <w:rPr>
          <w:b/>
          <w:sz w:val="28"/>
          <w:szCs w:val="28"/>
        </w:rPr>
      </w:pPr>
    </w:p>
    <w:p w:rsidR="000259D5" w:rsidRPr="00590F2F" w:rsidRDefault="000259D5" w:rsidP="0098461F">
      <w:pPr>
        <w:jc w:val="both"/>
        <w:rPr>
          <w:b/>
          <w:sz w:val="28"/>
          <w:szCs w:val="28"/>
        </w:rPr>
      </w:pPr>
    </w:p>
    <w:p w:rsidR="000259D5" w:rsidRDefault="000259D5" w:rsidP="000259D5">
      <w:pPr>
        <w:jc w:val="both"/>
        <w:rPr>
          <w:b/>
          <w:sz w:val="28"/>
          <w:szCs w:val="28"/>
        </w:rPr>
      </w:pPr>
      <w:r>
        <w:rPr>
          <w:b/>
          <w:noProof/>
          <w:sz w:val="28"/>
          <w:szCs w:val="28"/>
        </w:rPr>
        <w:drawing>
          <wp:inline distT="0" distB="0" distL="0" distR="0">
            <wp:extent cx="5760720" cy="3957320"/>
            <wp:effectExtent l="0" t="0" r="5080" b="508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957320"/>
                    </a:xfrm>
                    <a:prstGeom prst="rect">
                      <a:avLst/>
                    </a:prstGeom>
                  </pic:spPr>
                </pic:pic>
              </a:graphicData>
            </a:graphic>
          </wp:inline>
        </w:drawing>
      </w:r>
    </w:p>
    <w:p w:rsidR="000259D5" w:rsidRDefault="000259D5" w:rsidP="000259D5">
      <w:pPr>
        <w:jc w:val="both"/>
        <w:rPr>
          <w:b/>
        </w:rPr>
      </w:pPr>
    </w:p>
    <w:p w:rsidR="000259D5" w:rsidRPr="000259D5" w:rsidRDefault="000259D5" w:rsidP="000259D5">
      <w:pPr>
        <w:jc w:val="both"/>
        <w:rPr>
          <w:bCs/>
          <w:sz w:val="28"/>
          <w:szCs w:val="28"/>
        </w:rPr>
      </w:pPr>
      <w:r w:rsidRPr="00590F2F">
        <w:rPr>
          <w:b/>
        </w:rPr>
        <w:t>Supplementary Fi</w:t>
      </w:r>
      <w:r>
        <w:rPr>
          <w:b/>
        </w:rPr>
        <w:t xml:space="preserve">g. 1 | Share of maritime trade in country imports. </w:t>
      </w:r>
      <w:r>
        <w:rPr>
          <w:bCs/>
        </w:rPr>
        <w:t xml:space="preserve">The share of maritime transport in total imports for the 2015 trade network. Each panel shows the percentages for a particular economic sector. Grey indicates no data.  </w:t>
      </w: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0259D5" w:rsidP="0098461F">
      <w:pPr>
        <w:jc w:val="both"/>
        <w:rPr>
          <w:b/>
          <w:sz w:val="28"/>
          <w:szCs w:val="28"/>
        </w:rPr>
      </w:pPr>
      <w:r>
        <w:rPr>
          <w:b/>
          <w:noProof/>
          <w:sz w:val="28"/>
          <w:szCs w:val="28"/>
        </w:rPr>
        <w:drawing>
          <wp:inline distT="0" distB="0" distL="0" distR="0">
            <wp:extent cx="5760720" cy="3985895"/>
            <wp:effectExtent l="0" t="0" r="5080" b="1905"/>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85895"/>
                    </a:xfrm>
                    <a:prstGeom prst="rect">
                      <a:avLst/>
                    </a:prstGeom>
                  </pic:spPr>
                </pic:pic>
              </a:graphicData>
            </a:graphic>
          </wp:inline>
        </w:drawing>
      </w:r>
    </w:p>
    <w:p w:rsidR="000259D5" w:rsidRDefault="000259D5" w:rsidP="000259D5">
      <w:pPr>
        <w:jc w:val="both"/>
        <w:rPr>
          <w:b/>
        </w:rPr>
      </w:pPr>
    </w:p>
    <w:p w:rsidR="000259D5" w:rsidRPr="000259D5" w:rsidRDefault="000259D5" w:rsidP="000259D5">
      <w:pPr>
        <w:jc w:val="both"/>
        <w:rPr>
          <w:bCs/>
          <w:sz w:val="28"/>
          <w:szCs w:val="28"/>
        </w:rPr>
      </w:pPr>
      <w:r w:rsidRPr="00590F2F">
        <w:rPr>
          <w:b/>
        </w:rPr>
        <w:t>Supplementary Fi</w:t>
      </w:r>
      <w:r>
        <w:rPr>
          <w:b/>
        </w:rPr>
        <w:t xml:space="preserve">g. 2 | Share of maritime trade in country exports. </w:t>
      </w:r>
      <w:r>
        <w:rPr>
          <w:bCs/>
        </w:rPr>
        <w:t xml:space="preserve">The share of maritime transport in total exports for the 2015 trade network. Each panel shows the percentages for a particular economic sector. Grey indicates no data.  </w:t>
      </w: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473E63" w:rsidRDefault="00473E63" w:rsidP="0098461F">
      <w:pPr>
        <w:jc w:val="both"/>
        <w:rPr>
          <w:b/>
          <w:sz w:val="28"/>
          <w:szCs w:val="28"/>
        </w:rPr>
      </w:pPr>
    </w:p>
    <w:p w:rsidR="00473E63" w:rsidRDefault="00473E63" w:rsidP="0098461F">
      <w:pPr>
        <w:jc w:val="both"/>
        <w:rPr>
          <w:b/>
          <w:sz w:val="28"/>
          <w:szCs w:val="28"/>
        </w:rPr>
      </w:pPr>
    </w:p>
    <w:p w:rsidR="00473E63" w:rsidRDefault="00473E63" w:rsidP="0098461F">
      <w:pPr>
        <w:jc w:val="both"/>
        <w:rPr>
          <w:b/>
          <w:sz w:val="28"/>
          <w:szCs w:val="28"/>
        </w:rPr>
      </w:pPr>
    </w:p>
    <w:p w:rsidR="00473E63" w:rsidRDefault="00473E63" w:rsidP="0098461F">
      <w:pPr>
        <w:jc w:val="both"/>
        <w:rPr>
          <w:b/>
          <w:sz w:val="28"/>
          <w:szCs w:val="28"/>
        </w:rPr>
      </w:pPr>
    </w:p>
    <w:p w:rsidR="00473E63" w:rsidRDefault="00473E63"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EE2DD6" w:rsidRDefault="00EE2DD6" w:rsidP="0098461F">
      <w:pPr>
        <w:jc w:val="both"/>
        <w:rPr>
          <w:b/>
          <w:sz w:val="28"/>
          <w:szCs w:val="28"/>
        </w:rPr>
      </w:pPr>
    </w:p>
    <w:p w:rsidR="003D4DB0" w:rsidRDefault="003D4DB0" w:rsidP="0098461F">
      <w:pPr>
        <w:jc w:val="both"/>
        <w:rPr>
          <w:b/>
          <w:sz w:val="28"/>
          <w:szCs w:val="28"/>
        </w:rPr>
      </w:pPr>
    </w:p>
    <w:p w:rsidR="003D4DB0" w:rsidRDefault="000606B5" w:rsidP="003D4DB0">
      <w:pPr>
        <w:jc w:val="center"/>
        <w:rPr>
          <w:b/>
          <w:sz w:val="28"/>
          <w:szCs w:val="28"/>
        </w:rPr>
      </w:pPr>
      <w:r>
        <w:rPr>
          <w:b/>
          <w:noProof/>
          <w:sz w:val="28"/>
          <w:szCs w:val="28"/>
        </w:rPr>
        <w:lastRenderedPageBreak/>
        <w:drawing>
          <wp:inline distT="0" distB="0" distL="0" distR="0">
            <wp:extent cx="5626179" cy="8677835"/>
            <wp:effectExtent l="0" t="0" r="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816" cy="8678817"/>
                    </a:xfrm>
                    <a:prstGeom prst="rect">
                      <a:avLst/>
                    </a:prstGeom>
                  </pic:spPr>
                </pic:pic>
              </a:graphicData>
            </a:graphic>
          </wp:inline>
        </w:drawing>
      </w:r>
    </w:p>
    <w:p w:rsidR="003D4DB0" w:rsidRDefault="000606B5" w:rsidP="0098461F">
      <w:pPr>
        <w:jc w:val="both"/>
        <w:rPr>
          <w:b/>
          <w:sz w:val="28"/>
          <w:szCs w:val="28"/>
        </w:rPr>
      </w:pPr>
      <w:r>
        <w:rPr>
          <w:b/>
          <w:noProof/>
          <w:sz w:val="28"/>
          <w:szCs w:val="28"/>
        </w:rPr>
        <w:lastRenderedPageBreak/>
        <w:drawing>
          <wp:inline distT="0" distB="0" distL="0" distR="0">
            <wp:extent cx="5760720" cy="8176895"/>
            <wp:effectExtent l="0" t="0" r="5080" b="1905"/>
            <wp:docPr id="12" name="Picture 1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76895"/>
                    </a:xfrm>
                    <a:prstGeom prst="rect">
                      <a:avLst/>
                    </a:prstGeom>
                  </pic:spPr>
                </pic:pic>
              </a:graphicData>
            </a:graphic>
          </wp:inline>
        </w:drawing>
      </w:r>
    </w:p>
    <w:p w:rsidR="003D4DB0" w:rsidRDefault="003D4DB0" w:rsidP="003D4DB0">
      <w:pPr>
        <w:jc w:val="center"/>
        <w:rPr>
          <w:b/>
          <w:sz w:val="28"/>
          <w:szCs w:val="28"/>
        </w:rPr>
      </w:pPr>
    </w:p>
    <w:p w:rsidR="003D4DB0" w:rsidRDefault="000259D5" w:rsidP="00A7679D">
      <w:pPr>
        <w:jc w:val="both"/>
        <w:rPr>
          <w:bCs/>
        </w:rPr>
      </w:pPr>
      <w:r w:rsidRPr="00590F2F">
        <w:rPr>
          <w:b/>
        </w:rPr>
        <w:t>Supplementary Fig</w:t>
      </w:r>
      <w:r>
        <w:rPr>
          <w:b/>
        </w:rPr>
        <w:t>.</w:t>
      </w:r>
      <w:r w:rsidRPr="00590F2F">
        <w:rPr>
          <w:b/>
        </w:rPr>
        <w:t xml:space="preserve"> </w:t>
      </w:r>
      <w:r>
        <w:rPr>
          <w:b/>
        </w:rPr>
        <w:t xml:space="preserve">3 | The geographical location of port-level trade flows. </w:t>
      </w:r>
      <w:r>
        <w:rPr>
          <w:bCs/>
        </w:rPr>
        <w:t>The port-level imports (red, left) and exports (blue, right) per economic sector.</w:t>
      </w:r>
    </w:p>
    <w:p w:rsidR="00A7679D" w:rsidRPr="00A7679D" w:rsidRDefault="00A7679D" w:rsidP="00A7679D">
      <w:pPr>
        <w:jc w:val="both"/>
        <w:rPr>
          <w:bCs/>
        </w:rPr>
      </w:pPr>
      <w:r>
        <w:rPr>
          <w:bCs/>
          <w:noProof/>
        </w:rPr>
        <w:lastRenderedPageBreak/>
        <w:drawing>
          <wp:inline distT="0" distB="0" distL="0" distR="0">
            <wp:extent cx="5760720" cy="5862955"/>
            <wp:effectExtent l="0" t="0" r="5080" b="4445"/>
            <wp:docPr id="14" name="Picture 14" descr="A picture containing outdoor, flock, large,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flock, large, m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862955"/>
                    </a:xfrm>
                    <a:prstGeom prst="rect">
                      <a:avLst/>
                    </a:prstGeom>
                  </pic:spPr>
                </pic:pic>
              </a:graphicData>
            </a:graphic>
          </wp:inline>
        </w:drawing>
      </w:r>
    </w:p>
    <w:p w:rsidR="003D4DB0" w:rsidRDefault="003D4DB0" w:rsidP="003D4DB0">
      <w:pPr>
        <w:rPr>
          <w:b/>
          <w:sz w:val="28"/>
          <w:szCs w:val="28"/>
        </w:rPr>
      </w:pPr>
    </w:p>
    <w:p w:rsidR="003D4DB0" w:rsidRDefault="003D4DB0" w:rsidP="003D4DB0">
      <w:pPr>
        <w:jc w:val="both"/>
        <w:rPr>
          <w:bCs/>
        </w:rPr>
      </w:pPr>
      <w:r w:rsidRPr="00590F2F">
        <w:rPr>
          <w:b/>
        </w:rPr>
        <w:t>Supplementary Fig</w:t>
      </w:r>
      <w:r w:rsidR="001733CB">
        <w:rPr>
          <w:b/>
        </w:rPr>
        <w:t>. 4</w:t>
      </w:r>
      <w:r w:rsidR="00A7679D">
        <w:rPr>
          <w:b/>
        </w:rPr>
        <w:t xml:space="preserve"> | Examples of port-level trade network. </w:t>
      </w:r>
      <w:r w:rsidR="00BC6716">
        <w:rPr>
          <w:bCs/>
        </w:rPr>
        <w:t>The top 200 largest importing (blue, left) and exporting (red, right) trade flows</w:t>
      </w:r>
      <w:r w:rsidR="00541CE1">
        <w:rPr>
          <w:bCs/>
        </w:rPr>
        <w:t xml:space="preserve"> to and from a port</w:t>
      </w:r>
      <w:r w:rsidR="00BC6716">
        <w:rPr>
          <w:bCs/>
        </w:rPr>
        <w:t xml:space="preserve">, including the </w:t>
      </w:r>
      <w:r w:rsidR="00541CE1">
        <w:rPr>
          <w:bCs/>
        </w:rPr>
        <w:t xml:space="preserve">location of the </w:t>
      </w:r>
      <w:r w:rsidR="00BC6716">
        <w:rPr>
          <w:bCs/>
        </w:rPr>
        <w:t>origin/destination port</w:t>
      </w:r>
      <w:r w:rsidR="00541CE1">
        <w:rPr>
          <w:bCs/>
        </w:rPr>
        <w:t xml:space="preserve">. </w:t>
      </w:r>
      <w:r w:rsidR="00BC6716">
        <w:rPr>
          <w:bCs/>
        </w:rPr>
        <w:t xml:space="preserve"> </w:t>
      </w:r>
      <w:r w:rsidR="00541CE1">
        <w:rPr>
          <w:bCs/>
        </w:rPr>
        <w:t>Four example ports</w:t>
      </w:r>
      <w:r w:rsidR="00BC6716">
        <w:rPr>
          <w:bCs/>
        </w:rPr>
        <w:t>: Rotterdam, Houston, Port Hedland, Yokohama.</w:t>
      </w:r>
    </w:p>
    <w:p w:rsidR="00BC6716" w:rsidRPr="00BC6716" w:rsidRDefault="00BC6716" w:rsidP="003D4DB0">
      <w:pPr>
        <w:jc w:val="both"/>
        <w:rPr>
          <w:bCs/>
        </w:rPr>
      </w:pPr>
    </w:p>
    <w:p w:rsidR="003D4DB0" w:rsidRDefault="003D4DB0"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5312DE" w:rsidRDefault="005312DE" w:rsidP="0098461F">
      <w:pPr>
        <w:jc w:val="both"/>
        <w:rPr>
          <w:b/>
          <w:sz w:val="28"/>
          <w:szCs w:val="28"/>
        </w:rPr>
      </w:pPr>
    </w:p>
    <w:p w:rsidR="005312DE" w:rsidRDefault="005312DE" w:rsidP="0098461F">
      <w:pPr>
        <w:jc w:val="both"/>
        <w:rPr>
          <w:b/>
          <w:sz w:val="28"/>
          <w:szCs w:val="28"/>
        </w:rPr>
      </w:pPr>
    </w:p>
    <w:p w:rsidR="005312DE" w:rsidRDefault="005312DE" w:rsidP="0098461F">
      <w:pPr>
        <w:jc w:val="both"/>
        <w:rPr>
          <w:b/>
          <w:sz w:val="28"/>
          <w:szCs w:val="28"/>
        </w:rPr>
      </w:pPr>
    </w:p>
    <w:p w:rsidR="005312DE" w:rsidRDefault="005312DE" w:rsidP="0098461F">
      <w:pPr>
        <w:jc w:val="both"/>
        <w:rPr>
          <w:b/>
          <w:sz w:val="28"/>
          <w:szCs w:val="28"/>
        </w:rPr>
      </w:pPr>
    </w:p>
    <w:p w:rsidR="005312DE" w:rsidRDefault="005312DE" w:rsidP="0098461F">
      <w:pPr>
        <w:jc w:val="both"/>
        <w:rPr>
          <w:b/>
          <w:sz w:val="28"/>
          <w:szCs w:val="28"/>
        </w:rPr>
      </w:pPr>
    </w:p>
    <w:p w:rsidR="005312DE" w:rsidRDefault="005312DE" w:rsidP="0098461F">
      <w:pPr>
        <w:jc w:val="both"/>
        <w:rPr>
          <w:b/>
          <w:sz w:val="28"/>
          <w:szCs w:val="28"/>
        </w:rPr>
      </w:pPr>
    </w:p>
    <w:p w:rsidR="005312DE" w:rsidRDefault="005312DE" w:rsidP="0098461F">
      <w:pPr>
        <w:jc w:val="both"/>
        <w:rPr>
          <w:b/>
          <w:sz w:val="28"/>
          <w:szCs w:val="28"/>
        </w:rPr>
      </w:pPr>
    </w:p>
    <w:p w:rsidR="00FF3963" w:rsidRDefault="00BC6716" w:rsidP="0098461F">
      <w:pPr>
        <w:jc w:val="both"/>
        <w:rPr>
          <w:b/>
          <w:sz w:val="28"/>
          <w:szCs w:val="28"/>
        </w:rPr>
      </w:pPr>
      <w:r>
        <w:rPr>
          <w:b/>
          <w:noProof/>
          <w:sz w:val="28"/>
          <w:szCs w:val="28"/>
        </w:rPr>
        <w:drawing>
          <wp:inline distT="0" distB="0" distL="0" distR="0">
            <wp:extent cx="5454869" cy="6009926"/>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9673" cy="6015219"/>
                    </a:xfrm>
                    <a:prstGeom prst="rect">
                      <a:avLst/>
                    </a:prstGeom>
                  </pic:spPr>
                </pic:pic>
              </a:graphicData>
            </a:graphic>
          </wp:inline>
        </w:drawing>
      </w:r>
    </w:p>
    <w:p w:rsidR="00FF3963" w:rsidRDefault="00FF3963" w:rsidP="0098461F">
      <w:pPr>
        <w:jc w:val="both"/>
        <w:rPr>
          <w:b/>
          <w:sz w:val="28"/>
          <w:szCs w:val="28"/>
        </w:rPr>
      </w:pPr>
    </w:p>
    <w:p w:rsidR="00FF3963" w:rsidRDefault="00FF3963" w:rsidP="0098461F">
      <w:pPr>
        <w:jc w:val="both"/>
        <w:rPr>
          <w:b/>
          <w:sz w:val="28"/>
          <w:szCs w:val="28"/>
        </w:rPr>
      </w:pPr>
    </w:p>
    <w:p w:rsidR="00BC6716" w:rsidRDefault="00BC6716" w:rsidP="00BC6716">
      <w:pPr>
        <w:jc w:val="both"/>
        <w:rPr>
          <w:bCs/>
        </w:rPr>
      </w:pPr>
      <w:r w:rsidRPr="00590F2F">
        <w:rPr>
          <w:b/>
        </w:rPr>
        <w:t>Supplementary Fig</w:t>
      </w:r>
      <w:r>
        <w:rPr>
          <w:b/>
        </w:rPr>
        <w:t xml:space="preserve">. 5 | Geographical distribution of coreness and specialisation in port-level trade. </w:t>
      </w:r>
      <w:r>
        <w:rPr>
          <w:bCs/>
        </w:rPr>
        <w:t xml:space="preserve">The geographical location of ports with their associated coreness and specialisation value. Coreness is based on a core-periphery detection method </w:t>
      </w:r>
      <w:r w:rsidR="00DA2C8D">
        <w:rPr>
          <w:bCs/>
        </w:rPr>
        <w:t xml:space="preserve">applied to </w:t>
      </w:r>
      <w:r>
        <w:rPr>
          <w:bCs/>
        </w:rPr>
        <w:t>the port-to-port trade network (see Methods) whereas the specialisation is based on the Gini-coefficient</w:t>
      </w:r>
      <w:r>
        <w:rPr>
          <w:bCs/>
        </w:rPr>
        <w:fldChar w:fldCharType="begin" w:fldLock="1"/>
      </w:r>
      <w:r w:rsidR="000E394C">
        <w:rPr>
          <w:bCs/>
        </w:rPr>
        <w:instrText>ADDIN CSL_CITATION {"citationItems":[{"id":"ITEM-1","itemData":{"DOI":"10.1016/0277-9536(94)90189-9","ISSN":"02779536","PMID":"8016689","abstract":"The paper analyzes how Gini-style indices are optimally used in the evaluation of economic spatial models designed to predict where health care practitioners are likely to locate under competitive market conditions. At a conceptual level, the analysis establishes that Gini-style indices can be brought to bear on economic models, only if the ordering of geographic areas required to give Gini-coefficient values internal technical coherence also has meaning in terms of the conceptual predictions of the modelling. This, in turn, implies that Gini-indices are most likely to prove useful for fairly aggregated forms of economic analysis, involving relatively few and large geographic divisions. At an applied level, the analysis establishes that one particular geographic distribution of health practitioners is empirically dominant, and that is the distribution which involves the lowest practitioner: population ratio in rural areas, and the highest ratio in large urban areas, with the ratio for small urban areas in between. The empirical evidence also suggests that the spatial practitioner distributions are highly stable for most kinds of health personnel, making it problematic whether these distributions can be changed through normal types of public policy interventions. © 1994.","author":[{"dropping-particle":"","family":"Brown","given":"Malcolm C.","non-dropping-particle":"","parse-names":false,"suffix":""}],"container-title":"Social Science and Medicine","id":"ITEM-1","issue":"9","issued":{"date-parts":[["1994"]]},"page":"1243-1256","title":"Using gini-style indices to evaluate the spatial patterns of health practitioners: Theoretical considerations and an application based on Alberta data","type":"article-journal","volume":"38"},"uris":["http://www.mendeley.com/documents/?uuid=8f2f47ab-de6b-4442-ba09-039b9197fbb5"]}],"mendeley":{"formattedCitation":"&lt;sup&gt;1&lt;/sup&gt;","plainTextFormattedCitation":"1","previouslyFormattedCitation":"&lt;sup&gt;1&lt;/sup&gt;"},"properties":{"noteIndex":0},"schema":"https://github.com/citation-style-language/schema/raw/master/csl-citation.json"}</w:instrText>
      </w:r>
      <w:r>
        <w:rPr>
          <w:bCs/>
        </w:rPr>
        <w:fldChar w:fldCharType="separate"/>
      </w:r>
      <w:r w:rsidRPr="00BC6716">
        <w:rPr>
          <w:bCs/>
          <w:noProof/>
          <w:vertAlign w:val="superscript"/>
        </w:rPr>
        <w:t>1</w:t>
      </w:r>
      <w:r>
        <w:rPr>
          <w:bCs/>
        </w:rPr>
        <w:fldChar w:fldCharType="end"/>
      </w:r>
      <w:r>
        <w:rPr>
          <w:bCs/>
        </w:rPr>
        <w:t xml:space="preserve"> of sector-level trade flows through ports. </w:t>
      </w: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p>
    <w:p w:rsidR="00BC6716" w:rsidRDefault="00BC6716" w:rsidP="00BC6716">
      <w:pPr>
        <w:jc w:val="both"/>
        <w:rPr>
          <w:bCs/>
        </w:rPr>
      </w:pPr>
      <w:r>
        <w:rPr>
          <w:bCs/>
        </w:rPr>
        <w:t xml:space="preserve"> </w:t>
      </w:r>
      <w:r>
        <w:rPr>
          <w:bCs/>
          <w:noProof/>
        </w:rPr>
        <w:drawing>
          <wp:inline distT="0" distB="0" distL="0" distR="0">
            <wp:extent cx="5400000" cy="5841993"/>
            <wp:effectExtent l="0" t="0" r="0" b="63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5841993"/>
                    </a:xfrm>
                    <a:prstGeom prst="rect">
                      <a:avLst/>
                    </a:prstGeom>
                  </pic:spPr>
                </pic:pic>
              </a:graphicData>
            </a:graphic>
          </wp:inline>
        </w:drawing>
      </w:r>
    </w:p>
    <w:p w:rsidR="00FF3963" w:rsidRDefault="00FF3963" w:rsidP="0098461F">
      <w:pPr>
        <w:jc w:val="both"/>
        <w:rPr>
          <w:b/>
          <w:sz w:val="28"/>
          <w:szCs w:val="28"/>
        </w:rPr>
      </w:pPr>
    </w:p>
    <w:p w:rsidR="00BC6716" w:rsidRDefault="00BC6716" w:rsidP="00BC6716">
      <w:pPr>
        <w:jc w:val="both"/>
        <w:rPr>
          <w:bCs/>
        </w:rPr>
      </w:pPr>
      <w:r w:rsidRPr="00590F2F">
        <w:rPr>
          <w:b/>
        </w:rPr>
        <w:t>Supplementary Fig</w:t>
      </w:r>
      <w:r>
        <w:rPr>
          <w:b/>
        </w:rPr>
        <w:t xml:space="preserve">. </w:t>
      </w:r>
      <w:r w:rsidR="00C33E77">
        <w:rPr>
          <w:b/>
        </w:rPr>
        <w:t>6</w:t>
      </w:r>
      <w:r>
        <w:rPr>
          <w:b/>
        </w:rPr>
        <w:t xml:space="preserve"> | Geographical distribution of PLOCR values. </w:t>
      </w:r>
      <w:r>
        <w:rPr>
          <w:bCs/>
        </w:rPr>
        <w:t xml:space="preserve">The geographical location of ports with their associated </w:t>
      </w:r>
      <w:r w:rsidR="000E394C">
        <w:rPr>
          <w:bCs/>
        </w:rPr>
        <w:t xml:space="preserve">relative </w:t>
      </w:r>
      <w:r>
        <w:rPr>
          <w:bCs/>
        </w:rPr>
        <w:t>port-level output coefficient</w:t>
      </w:r>
      <w:r w:rsidR="000E394C">
        <w:rPr>
          <w:bCs/>
        </w:rPr>
        <w:t xml:space="preserve"> (PLOCR), indicating the amount of industry output embedded </w:t>
      </w:r>
      <w:r w:rsidR="00400539">
        <w:rPr>
          <w:bCs/>
        </w:rPr>
        <w:t xml:space="preserve">in </w:t>
      </w:r>
      <w:r w:rsidR="000E394C">
        <w:rPr>
          <w:bCs/>
        </w:rPr>
        <w:t xml:space="preserve">every dollar trade flow going through a port. </w:t>
      </w:r>
    </w:p>
    <w:p w:rsidR="001733CB" w:rsidRDefault="001733CB" w:rsidP="0098461F">
      <w:pPr>
        <w:jc w:val="both"/>
        <w:rPr>
          <w:b/>
          <w:sz w:val="28"/>
          <w:szCs w:val="28"/>
        </w:rPr>
      </w:pPr>
    </w:p>
    <w:p w:rsidR="001733CB" w:rsidRDefault="001733CB" w:rsidP="0098461F">
      <w:pPr>
        <w:jc w:val="both"/>
        <w:rPr>
          <w:b/>
          <w:sz w:val="28"/>
          <w:szCs w:val="28"/>
        </w:rPr>
      </w:pPr>
    </w:p>
    <w:p w:rsidR="00FF3963" w:rsidRDefault="00FF3963" w:rsidP="0098461F">
      <w:pPr>
        <w:jc w:val="both"/>
        <w:rPr>
          <w:b/>
          <w:sz w:val="28"/>
          <w:szCs w:val="28"/>
        </w:rPr>
      </w:pPr>
    </w:p>
    <w:p w:rsidR="00BC6716" w:rsidRDefault="00BC6716" w:rsidP="0098461F">
      <w:pPr>
        <w:jc w:val="both"/>
        <w:rPr>
          <w:b/>
          <w:sz w:val="28"/>
          <w:szCs w:val="28"/>
        </w:rPr>
      </w:pPr>
    </w:p>
    <w:p w:rsidR="00BC6716" w:rsidRDefault="00BC6716" w:rsidP="0098461F">
      <w:pPr>
        <w:jc w:val="both"/>
        <w:rPr>
          <w:b/>
          <w:sz w:val="28"/>
          <w:szCs w:val="28"/>
        </w:rPr>
      </w:pPr>
    </w:p>
    <w:p w:rsidR="000E394C" w:rsidRDefault="000E394C" w:rsidP="0098461F">
      <w:pPr>
        <w:jc w:val="both"/>
        <w:rPr>
          <w:b/>
          <w:sz w:val="28"/>
          <w:szCs w:val="28"/>
        </w:rPr>
      </w:pPr>
    </w:p>
    <w:p w:rsidR="000E394C" w:rsidRDefault="000E394C" w:rsidP="0098461F">
      <w:pPr>
        <w:jc w:val="both"/>
        <w:rPr>
          <w:b/>
          <w:sz w:val="28"/>
          <w:szCs w:val="28"/>
        </w:rPr>
      </w:pPr>
    </w:p>
    <w:p w:rsidR="000E394C" w:rsidRDefault="000E394C" w:rsidP="0098461F">
      <w:pPr>
        <w:jc w:val="both"/>
        <w:rPr>
          <w:b/>
          <w:sz w:val="28"/>
          <w:szCs w:val="28"/>
        </w:rPr>
      </w:pPr>
    </w:p>
    <w:p w:rsidR="000E394C" w:rsidRDefault="000E394C" w:rsidP="0098461F">
      <w:pPr>
        <w:jc w:val="both"/>
        <w:rPr>
          <w:b/>
          <w:sz w:val="28"/>
          <w:szCs w:val="28"/>
        </w:rPr>
      </w:pPr>
    </w:p>
    <w:p w:rsidR="000E394C" w:rsidRDefault="000E394C" w:rsidP="0098461F">
      <w:pPr>
        <w:jc w:val="both"/>
        <w:rPr>
          <w:b/>
          <w:sz w:val="28"/>
          <w:szCs w:val="28"/>
        </w:rPr>
      </w:pPr>
    </w:p>
    <w:p w:rsidR="00112568" w:rsidRDefault="006A685B" w:rsidP="00112568">
      <w:pPr>
        <w:jc w:val="both"/>
        <w:rPr>
          <w:b/>
        </w:rPr>
      </w:pPr>
      <w:r>
        <w:rPr>
          <w:b/>
          <w:noProof/>
        </w:rPr>
        <w:lastRenderedPageBreak/>
        <w:drawing>
          <wp:anchor distT="0" distB="0" distL="114300" distR="114300" simplePos="0" relativeHeight="251658240" behindDoc="0" locked="0" layoutInCell="1" allowOverlap="1" wp14:anchorId="224144FD">
            <wp:simplePos x="0" y="0"/>
            <wp:positionH relativeFrom="column">
              <wp:posOffset>-263594</wp:posOffset>
            </wp:positionH>
            <wp:positionV relativeFrom="paragraph">
              <wp:posOffset>141605</wp:posOffset>
            </wp:positionV>
            <wp:extent cx="6638290" cy="2898775"/>
            <wp:effectExtent l="0" t="0" r="3810" b="0"/>
            <wp:wrapTopAndBottom/>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38290" cy="2898775"/>
                    </a:xfrm>
                    <a:prstGeom prst="rect">
                      <a:avLst/>
                    </a:prstGeom>
                  </pic:spPr>
                </pic:pic>
              </a:graphicData>
            </a:graphic>
            <wp14:sizeRelH relativeFrom="page">
              <wp14:pctWidth>0</wp14:pctWidth>
            </wp14:sizeRelH>
            <wp14:sizeRelV relativeFrom="page">
              <wp14:pctHeight>0</wp14:pctHeight>
            </wp14:sizeRelV>
          </wp:anchor>
        </w:drawing>
      </w:r>
    </w:p>
    <w:p w:rsidR="006A685B" w:rsidRDefault="006A685B" w:rsidP="006A685B">
      <w:pPr>
        <w:jc w:val="both"/>
        <w:rPr>
          <w:bCs/>
        </w:rPr>
      </w:pPr>
      <w:r w:rsidRPr="00590F2F">
        <w:rPr>
          <w:b/>
        </w:rPr>
        <w:t>Supplementary Fig</w:t>
      </w:r>
      <w:r>
        <w:rPr>
          <w:b/>
        </w:rPr>
        <w:t xml:space="preserve">. 7 | Sector-level PLIC values on a country-level. </w:t>
      </w:r>
      <w:r>
        <w:rPr>
          <w:bCs/>
        </w:rPr>
        <w:t xml:space="preserve">The import coefficient on a sector and country-level, indicating the increase in imports necessary for every dollar increase in final demand for a sector.  </w:t>
      </w: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Default="006A685B" w:rsidP="00112568">
      <w:pPr>
        <w:jc w:val="both"/>
        <w:rPr>
          <w:b/>
        </w:rPr>
      </w:pPr>
    </w:p>
    <w:p w:rsidR="006A685B" w:rsidRPr="00590F2F" w:rsidRDefault="006A685B" w:rsidP="00112568">
      <w:pPr>
        <w:jc w:val="both"/>
        <w:rPr>
          <w:b/>
        </w:rPr>
      </w:pPr>
    </w:p>
    <w:p w:rsidR="000E1813" w:rsidRPr="00590F2F" w:rsidRDefault="00D20180" w:rsidP="0098461F">
      <w:pPr>
        <w:jc w:val="both"/>
        <w:rPr>
          <w:b/>
          <w:sz w:val="28"/>
          <w:szCs w:val="28"/>
        </w:rPr>
      </w:pPr>
      <w:r w:rsidRPr="00590F2F">
        <w:rPr>
          <w:b/>
          <w:noProof/>
          <w:sz w:val="28"/>
          <w:szCs w:val="28"/>
        </w:rPr>
        <w:lastRenderedPageBreak/>
        <w:drawing>
          <wp:inline distT="0" distB="0" distL="0" distR="0">
            <wp:extent cx="6011249" cy="4456090"/>
            <wp:effectExtent l="0" t="0" r="0" b="190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2895" cy="4457310"/>
                    </a:xfrm>
                    <a:prstGeom prst="rect">
                      <a:avLst/>
                    </a:prstGeom>
                  </pic:spPr>
                </pic:pic>
              </a:graphicData>
            </a:graphic>
          </wp:inline>
        </w:drawing>
      </w:r>
    </w:p>
    <w:p w:rsidR="00887F2D" w:rsidRPr="00590F2F" w:rsidRDefault="00887F2D" w:rsidP="0098461F">
      <w:pPr>
        <w:jc w:val="both"/>
        <w:rPr>
          <w:b/>
          <w:sz w:val="28"/>
          <w:szCs w:val="28"/>
        </w:rPr>
      </w:pPr>
    </w:p>
    <w:p w:rsidR="000E394C" w:rsidRDefault="000E394C" w:rsidP="000E394C">
      <w:pPr>
        <w:jc w:val="both"/>
        <w:rPr>
          <w:bCs/>
        </w:rPr>
      </w:pPr>
      <w:r w:rsidRPr="00590F2F">
        <w:rPr>
          <w:b/>
        </w:rPr>
        <w:t>Supplementary Fig</w:t>
      </w:r>
      <w:r>
        <w:rPr>
          <w:b/>
        </w:rPr>
        <w:t xml:space="preserve">. </w:t>
      </w:r>
      <w:r w:rsidR="006A685B">
        <w:rPr>
          <w:b/>
        </w:rPr>
        <w:t xml:space="preserve">8 </w:t>
      </w:r>
      <w:r>
        <w:rPr>
          <w:b/>
        </w:rPr>
        <w:t xml:space="preserve">| Validation mode prediction model. </w:t>
      </w:r>
      <w:r>
        <w:rPr>
          <w:bCs/>
        </w:rPr>
        <w:t xml:space="preserve">Validation plots showing the actual maritime trade flows based on UN </w:t>
      </w:r>
      <w:proofErr w:type="spellStart"/>
      <w:r>
        <w:rPr>
          <w:bCs/>
        </w:rPr>
        <w:t>Comtrade</w:t>
      </w:r>
      <w:proofErr w:type="spellEnd"/>
      <w:r>
        <w:rPr>
          <w:bCs/>
        </w:rPr>
        <w:t xml:space="preserve"> data</w:t>
      </w:r>
      <w:r>
        <w:rPr>
          <w:bCs/>
        </w:rPr>
        <w:fldChar w:fldCharType="begin" w:fldLock="1"/>
      </w:r>
      <w:r w:rsidR="002D3535">
        <w:rPr>
          <w:bCs/>
        </w:rPr>
        <w:instrText>ADDIN CSL_CITATION {"citationItems":[{"id":"ITEM-1","itemData":{"URL":"https://comtrade.un.org","accessed":{"date-parts":[["2020","2","1"]]},"author":[{"dropping-particle":"","family":"United Nations Statistical Division","given":"","non-dropping-particle":"","parse-names":false,"suffix":""}],"container-title":"UN Comtrade database","id":"ITEM-1","issued":{"date-parts":[["2020"]]},"title":"UN Comtrade database","type":"webpage"},"uris":["http://www.mendeley.com/documents/?uuid=d9aeecb3-818c-461b-9ef0-0d5bd6940fab"]}],"mendeley":{"formattedCitation":"&lt;sup&gt;2&lt;/sup&gt;","plainTextFormattedCitation":"2","previouslyFormattedCitation":"&lt;sup&gt;2&lt;/sup&gt;"},"properties":{"noteIndex":0},"schema":"https://github.com/citation-style-language/schema/raw/master/csl-citation.json"}</w:instrText>
      </w:r>
      <w:r>
        <w:rPr>
          <w:bCs/>
        </w:rPr>
        <w:fldChar w:fldCharType="separate"/>
      </w:r>
      <w:r w:rsidRPr="000E394C">
        <w:rPr>
          <w:bCs/>
          <w:noProof/>
          <w:vertAlign w:val="superscript"/>
        </w:rPr>
        <w:t>2</w:t>
      </w:r>
      <w:r>
        <w:rPr>
          <w:bCs/>
        </w:rPr>
        <w:fldChar w:fldCharType="end"/>
      </w:r>
      <w:r>
        <w:rPr>
          <w:bCs/>
        </w:rPr>
        <w:t xml:space="preserve"> and predicted maritime trade flows using the mode prediction model. Per figure, we include the number of data points (N), the correlation coefficient and the R-squared value. </w:t>
      </w: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Default="000E394C" w:rsidP="000E394C">
      <w:pPr>
        <w:jc w:val="both"/>
        <w:rPr>
          <w:bCs/>
        </w:rPr>
      </w:pPr>
    </w:p>
    <w:p w:rsidR="000E394C" w:rsidRPr="000E394C" w:rsidRDefault="000E394C" w:rsidP="000E394C">
      <w:pPr>
        <w:jc w:val="both"/>
        <w:rPr>
          <w:bCs/>
        </w:rPr>
      </w:pPr>
    </w:p>
    <w:p w:rsidR="000E1813" w:rsidRPr="00590F2F" w:rsidRDefault="000E1813" w:rsidP="0098461F">
      <w:pPr>
        <w:jc w:val="both"/>
        <w:rPr>
          <w:b/>
          <w:sz w:val="28"/>
          <w:szCs w:val="28"/>
        </w:rPr>
      </w:pPr>
    </w:p>
    <w:p w:rsidR="000E1813" w:rsidRPr="00590F2F" w:rsidRDefault="008068FF" w:rsidP="0098461F">
      <w:pPr>
        <w:jc w:val="both"/>
        <w:rPr>
          <w:b/>
          <w:sz w:val="28"/>
          <w:szCs w:val="28"/>
        </w:rPr>
      </w:pPr>
      <w:r w:rsidRPr="00590F2F">
        <w:rPr>
          <w:b/>
          <w:noProof/>
          <w:sz w:val="28"/>
          <w:szCs w:val="28"/>
        </w:rPr>
        <w:lastRenderedPageBreak/>
        <w:drawing>
          <wp:inline distT="0" distB="0" distL="0" distR="0">
            <wp:extent cx="6123414" cy="2600696"/>
            <wp:effectExtent l="0" t="0" r="0" b="317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9718" cy="2603373"/>
                    </a:xfrm>
                    <a:prstGeom prst="rect">
                      <a:avLst/>
                    </a:prstGeom>
                  </pic:spPr>
                </pic:pic>
              </a:graphicData>
            </a:graphic>
          </wp:inline>
        </w:drawing>
      </w:r>
    </w:p>
    <w:p w:rsidR="008068FF" w:rsidRPr="00590F2F" w:rsidRDefault="008068FF" w:rsidP="0098461F">
      <w:pPr>
        <w:jc w:val="both"/>
        <w:rPr>
          <w:b/>
          <w:sz w:val="28"/>
          <w:szCs w:val="28"/>
        </w:rPr>
      </w:pPr>
    </w:p>
    <w:p w:rsidR="000E394C" w:rsidRDefault="000E394C" w:rsidP="000E394C">
      <w:pPr>
        <w:jc w:val="both"/>
        <w:rPr>
          <w:bCs/>
        </w:rPr>
      </w:pPr>
      <w:r w:rsidRPr="00590F2F">
        <w:rPr>
          <w:b/>
        </w:rPr>
        <w:t>Supplementary Fig</w:t>
      </w:r>
      <w:r>
        <w:rPr>
          <w:b/>
        </w:rPr>
        <w:t xml:space="preserve">. </w:t>
      </w:r>
      <w:r w:rsidR="006A685B">
        <w:rPr>
          <w:b/>
        </w:rPr>
        <w:t xml:space="preserve">9 </w:t>
      </w:r>
      <w:r>
        <w:rPr>
          <w:b/>
        </w:rPr>
        <w:t xml:space="preserve">| Validation trade allocation algorithm. </w:t>
      </w:r>
      <w:r>
        <w:rPr>
          <w:bCs/>
        </w:rPr>
        <w:t xml:space="preserve">Validation plots showing the actual distribution of trade over the ports in a country and the predicted distribution based on the trade allocation algorithm. This is based on detailed port-level, sector-specific, trade flows which were available for five countries; United Kingdom, New Zealand, Japan, Brazil, United States. The top panel represent imports, whereas the bottom panel represent exports. </w:t>
      </w:r>
    </w:p>
    <w:p w:rsidR="008068FF" w:rsidRDefault="008068FF" w:rsidP="0098461F">
      <w:pPr>
        <w:jc w:val="both"/>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224AEA" w:rsidRDefault="00224AEA" w:rsidP="005312DE">
      <w:pPr>
        <w:rPr>
          <w:b/>
          <w:sz w:val="28"/>
          <w:szCs w:val="28"/>
        </w:rPr>
      </w:pPr>
    </w:p>
    <w:p w:rsidR="00187EFD" w:rsidRDefault="00187EFD" w:rsidP="005312DE">
      <w:pPr>
        <w:rPr>
          <w:b/>
          <w:sz w:val="28"/>
          <w:szCs w:val="28"/>
        </w:rPr>
      </w:pPr>
    </w:p>
    <w:p w:rsidR="00187EFD" w:rsidRDefault="00187EFD" w:rsidP="005312DE">
      <w:pPr>
        <w:rPr>
          <w:b/>
          <w:sz w:val="28"/>
          <w:szCs w:val="28"/>
        </w:rPr>
      </w:pPr>
    </w:p>
    <w:p w:rsidR="00895368" w:rsidRPr="00590F2F" w:rsidRDefault="00895368" w:rsidP="005312DE">
      <w:pPr>
        <w:rPr>
          <w:b/>
          <w:sz w:val="28"/>
          <w:szCs w:val="28"/>
        </w:rPr>
      </w:pPr>
      <w:r w:rsidRPr="00590F2F">
        <w:rPr>
          <w:b/>
          <w:sz w:val="28"/>
          <w:szCs w:val="28"/>
        </w:rPr>
        <w:lastRenderedPageBreak/>
        <w:t>Supplementary Tables</w:t>
      </w:r>
    </w:p>
    <w:p w:rsidR="008068FF" w:rsidRDefault="008068FF" w:rsidP="0098461F">
      <w:pPr>
        <w:jc w:val="both"/>
        <w:rPr>
          <w:b/>
          <w:sz w:val="28"/>
          <w:szCs w:val="28"/>
        </w:rPr>
      </w:pPr>
    </w:p>
    <w:p w:rsidR="00CF5B72" w:rsidRDefault="00CF5B72" w:rsidP="0098461F">
      <w:pPr>
        <w:jc w:val="both"/>
        <w:rPr>
          <w:b/>
          <w:sz w:val="28"/>
          <w:szCs w:val="28"/>
        </w:rPr>
      </w:pPr>
    </w:p>
    <w:p w:rsidR="00CF5B72" w:rsidRDefault="00CF5B72" w:rsidP="0098461F">
      <w:pPr>
        <w:jc w:val="both"/>
        <w:rPr>
          <w:b/>
          <w:sz w:val="28"/>
          <w:szCs w:val="28"/>
        </w:rPr>
      </w:pPr>
    </w:p>
    <w:p w:rsidR="005D02F0" w:rsidRDefault="005D02F0" w:rsidP="0098461F">
      <w:pPr>
        <w:jc w:val="both"/>
        <w:rPr>
          <w:b/>
        </w:rPr>
      </w:pPr>
      <w:r w:rsidRPr="00590F2F">
        <w:rPr>
          <w:b/>
        </w:rPr>
        <w:t xml:space="preserve">Supplementary Table </w:t>
      </w:r>
      <w:r w:rsidR="001733CB">
        <w:rPr>
          <w:b/>
        </w:rPr>
        <w:t>1</w:t>
      </w:r>
      <w:r w:rsidR="000E394C">
        <w:rPr>
          <w:b/>
        </w:rPr>
        <w:t xml:space="preserve"> | Overview of </w:t>
      </w:r>
      <w:r w:rsidR="002D3535">
        <w:rPr>
          <w:b/>
        </w:rPr>
        <w:t>economic sectors used in this study.</w:t>
      </w:r>
    </w:p>
    <w:p w:rsidR="005D02F0" w:rsidRDefault="005D02F0" w:rsidP="0098461F">
      <w:pPr>
        <w:jc w:val="both"/>
        <w:rPr>
          <w:b/>
          <w:sz w:val="28"/>
          <w:szCs w:val="28"/>
        </w:rPr>
      </w:pPr>
    </w:p>
    <w:tbl>
      <w:tblPr>
        <w:tblW w:w="9912" w:type="dxa"/>
        <w:tblLook w:val="04A0" w:firstRow="1" w:lastRow="0" w:firstColumn="1" w:lastColumn="0" w:noHBand="0" w:noVBand="1"/>
      </w:tblPr>
      <w:tblGrid>
        <w:gridCol w:w="1985"/>
        <w:gridCol w:w="7927"/>
      </w:tblGrid>
      <w:tr w:rsidR="005D02F0" w:rsidTr="005D02F0">
        <w:trPr>
          <w:trHeight w:val="320"/>
        </w:trPr>
        <w:tc>
          <w:tcPr>
            <w:tcW w:w="1985" w:type="dxa"/>
            <w:tcBorders>
              <w:top w:val="single" w:sz="4" w:space="0" w:color="auto"/>
              <w:left w:val="nil"/>
              <w:bottom w:val="single" w:sz="4" w:space="0" w:color="auto"/>
              <w:right w:val="nil"/>
            </w:tcBorders>
            <w:shd w:val="clear" w:color="auto" w:fill="auto"/>
            <w:noWrap/>
            <w:vAlign w:val="bottom"/>
            <w:hideMark/>
          </w:tcPr>
          <w:p w:rsidR="005D02F0" w:rsidRPr="005D02F0" w:rsidRDefault="005D02F0">
            <w:pPr>
              <w:rPr>
                <w:color w:val="000000"/>
              </w:rPr>
            </w:pPr>
            <w:r w:rsidRPr="005D02F0">
              <w:rPr>
                <w:color w:val="000000"/>
              </w:rPr>
              <w:t>Sector number</w:t>
            </w:r>
          </w:p>
        </w:tc>
        <w:tc>
          <w:tcPr>
            <w:tcW w:w="7927" w:type="dxa"/>
            <w:tcBorders>
              <w:top w:val="single" w:sz="4" w:space="0" w:color="auto"/>
              <w:left w:val="nil"/>
              <w:bottom w:val="single" w:sz="4" w:space="0" w:color="auto"/>
              <w:right w:val="nil"/>
            </w:tcBorders>
            <w:shd w:val="clear" w:color="auto" w:fill="auto"/>
            <w:noWrap/>
            <w:vAlign w:val="bottom"/>
            <w:hideMark/>
          </w:tcPr>
          <w:p w:rsidR="005D02F0" w:rsidRPr="005D02F0" w:rsidRDefault="005D02F0">
            <w:pPr>
              <w:rPr>
                <w:color w:val="000000"/>
              </w:rPr>
            </w:pPr>
            <w:r w:rsidRPr="005D02F0">
              <w:rPr>
                <w:color w:val="000000"/>
              </w:rPr>
              <w:t>Description</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1</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Agriculture</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2</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Fishing</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3</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Mining and Quarrying</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4</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Food &amp; Beverages</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5</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Textiles and Wearing Apparel</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6</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Wood and Paper</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7</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Petroleum, Chemical and Non-Metallic Mineral Products</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8</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Metal Products</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9</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Electrical and Machinery</w:t>
            </w:r>
          </w:p>
        </w:tc>
      </w:tr>
      <w:tr w:rsidR="005D02F0" w:rsidTr="005D02F0">
        <w:trPr>
          <w:trHeight w:val="320"/>
        </w:trPr>
        <w:tc>
          <w:tcPr>
            <w:tcW w:w="1985" w:type="dxa"/>
            <w:tcBorders>
              <w:top w:val="nil"/>
              <w:left w:val="nil"/>
              <w:bottom w:val="nil"/>
              <w:right w:val="nil"/>
            </w:tcBorders>
            <w:shd w:val="clear" w:color="auto" w:fill="auto"/>
            <w:noWrap/>
            <w:vAlign w:val="center"/>
            <w:hideMark/>
          </w:tcPr>
          <w:p w:rsidR="005D02F0" w:rsidRDefault="005D02F0">
            <w:pPr>
              <w:jc w:val="center"/>
              <w:rPr>
                <w:color w:val="000000"/>
              </w:rPr>
            </w:pPr>
            <w:r>
              <w:rPr>
                <w:color w:val="000000"/>
              </w:rPr>
              <w:t>10</w:t>
            </w:r>
          </w:p>
        </w:tc>
        <w:tc>
          <w:tcPr>
            <w:tcW w:w="7927" w:type="dxa"/>
            <w:tcBorders>
              <w:top w:val="nil"/>
              <w:left w:val="nil"/>
              <w:bottom w:val="nil"/>
              <w:right w:val="nil"/>
            </w:tcBorders>
            <w:shd w:val="clear" w:color="auto" w:fill="auto"/>
            <w:noWrap/>
            <w:vAlign w:val="bottom"/>
            <w:hideMark/>
          </w:tcPr>
          <w:p w:rsidR="005D02F0" w:rsidRDefault="005D02F0">
            <w:pPr>
              <w:rPr>
                <w:color w:val="000000"/>
              </w:rPr>
            </w:pPr>
            <w:r>
              <w:rPr>
                <w:color w:val="000000"/>
              </w:rPr>
              <w:t>Transport Equipment</w:t>
            </w:r>
          </w:p>
        </w:tc>
      </w:tr>
      <w:tr w:rsidR="005D02F0" w:rsidTr="005D02F0">
        <w:trPr>
          <w:trHeight w:val="320"/>
        </w:trPr>
        <w:tc>
          <w:tcPr>
            <w:tcW w:w="1985" w:type="dxa"/>
            <w:tcBorders>
              <w:top w:val="nil"/>
              <w:left w:val="nil"/>
              <w:bottom w:val="single" w:sz="4" w:space="0" w:color="auto"/>
              <w:right w:val="nil"/>
            </w:tcBorders>
            <w:shd w:val="clear" w:color="auto" w:fill="auto"/>
            <w:noWrap/>
            <w:vAlign w:val="center"/>
            <w:hideMark/>
          </w:tcPr>
          <w:p w:rsidR="005D02F0" w:rsidRDefault="005D02F0">
            <w:pPr>
              <w:jc w:val="center"/>
              <w:rPr>
                <w:color w:val="000000"/>
              </w:rPr>
            </w:pPr>
            <w:r>
              <w:rPr>
                <w:color w:val="000000"/>
              </w:rPr>
              <w:t>11</w:t>
            </w:r>
          </w:p>
        </w:tc>
        <w:tc>
          <w:tcPr>
            <w:tcW w:w="7927" w:type="dxa"/>
            <w:tcBorders>
              <w:top w:val="nil"/>
              <w:left w:val="nil"/>
              <w:bottom w:val="single" w:sz="4" w:space="0" w:color="auto"/>
              <w:right w:val="nil"/>
            </w:tcBorders>
            <w:shd w:val="clear" w:color="auto" w:fill="auto"/>
            <w:noWrap/>
            <w:vAlign w:val="bottom"/>
            <w:hideMark/>
          </w:tcPr>
          <w:p w:rsidR="005D02F0" w:rsidRDefault="005D02F0">
            <w:pPr>
              <w:rPr>
                <w:color w:val="000000"/>
              </w:rPr>
            </w:pPr>
            <w:r>
              <w:rPr>
                <w:color w:val="000000"/>
              </w:rPr>
              <w:t>Other Manufacturing</w:t>
            </w:r>
          </w:p>
        </w:tc>
      </w:tr>
    </w:tbl>
    <w:p w:rsidR="005D02F0" w:rsidRDefault="005D02F0" w:rsidP="0098461F">
      <w:pPr>
        <w:jc w:val="both"/>
        <w:rPr>
          <w:b/>
          <w:sz w:val="28"/>
          <w:szCs w:val="28"/>
        </w:rPr>
      </w:pPr>
    </w:p>
    <w:p w:rsidR="005D02F0" w:rsidRDefault="005D02F0" w:rsidP="0098461F">
      <w:pPr>
        <w:jc w:val="both"/>
        <w:rPr>
          <w:b/>
          <w:sz w:val="28"/>
          <w:szCs w:val="28"/>
        </w:rPr>
      </w:pPr>
    </w:p>
    <w:p w:rsidR="00745207" w:rsidRDefault="00745207" w:rsidP="0098461F">
      <w:pPr>
        <w:jc w:val="both"/>
        <w:rPr>
          <w:b/>
          <w:sz w:val="28"/>
          <w:szCs w:val="28"/>
        </w:rPr>
      </w:pPr>
    </w:p>
    <w:p w:rsidR="00EE2DD6" w:rsidRPr="002D3535" w:rsidRDefault="00EE2DD6" w:rsidP="00EE2DD6">
      <w:pPr>
        <w:jc w:val="both"/>
        <w:rPr>
          <w:bCs/>
        </w:rPr>
      </w:pPr>
      <w:r w:rsidRPr="00590F2F">
        <w:rPr>
          <w:b/>
        </w:rPr>
        <w:t xml:space="preserve">Supplementary Table </w:t>
      </w:r>
      <w:r w:rsidR="001733CB">
        <w:rPr>
          <w:b/>
        </w:rPr>
        <w:t>2</w:t>
      </w:r>
      <w:r w:rsidRPr="00590F2F">
        <w:rPr>
          <w:b/>
        </w:rPr>
        <w:t xml:space="preserve"> </w:t>
      </w:r>
      <w:r w:rsidR="002D3535">
        <w:rPr>
          <w:b/>
        </w:rPr>
        <w:t>| Overview of the trade inequality in port-level trade</w:t>
      </w:r>
      <w:r w:rsidR="00AF5E06">
        <w:rPr>
          <w:b/>
        </w:rPr>
        <w:t>, representing</w:t>
      </w:r>
      <w:r w:rsidR="002D3535">
        <w:rPr>
          <w:b/>
        </w:rPr>
        <w:t xml:space="preserve"> </w:t>
      </w:r>
      <w:r w:rsidR="00AF5E06" w:rsidRPr="00AF5E06">
        <w:rPr>
          <w:b/>
        </w:rPr>
        <w:t>t</w:t>
      </w:r>
      <w:r w:rsidR="002D3535" w:rsidRPr="00AF5E06">
        <w:rPr>
          <w:b/>
        </w:rPr>
        <w:t>he number of ports (out of the 1176 ports) that contribute to 10%, 50% and 90% of trade (imports and exports).</w:t>
      </w:r>
      <w:r w:rsidR="002D3535">
        <w:rPr>
          <w:bCs/>
        </w:rPr>
        <w:t xml:space="preserve"> </w:t>
      </w:r>
    </w:p>
    <w:p w:rsidR="00EE2DD6" w:rsidRDefault="00EE2DD6" w:rsidP="00EE2DD6">
      <w:pPr>
        <w:jc w:val="both"/>
        <w:rPr>
          <w:b/>
          <w:sz w:val="28"/>
          <w:szCs w:val="28"/>
        </w:rPr>
      </w:pPr>
    </w:p>
    <w:tbl>
      <w:tblPr>
        <w:tblW w:w="9380" w:type="dxa"/>
        <w:tblLook w:val="04A0" w:firstRow="1" w:lastRow="0" w:firstColumn="1" w:lastColumn="0" w:noHBand="0" w:noVBand="1"/>
      </w:tblPr>
      <w:tblGrid>
        <w:gridCol w:w="1300"/>
        <w:gridCol w:w="1300"/>
        <w:gridCol w:w="1300"/>
        <w:gridCol w:w="1300"/>
        <w:gridCol w:w="280"/>
        <w:gridCol w:w="1300"/>
        <w:gridCol w:w="1300"/>
        <w:gridCol w:w="1300"/>
      </w:tblGrid>
      <w:tr w:rsidR="00EE2DD6" w:rsidRPr="00EE2DD6" w:rsidTr="000259D5">
        <w:trPr>
          <w:trHeight w:val="320"/>
        </w:trPr>
        <w:tc>
          <w:tcPr>
            <w:tcW w:w="1300" w:type="dxa"/>
            <w:tcBorders>
              <w:top w:val="single" w:sz="4" w:space="0" w:color="auto"/>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 </w:t>
            </w:r>
          </w:p>
        </w:tc>
        <w:tc>
          <w:tcPr>
            <w:tcW w:w="3900" w:type="dxa"/>
            <w:gridSpan w:val="3"/>
            <w:tcBorders>
              <w:top w:val="single" w:sz="4" w:space="0" w:color="auto"/>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Import</w:t>
            </w:r>
          </w:p>
        </w:tc>
        <w:tc>
          <w:tcPr>
            <w:tcW w:w="280" w:type="dxa"/>
            <w:tcBorders>
              <w:top w:val="single" w:sz="4" w:space="0" w:color="auto"/>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 </w:t>
            </w:r>
          </w:p>
        </w:tc>
        <w:tc>
          <w:tcPr>
            <w:tcW w:w="3900" w:type="dxa"/>
            <w:gridSpan w:val="3"/>
            <w:tcBorders>
              <w:top w:val="single" w:sz="4" w:space="0" w:color="auto"/>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Export</w:t>
            </w:r>
          </w:p>
        </w:tc>
      </w:tr>
      <w:tr w:rsidR="00EE2DD6" w:rsidRPr="00EE2DD6" w:rsidTr="000259D5">
        <w:trPr>
          <w:trHeight w:val="320"/>
        </w:trPr>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rPr>
                <w:color w:val="000000"/>
              </w:rPr>
            </w:pPr>
            <w:r w:rsidRPr="00EE2DD6">
              <w:rPr>
                <w:color w:val="000000"/>
              </w:rPr>
              <w:t>Sector</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2D3535" w:rsidP="000259D5">
            <w:pPr>
              <w:jc w:val="center"/>
              <w:rPr>
                <w:color w:val="000000"/>
              </w:rPr>
            </w:pPr>
            <w:r>
              <w:rPr>
                <w:color w:val="000000"/>
              </w:rPr>
              <w:t>90</w:t>
            </w:r>
            <w:r w:rsidR="00EE2DD6" w:rsidRPr="00EE2DD6">
              <w:rPr>
                <w:color w:val="000000"/>
              </w:rPr>
              <w:t>%</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50%</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2D3535" w:rsidP="000259D5">
            <w:pPr>
              <w:jc w:val="center"/>
              <w:rPr>
                <w:color w:val="000000"/>
              </w:rPr>
            </w:pPr>
            <w:r>
              <w:rPr>
                <w:color w:val="000000"/>
              </w:rPr>
              <w:t>10</w:t>
            </w:r>
            <w:r w:rsidR="00EE2DD6" w:rsidRPr="00EE2DD6">
              <w:rPr>
                <w:color w:val="000000"/>
              </w:rPr>
              <w:t>%</w:t>
            </w:r>
          </w:p>
        </w:tc>
        <w:tc>
          <w:tcPr>
            <w:tcW w:w="28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 </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2D3535" w:rsidP="000259D5">
            <w:pPr>
              <w:jc w:val="center"/>
              <w:rPr>
                <w:color w:val="000000"/>
              </w:rPr>
            </w:pPr>
            <w:r>
              <w:rPr>
                <w:color w:val="000000"/>
              </w:rPr>
              <w:t>90</w:t>
            </w:r>
            <w:r w:rsidR="00EE2DD6" w:rsidRPr="00EE2DD6">
              <w:rPr>
                <w:color w:val="000000"/>
              </w:rPr>
              <w:t>%</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50%</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2D3535" w:rsidP="000259D5">
            <w:pPr>
              <w:jc w:val="center"/>
              <w:rPr>
                <w:color w:val="000000"/>
              </w:rPr>
            </w:pPr>
            <w:r>
              <w:rPr>
                <w:color w:val="000000"/>
              </w:rPr>
              <w:t>10</w:t>
            </w:r>
            <w:r w:rsidR="00EE2DD6" w:rsidRPr="00EE2DD6">
              <w:rPr>
                <w:color w:val="000000"/>
              </w:rPr>
              <w:t>%</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1</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289</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241</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43</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2</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203</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30</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202</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28</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3</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191</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39</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140</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20</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4</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342</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64</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276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55</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5</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185</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33</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90</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7</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306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238</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39</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7</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342</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63</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238</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8</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326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59</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266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37</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9</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237</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32</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134</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14</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w:t>
            </w:r>
          </w:p>
        </w:tc>
      </w:tr>
      <w:tr w:rsidR="00EE2DD6" w:rsidRPr="00EE2DD6" w:rsidTr="000259D5">
        <w:trPr>
          <w:trHeight w:val="320"/>
        </w:trPr>
        <w:tc>
          <w:tcPr>
            <w:tcW w:w="1300" w:type="dxa"/>
            <w:tcBorders>
              <w:top w:val="nil"/>
              <w:left w:val="nil"/>
              <w:bottom w:val="nil"/>
              <w:right w:val="nil"/>
            </w:tcBorders>
            <w:shd w:val="clear" w:color="auto" w:fill="auto"/>
            <w:noWrap/>
            <w:vAlign w:val="bottom"/>
            <w:hideMark/>
          </w:tcPr>
          <w:p w:rsidR="00EE2DD6" w:rsidRPr="00EE2DD6" w:rsidRDefault="00EE2DD6" w:rsidP="000259D5">
            <w:pPr>
              <w:rPr>
                <w:color w:val="000000"/>
              </w:rPr>
            </w:pPr>
            <w:r w:rsidRPr="00EE2DD6">
              <w:rPr>
                <w:color w:val="000000"/>
              </w:rPr>
              <w:t>10</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306</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54</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w:t>
            </w:r>
          </w:p>
        </w:tc>
        <w:tc>
          <w:tcPr>
            <w:tcW w:w="28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185</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22</w:t>
            </w:r>
          </w:p>
        </w:tc>
        <w:tc>
          <w:tcPr>
            <w:tcW w:w="1300" w:type="dxa"/>
            <w:tcBorders>
              <w:top w:val="nil"/>
              <w:left w:val="nil"/>
              <w:bottom w:val="nil"/>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w:t>
            </w:r>
          </w:p>
        </w:tc>
      </w:tr>
      <w:tr w:rsidR="00EE2DD6" w:rsidRPr="00EE2DD6" w:rsidTr="000259D5">
        <w:trPr>
          <w:trHeight w:val="320"/>
        </w:trPr>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rPr>
                <w:color w:val="000000"/>
              </w:rPr>
            </w:pPr>
            <w:r w:rsidRPr="00EE2DD6">
              <w:rPr>
                <w:color w:val="000000"/>
              </w:rPr>
              <w:t>11</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170</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25</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w:t>
            </w:r>
          </w:p>
        </w:tc>
        <w:tc>
          <w:tcPr>
            <w:tcW w:w="28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 </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90</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6</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1</w:t>
            </w:r>
          </w:p>
        </w:tc>
      </w:tr>
      <w:tr w:rsidR="00EE2DD6" w:rsidRPr="00EE2DD6" w:rsidTr="000259D5">
        <w:trPr>
          <w:trHeight w:val="320"/>
        </w:trPr>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rPr>
                <w:color w:val="000000"/>
              </w:rPr>
            </w:pPr>
            <w:r w:rsidRPr="00EE2DD6">
              <w:rPr>
                <w:color w:val="000000"/>
              </w:rPr>
              <w:t>Total</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400</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74</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w:t>
            </w:r>
          </w:p>
        </w:tc>
        <w:tc>
          <w:tcPr>
            <w:tcW w:w="28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 </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338</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57</w:t>
            </w:r>
          </w:p>
        </w:tc>
        <w:tc>
          <w:tcPr>
            <w:tcW w:w="1300" w:type="dxa"/>
            <w:tcBorders>
              <w:top w:val="nil"/>
              <w:left w:val="nil"/>
              <w:bottom w:val="single" w:sz="4" w:space="0" w:color="auto"/>
              <w:right w:val="nil"/>
            </w:tcBorders>
            <w:shd w:val="clear" w:color="auto" w:fill="auto"/>
            <w:noWrap/>
            <w:vAlign w:val="bottom"/>
            <w:hideMark/>
          </w:tcPr>
          <w:p w:rsidR="00EE2DD6" w:rsidRPr="00EE2DD6" w:rsidRDefault="00EE2DD6" w:rsidP="000259D5">
            <w:pPr>
              <w:jc w:val="center"/>
              <w:rPr>
                <w:color w:val="000000"/>
              </w:rPr>
            </w:pPr>
            <w:r w:rsidRPr="00EE2DD6">
              <w:rPr>
                <w:color w:val="000000"/>
              </w:rPr>
              <w:t>4</w:t>
            </w:r>
          </w:p>
        </w:tc>
      </w:tr>
    </w:tbl>
    <w:p w:rsidR="00745207" w:rsidRDefault="00745207"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5312DE" w:rsidRDefault="005312DE" w:rsidP="0098461F">
      <w:pPr>
        <w:jc w:val="both"/>
        <w:rPr>
          <w:b/>
          <w:sz w:val="28"/>
          <w:szCs w:val="28"/>
        </w:rPr>
      </w:pPr>
    </w:p>
    <w:p w:rsidR="00745207" w:rsidRPr="00590F2F" w:rsidRDefault="00745207" w:rsidP="0098461F">
      <w:pPr>
        <w:jc w:val="both"/>
        <w:rPr>
          <w:b/>
          <w:sz w:val="28"/>
          <w:szCs w:val="28"/>
        </w:rPr>
      </w:pPr>
    </w:p>
    <w:p w:rsidR="008068FF" w:rsidRPr="00590F2F" w:rsidRDefault="008068FF" w:rsidP="008068FF">
      <w:pPr>
        <w:jc w:val="both"/>
        <w:rPr>
          <w:b/>
        </w:rPr>
      </w:pPr>
      <w:r w:rsidRPr="00590F2F">
        <w:rPr>
          <w:b/>
        </w:rPr>
        <w:t xml:space="preserve">Supplementary Table </w:t>
      </w:r>
      <w:r w:rsidR="001733CB">
        <w:rPr>
          <w:b/>
        </w:rPr>
        <w:t>3</w:t>
      </w:r>
      <w:r w:rsidR="00E62700">
        <w:rPr>
          <w:b/>
        </w:rPr>
        <w:t xml:space="preserve"> | Modelling assumptions adopted in the modal split model.</w:t>
      </w:r>
    </w:p>
    <w:p w:rsidR="008068FF" w:rsidRPr="00590F2F" w:rsidRDefault="008068FF" w:rsidP="0098461F">
      <w:pPr>
        <w:jc w:val="both"/>
        <w:rPr>
          <w:b/>
          <w:sz w:val="28"/>
          <w:szCs w:val="28"/>
        </w:rPr>
      </w:pPr>
    </w:p>
    <w:tbl>
      <w:tblPr>
        <w:tblW w:w="8789" w:type="dxa"/>
        <w:tblLook w:val="04A0" w:firstRow="1" w:lastRow="0" w:firstColumn="1" w:lastColumn="0" w:noHBand="0" w:noVBand="1"/>
      </w:tblPr>
      <w:tblGrid>
        <w:gridCol w:w="1300"/>
        <w:gridCol w:w="3460"/>
        <w:gridCol w:w="2044"/>
        <w:gridCol w:w="1985"/>
      </w:tblGrid>
      <w:tr w:rsidR="004654AB" w:rsidRPr="00590F2F" w:rsidTr="005D02F0">
        <w:trPr>
          <w:trHeight w:val="320"/>
        </w:trPr>
        <w:tc>
          <w:tcPr>
            <w:tcW w:w="1300" w:type="dxa"/>
            <w:tcBorders>
              <w:top w:val="single" w:sz="4" w:space="0" w:color="auto"/>
              <w:left w:val="nil"/>
              <w:bottom w:val="single" w:sz="4" w:space="0" w:color="auto"/>
              <w:right w:val="nil"/>
            </w:tcBorders>
            <w:shd w:val="clear" w:color="auto" w:fill="auto"/>
            <w:noWrap/>
            <w:vAlign w:val="bottom"/>
            <w:hideMark/>
          </w:tcPr>
          <w:p w:rsidR="004654AB" w:rsidRPr="00590F2F" w:rsidRDefault="004654AB">
            <w:pPr>
              <w:rPr>
                <w:color w:val="000000"/>
              </w:rPr>
            </w:pPr>
            <w:r w:rsidRPr="00590F2F">
              <w:rPr>
                <w:color w:val="000000"/>
              </w:rPr>
              <w:t>Mode</w:t>
            </w:r>
          </w:p>
        </w:tc>
        <w:tc>
          <w:tcPr>
            <w:tcW w:w="3460" w:type="dxa"/>
            <w:tcBorders>
              <w:top w:val="single" w:sz="4" w:space="0" w:color="auto"/>
              <w:left w:val="nil"/>
              <w:bottom w:val="single" w:sz="4" w:space="0" w:color="auto"/>
              <w:right w:val="nil"/>
            </w:tcBorders>
            <w:shd w:val="clear" w:color="auto" w:fill="auto"/>
            <w:noWrap/>
            <w:vAlign w:val="bottom"/>
            <w:hideMark/>
          </w:tcPr>
          <w:p w:rsidR="004654AB" w:rsidRPr="00590F2F" w:rsidRDefault="004654AB">
            <w:pPr>
              <w:rPr>
                <w:color w:val="000000"/>
              </w:rPr>
            </w:pPr>
            <w:r w:rsidRPr="00590F2F">
              <w:rPr>
                <w:color w:val="000000"/>
              </w:rPr>
              <w:t>Parameter</w:t>
            </w:r>
          </w:p>
        </w:tc>
        <w:tc>
          <w:tcPr>
            <w:tcW w:w="2044" w:type="dxa"/>
            <w:tcBorders>
              <w:top w:val="single" w:sz="4" w:space="0" w:color="auto"/>
              <w:left w:val="nil"/>
              <w:bottom w:val="single" w:sz="4" w:space="0" w:color="auto"/>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Group 1 countries</w:t>
            </w:r>
          </w:p>
        </w:tc>
        <w:tc>
          <w:tcPr>
            <w:tcW w:w="1985" w:type="dxa"/>
            <w:tcBorders>
              <w:top w:val="single" w:sz="4" w:space="0" w:color="auto"/>
              <w:left w:val="nil"/>
              <w:bottom w:val="single" w:sz="4" w:space="0" w:color="auto"/>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Group 2 countries</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rPr>
                <w:color w:val="000000"/>
              </w:rPr>
            </w:pPr>
            <w:r w:rsidRPr="00590F2F">
              <w:rPr>
                <w:color w:val="000000"/>
              </w:rPr>
              <w:t xml:space="preserve">Air </w:t>
            </w: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D</w:t>
            </w:r>
            <w:r w:rsidR="004654AB" w:rsidRPr="00590F2F">
              <w:rPr>
                <w:color w:val="000000"/>
              </w:rPr>
              <w:t>well time (h)</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4</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48</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S</w:t>
            </w:r>
            <w:r w:rsidR="004654AB" w:rsidRPr="00590F2F">
              <w:rPr>
                <w:color w:val="000000"/>
              </w:rPr>
              <w:t>peed (km/h)</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750</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750</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T</w:t>
            </w:r>
            <w:r w:rsidR="004654AB" w:rsidRPr="00590F2F">
              <w:rPr>
                <w:color w:val="000000"/>
              </w:rPr>
              <w:t>ranshipment (h)</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18</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18</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4654AB">
            <w:pPr>
              <w:rPr>
                <w:sz w:val="20"/>
                <w:szCs w:val="20"/>
              </w:rPr>
            </w:pP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sz w:val="20"/>
                <w:szCs w:val="20"/>
              </w:rPr>
            </w:pP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sz w:val="20"/>
                <w:szCs w:val="20"/>
              </w:rPr>
            </w:pP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rPr>
                <w:color w:val="000000"/>
              </w:rPr>
            </w:pPr>
            <w:r w:rsidRPr="00590F2F">
              <w:rPr>
                <w:color w:val="000000"/>
              </w:rPr>
              <w:t>Road</w:t>
            </w: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S</w:t>
            </w:r>
            <w:r w:rsidR="004654AB" w:rsidRPr="00590F2F">
              <w:rPr>
                <w:color w:val="000000"/>
              </w:rPr>
              <w:t>peed primary road</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80</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70</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S</w:t>
            </w:r>
            <w:r w:rsidR="004654AB" w:rsidRPr="00590F2F">
              <w:rPr>
                <w:color w:val="000000"/>
              </w:rPr>
              <w:t>peed secondary road</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65</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55</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S</w:t>
            </w:r>
            <w:r w:rsidR="004654AB" w:rsidRPr="00590F2F">
              <w:rPr>
                <w:color w:val="000000"/>
              </w:rPr>
              <w:t>peed beltway/national road</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40</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30</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S</w:t>
            </w:r>
            <w:r w:rsidR="004654AB" w:rsidRPr="00590F2F">
              <w:rPr>
                <w:color w:val="000000"/>
              </w:rPr>
              <w:t>peed tracks/unpaved roads</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10</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5</w:t>
            </w: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jc w:val="right"/>
              <w:rPr>
                <w:color w:val="000000"/>
              </w:rPr>
            </w:pPr>
          </w:p>
        </w:tc>
        <w:tc>
          <w:tcPr>
            <w:tcW w:w="3460" w:type="dxa"/>
            <w:tcBorders>
              <w:top w:val="nil"/>
              <w:left w:val="nil"/>
              <w:bottom w:val="nil"/>
              <w:right w:val="nil"/>
            </w:tcBorders>
            <w:shd w:val="clear" w:color="auto" w:fill="auto"/>
            <w:noWrap/>
            <w:vAlign w:val="bottom"/>
            <w:hideMark/>
          </w:tcPr>
          <w:p w:rsidR="004654AB" w:rsidRPr="00590F2F" w:rsidRDefault="004654AB">
            <w:pPr>
              <w:rPr>
                <w:sz w:val="20"/>
                <w:szCs w:val="20"/>
              </w:rPr>
            </w:pP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sz w:val="20"/>
                <w:szCs w:val="20"/>
              </w:rPr>
            </w:pP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sz w:val="20"/>
                <w:szCs w:val="20"/>
              </w:rPr>
            </w:pPr>
          </w:p>
        </w:tc>
      </w:tr>
      <w:tr w:rsidR="004654AB" w:rsidRPr="00590F2F" w:rsidTr="005D02F0">
        <w:trPr>
          <w:trHeight w:val="320"/>
        </w:trPr>
        <w:tc>
          <w:tcPr>
            <w:tcW w:w="1300" w:type="dxa"/>
            <w:tcBorders>
              <w:top w:val="nil"/>
              <w:left w:val="nil"/>
              <w:bottom w:val="nil"/>
              <w:right w:val="nil"/>
            </w:tcBorders>
            <w:shd w:val="clear" w:color="auto" w:fill="auto"/>
            <w:noWrap/>
            <w:vAlign w:val="bottom"/>
            <w:hideMark/>
          </w:tcPr>
          <w:p w:rsidR="004654AB" w:rsidRPr="00590F2F" w:rsidRDefault="004654AB">
            <w:pPr>
              <w:rPr>
                <w:color w:val="000000"/>
              </w:rPr>
            </w:pPr>
            <w:r w:rsidRPr="00590F2F">
              <w:rPr>
                <w:color w:val="000000"/>
              </w:rPr>
              <w:t>Maritime</w:t>
            </w:r>
          </w:p>
        </w:tc>
        <w:tc>
          <w:tcPr>
            <w:tcW w:w="3460" w:type="dxa"/>
            <w:tcBorders>
              <w:top w:val="nil"/>
              <w:left w:val="nil"/>
              <w:bottom w:val="nil"/>
              <w:right w:val="nil"/>
            </w:tcBorders>
            <w:shd w:val="clear" w:color="auto" w:fill="auto"/>
            <w:noWrap/>
            <w:vAlign w:val="bottom"/>
            <w:hideMark/>
          </w:tcPr>
          <w:p w:rsidR="004654AB" w:rsidRPr="00590F2F" w:rsidRDefault="00590F2F">
            <w:pPr>
              <w:rPr>
                <w:color w:val="000000"/>
              </w:rPr>
            </w:pPr>
            <w:r w:rsidRPr="00590F2F">
              <w:rPr>
                <w:color w:val="000000"/>
              </w:rPr>
              <w:t>T</w:t>
            </w:r>
            <w:r w:rsidR="004654AB" w:rsidRPr="00590F2F">
              <w:rPr>
                <w:color w:val="000000"/>
              </w:rPr>
              <w:t>ranshipment (h)</w:t>
            </w:r>
          </w:p>
        </w:tc>
        <w:tc>
          <w:tcPr>
            <w:tcW w:w="2044"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48</w:t>
            </w:r>
          </w:p>
        </w:tc>
        <w:tc>
          <w:tcPr>
            <w:tcW w:w="1985" w:type="dxa"/>
            <w:tcBorders>
              <w:top w:val="nil"/>
              <w:left w:val="nil"/>
              <w:bottom w:val="nil"/>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48</w:t>
            </w:r>
          </w:p>
        </w:tc>
      </w:tr>
      <w:tr w:rsidR="004654AB" w:rsidRPr="00590F2F" w:rsidTr="005D02F0">
        <w:trPr>
          <w:trHeight w:val="320"/>
        </w:trPr>
        <w:tc>
          <w:tcPr>
            <w:tcW w:w="1300" w:type="dxa"/>
            <w:tcBorders>
              <w:top w:val="nil"/>
              <w:left w:val="nil"/>
              <w:bottom w:val="single" w:sz="4" w:space="0" w:color="auto"/>
              <w:right w:val="nil"/>
            </w:tcBorders>
            <w:shd w:val="clear" w:color="auto" w:fill="auto"/>
            <w:noWrap/>
            <w:vAlign w:val="bottom"/>
            <w:hideMark/>
          </w:tcPr>
          <w:p w:rsidR="004654AB" w:rsidRPr="00590F2F" w:rsidRDefault="004654AB">
            <w:pPr>
              <w:rPr>
                <w:color w:val="000000"/>
              </w:rPr>
            </w:pPr>
            <w:r w:rsidRPr="00590F2F">
              <w:rPr>
                <w:color w:val="000000"/>
              </w:rPr>
              <w:t> </w:t>
            </w:r>
          </w:p>
        </w:tc>
        <w:tc>
          <w:tcPr>
            <w:tcW w:w="3460" w:type="dxa"/>
            <w:tcBorders>
              <w:top w:val="nil"/>
              <w:left w:val="nil"/>
              <w:bottom w:val="single" w:sz="4" w:space="0" w:color="auto"/>
              <w:right w:val="nil"/>
            </w:tcBorders>
            <w:shd w:val="clear" w:color="auto" w:fill="auto"/>
            <w:noWrap/>
            <w:vAlign w:val="bottom"/>
            <w:hideMark/>
          </w:tcPr>
          <w:p w:rsidR="004654AB" w:rsidRPr="00590F2F" w:rsidRDefault="00590F2F">
            <w:pPr>
              <w:rPr>
                <w:color w:val="000000"/>
              </w:rPr>
            </w:pPr>
            <w:r w:rsidRPr="00590F2F">
              <w:rPr>
                <w:color w:val="000000"/>
              </w:rPr>
              <w:t>D</w:t>
            </w:r>
            <w:r w:rsidR="004654AB" w:rsidRPr="00590F2F">
              <w:rPr>
                <w:color w:val="000000"/>
              </w:rPr>
              <w:t>well time</w:t>
            </w:r>
          </w:p>
        </w:tc>
        <w:tc>
          <w:tcPr>
            <w:tcW w:w="2044" w:type="dxa"/>
            <w:tcBorders>
              <w:top w:val="nil"/>
              <w:left w:val="nil"/>
              <w:bottom w:val="single" w:sz="4" w:space="0" w:color="auto"/>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48</w:t>
            </w:r>
          </w:p>
        </w:tc>
        <w:tc>
          <w:tcPr>
            <w:tcW w:w="1985" w:type="dxa"/>
            <w:tcBorders>
              <w:top w:val="nil"/>
              <w:left w:val="nil"/>
              <w:bottom w:val="single" w:sz="4" w:space="0" w:color="auto"/>
              <w:right w:val="nil"/>
            </w:tcBorders>
            <w:shd w:val="clear" w:color="auto" w:fill="auto"/>
            <w:noWrap/>
            <w:vAlign w:val="bottom"/>
            <w:hideMark/>
          </w:tcPr>
          <w:p w:rsidR="004654AB" w:rsidRPr="00590F2F" w:rsidRDefault="004654AB" w:rsidP="00590F2F">
            <w:pPr>
              <w:jc w:val="center"/>
              <w:rPr>
                <w:color w:val="000000"/>
              </w:rPr>
            </w:pPr>
            <w:r w:rsidRPr="00590F2F">
              <w:rPr>
                <w:color w:val="000000"/>
              </w:rPr>
              <w:t>96</w:t>
            </w:r>
          </w:p>
        </w:tc>
      </w:tr>
    </w:tbl>
    <w:p w:rsidR="004654AB" w:rsidRPr="00590F2F" w:rsidRDefault="004654AB" w:rsidP="0098461F">
      <w:pPr>
        <w:jc w:val="both"/>
        <w:rPr>
          <w:b/>
          <w:sz w:val="28"/>
          <w:szCs w:val="28"/>
        </w:rPr>
      </w:pPr>
    </w:p>
    <w:p w:rsidR="00AF5E06" w:rsidRPr="00590F2F" w:rsidRDefault="00AF5E06" w:rsidP="00AF5E06">
      <w:pPr>
        <w:jc w:val="both"/>
        <w:rPr>
          <w:b/>
        </w:rPr>
      </w:pPr>
      <w:r w:rsidRPr="00AF5E06">
        <w:rPr>
          <w:bCs/>
        </w:rPr>
        <w:t>Note:</w:t>
      </w:r>
      <w:r>
        <w:rPr>
          <w:b/>
        </w:rPr>
        <w:t xml:space="preserve"> </w:t>
      </w:r>
      <w:r w:rsidRPr="00E62700">
        <w:rPr>
          <w:bCs/>
        </w:rPr>
        <w:t xml:space="preserve">Group 1 countries include European countries, Japan, Australia, Canada and United States. Group 2 countries include the rest of the world. </w:t>
      </w:r>
    </w:p>
    <w:p w:rsidR="00745207" w:rsidRDefault="00745207" w:rsidP="00590F2F">
      <w:pPr>
        <w:jc w:val="both"/>
        <w:rPr>
          <w:b/>
        </w:rPr>
      </w:pPr>
    </w:p>
    <w:p w:rsidR="00745207" w:rsidRDefault="00745207" w:rsidP="00590F2F">
      <w:pPr>
        <w:jc w:val="both"/>
        <w:rPr>
          <w:b/>
        </w:rPr>
      </w:pPr>
    </w:p>
    <w:p w:rsidR="00745207" w:rsidRDefault="00745207" w:rsidP="00590F2F">
      <w:pPr>
        <w:jc w:val="both"/>
        <w:rPr>
          <w:b/>
        </w:rPr>
      </w:pPr>
    </w:p>
    <w:p w:rsidR="00590F2F" w:rsidRPr="00AF5E06" w:rsidRDefault="00590F2F" w:rsidP="00590F2F">
      <w:pPr>
        <w:jc w:val="both"/>
        <w:rPr>
          <w:b/>
        </w:rPr>
      </w:pPr>
      <w:r w:rsidRPr="00590F2F">
        <w:rPr>
          <w:b/>
        </w:rPr>
        <w:t xml:space="preserve">Supplementary Table </w:t>
      </w:r>
      <w:r w:rsidR="001733CB">
        <w:rPr>
          <w:b/>
        </w:rPr>
        <w:t>4</w:t>
      </w:r>
      <w:r w:rsidRPr="00590F2F">
        <w:rPr>
          <w:b/>
        </w:rPr>
        <w:t xml:space="preserve"> </w:t>
      </w:r>
      <w:r w:rsidR="00E62700">
        <w:rPr>
          <w:b/>
        </w:rPr>
        <w:t>| The distance and time costs used in this study</w:t>
      </w:r>
      <w:r w:rsidR="00E62700">
        <w:rPr>
          <w:bCs/>
        </w:rPr>
        <w:t xml:space="preserve"> </w:t>
      </w:r>
      <w:r w:rsidR="00E62700" w:rsidRPr="00AF5E06">
        <w:rPr>
          <w:b/>
        </w:rPr>
        <w:t xml:space="preserve">after a sensitivity analysis of a range of values. </w:t>
      </w:r>
    </w:p>
    <w:p w:rsidR="00590F2F" w:rsidRPr="00590F2F" w:rsidRDefault="00590F2F" w:rsidP="0098461F">
      <w:pPr>
        <w:jc w:val="both"/>
        <w:rPr>
          <w:b/>
          <w:sz w:val="28"/>
          <w:szCs w:val="28"/>
        </w:rPr>
      </w:pPr>
    </w:p>
    <w:tbl>
      <w:tblPr>
        <w:tblW w:w="6640" w:type="dxa"/>
        <w:tblLook w:val="04A0" w:firstRow="1" w:lastRow="0" w:firstColumn="1" w:lastColumn="0" w:noHBand="0" w:noVBand="1"/>
      </w:tblPr>
      <w:tblGrid>
        <w:gridCol w:w="1300"/>
        <w:gridCol w:w="3460"/>
        <w:gridCol w:w="1880"/>
      </w:tblGrid>
      <w:tr w:rsidR="00590F2F" w:rsidRPr="00590F2F" w:rsidTr="00590F2F">
        <w:trPr>
          <w:trHeight w:val="320"/>
        </w:trPr>
        <w:tc>
          <w:tcPr>
            <w:tcW w:w="1300" w:type="dxa"/>
            <w:tcBorders>
              <w:top w:val="single" w:sz="4" w:space="0" w:color="auto"/>
              <w:left w:val="nil"/>
              <w:bottom w:val="single" w:sz="4" w:space="0" w:color="auto"/>
              <w:right w:val="nil"/>
            </w:tcBorders>
            <w:shd w:val="clear" w:color="auto" w:fill="auto"/>
            <w:noWrap/>
            <w:vAlign w:val="bottom"/>
            <w:hideMark/>
          </w:tcPr>
          <w:p w:rsidR="00590F2F" w:rsidRPr="00590F2F" w:rsidRDefault="00590F2F">
            <w:pPr>
              <w:rPr>
                <w:color w:val="000000"/>
              </w:rPr>
            </w:pPr>
            <w:r w:rsidRPr="00590F2F">
              <w:rPr>
                <w:color w:val="000000"/>
              </w:rPr>
              <w:t>Mode</w:t>
            </w:r>
          </w:p>
        </w:tc>
        <w:tc>
          <w:tcPr>
            <w:tcW w:w="3460" w:type="dxa"/>
            <w:tcBorders>
              <w:top w:val="single" w:sz="4" w:space="0" w:color="auto"/>
              <w:left w:val="nil"/>
              <w:bottom w:val="single" w:sz="4" w:space="0" w:color="auto"/>
              <w:right w:val="nil"/>
            </w:tcBorders>
            <w:shd w:val="clear" w:color="auto" w:fill="auto"/>
            <w:noWrap/>
            <w:vAlign w:val="bottom"/>
            <w:hideMark/>
          </w:tcPr>
          <w:p w:rsidR="00590F2F" w:rsidRPr="00590F2F" w:rsidRDefault="00590F2F">
            <w:pPr>
              <w:rPr>
                <w:color w:val="000000"/>
              </w:rPr>
            </w:pPr>
            <w:r w:rsidRPr="00590F2F">
              <w:rPr>
                <w:color w:val="000000"/>
              </w:rPr>
              <w:t>Parameter</w:t>
            </w:r>
          </w:p>
        </w:tc>
        <w:tc>
          <w:tcPr>
            <w:tcW w:w="1880" w:type="dxa"/>
            <w:tcBorders>
              <w:top w:val="single" w:sz="4" w:space="0" w:color="auto"/>
              <w:left w:val="nil"/>
              <w:bottom w:val="single" w:sz="4" w:space="0" w:color="auto"/>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Value</w:t>
            </w: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Air</w:t>
            </w:r>
          </w:p>
        </w:tc>
        <w:tc>
          <w:tcPr>
            <w:tcW w:w="346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Distance costs (USD/km/tonnes)</w:t>
            </w: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0.175</w:t>
            </w: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jc w:val="right"/>
              <w:rPr>
                <w:color w:val="000000"/>
              </w:rPr>
            </w:pPr>
          </w:p>
        </w:tc>
        <w:tc>
          <w:tcPr>
            <w:tcW w:w="346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Time costs (USD/day/tonnes)</w:t>
            </w: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3520</w:t>
            </w: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jc w:val="right"/>
              <w:rPr>
                <w:color w:val="000000"/>
              </w:rPr>
            </w:pPr>
          </w:p>
        </w:tc>
        <w:tc>
          <w:tcPr>
            <w:tcW w:w="3460" w:type="dxa"/>
            <w:tcBorders>
              <w:top w:val="nil"/>
              <w:left w:val="nil"/>
              <w:bottom w:val="nil"/>
              <w:right w:val="nil"/>
            </w:tcBorders>
            <w:shd w:val="clear" w:color="auto" w:fill="auto"/>
            <w:noWrap/>
            <w:vAlign w:val="bottom"/>
            <w:hideMark/>
          </w:tcPr>
          <w:p w:rsidR="00590F2F" w:rsidRPr="00590F2F" w:rsidRDefault="00590F2F">
            <w:pPr>
              <w:rPr>
                <w:sz w:val="20"/>
                <w:szCs w:val="20"/>
              </w:rPr>
            </w:pP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sz w:val="20"/>
                <w:szCs w:val="20"/>
              </w:rPr>
            </w:pP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Road</w:t>
            </w:r>
          </w:p>
        </w:tc>
        <w:tc>
          <w:tcPr>
            <w:tcW w:w="346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Distance costs (USD/km/tonnes)</w:t>
            </w: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0.057</w:t>
            </w: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jc w:val="right"/>
              <w:rPr>
                <w:color w:val="000000"/>
              </w:rPr>
            </w:pPr>
          </w:p>
        </w:tc>
        <w:tc>
          <w:tcPr>
            <w:tcW w:w="346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Time costs (USD/day/tonnes)</w:t>
            </w: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3.3</w:t>
            </w: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jc w:val="right"/>
              <w:rPr>
                <w:color w:val="000000"/>
              </w:rPr>
            </w:pPr>
          </w:p>
        </w:tc>
        <w:tc>
          <w:tcPr>
            <w:tcW w:w="3460" w:type="dxa"/>
            <w:tcBorders>
              <w:top w:val="nil"/>
              <w:left w:val="nil"/>
              <w:bottom w:val="nil"/>
              <w:right w:val="nil"/>
            </w:tcBorders>
            <w:shd w:val="clear" w:color="auto" w:fill="auto"/>
            <w:noWrap/>
            <w:vAlign w:val="bottom"/>
            <w:hideMark/>
          </w:tcPr>
          <w:p w:rsidR="00590F2F" w:rsidRPr="00590F2F" w:rsidRDefault="00590F2F">
            <w:pPr>
              <w:rPr>
                <w:sz w:val="20"/>
                <w:szCs w:val="20"/>
              </w:rPr>
            </w:pP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sz w:val="20"/>
                <w:szCs w:val="20"/>
              </w:rPr>
            </w:pPr>
          </w:p>
        </w:tc>
      </w:tr>
      <w:tr w:rsidR="00590F2F" w:rsidRPr="00590F2F" w:rsidTr="00590F2F">
        <w:trPr>
          <w:trHeight w:val="320"/>
        </w:trPr>
        <w:tc>
          <w:tcPr>
            <w:tcW w:w="130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Maritime</w:t>
            </w:r>
          </w:p>
        </w:tc>
        <w:tc>
          <w:tcPr>
            <w:tcW w:w="3460" w:type="dxa"/>
            <w:tcBorders>
              <w:top w:val="nil"/>
              <w:left w:val="nil"/>
              <w:bottom w:val="nil"/>
              <w:right w:val="nil"/>
            </w:tcBorders>
            <w:shd w:val="clear" w:color="auto" w:fill="auto"/>
            <w:noWrap/>
            <w:vAlign w:val="bottom"/>
            <w:hideMark/>
          </w:tcPr>
          <w:p w:rsidR="00590F2F" w:rsidRPr="00590F2F" w:rsidRDefault="00590F2F">
            <w:pPr>
              <w:rPr>
                <w:color w:val="000000"/>
              </w:rPr>
            </w:pPr>
            <w:r w:rsidRPr="00590F2F">
              <w:rPr>
                <w:color w:val="000000"/>
              </w:rPr>
              <w:t>Distance costs (USD/km/tonnes)</w:t>
            </w:r>
          </w:p>
        </w:tc>
        <w:tc>
          <w:tcPr>
            <w:tcW w:w="1880" w:type="dxa"/>
            <w:tcBorders>
              <w:top w:val="nil"/>
              <w:left w:val="nil"/>
              <w:bottom w:val="nil"/>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0.006</w:t>
            </w:r>
          </w:p>
        </w:tc>
      </w:tr>
      <w:tr w:rsidR="00590F2F" w:rsidRPr="00590F2F" w:rsidTr="00590F2F">
        <w:trPr>
          <w:trHeight w:val="320"/>
        </w:trPr>
        <w:tc>
          <w:tcPr>
            <w:tcW w:w="1300" w:type="dxa"/>
            <w:tcBorders>
              <w:top w:val="nil"/>
              <w:left w:val="nil"/>
              <w:bottom w:val="single" w:sz="4" w:space="0" w:color="auto"/>
              <w:right w:val="nil"/>
            </w:tcBorders>
            <w:shd w:val="clear" w:color="auto" w:fill="auto"/>
            <w:noWrap/>
            <w:vAlign w:val="bottom"/>
            <w:hideMark/>
          </w:tcPr>
          <w:p w:rsidR="00590F2F" w:rsidRPr="00590F2F" w:rsidRDefault="00590F2F">
            <w:pPr>
              <w:rPr>
                <w:color w:val="000000"/>
              </w:rPr>
            </w:pPr>
            <w:r w:rsidRPr="00590F2F">
              <w:rPr>
                <w:color w:val="000000"/>
              </w:rPr>
              <w:t> </w:t>
            </w:r>
          </w:p>
        </w:tc>
        <w:tc>
          <w:tcPr>
            <w:tcW w:w="3460" w:type="dxa"/>
            <w:tcBorders>
              <w:top w:val="nil"/>
              <w:left w:val="nil"/>
              <w:bottom w:val="single" w:sz="4" w:space="0" w:color="auto"/>
              <w:right w:val="nil"/>
            </w:tcBorders>
            <w:shd w:val="clear" w:color="auto" w:fill="auto"/>
            <w:noWrap/>
            <w:vAlign w:val="bottom"/>
            <w:hideMark/>
          </w:tcPr>
          <w:p w:rsidR="00590F2F" w:rsidRPr="00590F2F" w:rsidRDefault="00590F2F">
            <w:pPr>
              <w:rPr>
                <w:color w:val="000000"/>
              </w:rPr>
            </w:pPr>
            <w:r w:rsidRPr="00590F2F">
              <w:rPr>
                <w:color w:val="000000"/>
              </w:rPr>
              <w:t>Time costs (USD/day/tonnes)</w:t>
            </w:r>
          </w:p>
        </w:tc>
        <w:tc>
          <w:tcPr>
            <w:tcW w:w="1880" w:type="dxa"/>
            <w:tcBorders>
              <w:top w:val="nil"/>
              <w:left w:val="nil"/>
              <w:bottom w:val="single" w:sz="4" w:space="0" w:color="auto"/>
              <w:right w:val="nil"/>
            </w:tcBorders>
            <w:shd w:val="clear" w:color="auto" w:fill="auto"/>
            <w:noWrap/>
            <w:vAlign w:val="bottom"/>
            <w:hideMark/>
          </w:tcPr>
          <w:p w:rsidR="00590F2F" w:rsidRPr="00590F2F" w:rsidRDefault="00590F2F" w:rsidP="00590F2F">
            <w:pPr>
              <w:jc w:val="center"/>
              <w:rPr>
                <w:color w:val="000000"/>
              </w:rPr>
            </w:pPr>
            <w:r w:rsidRPr="00590F2F">
              <w:rPr>
                <w:color w:val="000000"/>
              </w:rPr>
              <w:t>1.65</w:t>
            </w:r>
          </w:p>
        </w:tc>
      </w:tr>
    </w:tbl>
    <w:p w:rsidR="00590F2F" w:rsidRDefault="00590F2F"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3D4DB0" w:rsidRDefault="003D4DB0" w:rsidP="0098461F">
      <w:pPr>
        <w:jc w:val="both"/>
        <w:rPr>
          <w:b/>
          <w:sz w:val="28"/>
          <w:szCs w:val="28"/>
        </w:rPr>
      </w:pPr>
    </w:p>
    <w:p w:rsidR="003D4DB0" w:rsidRPr="00590F2F" w:rsidRDefault="003D4DB0" w:rsidP="0098461F">
      <w:pPr>
        <w:jc w:val="both"/>
        <w:rPr>
          <w:b/>
          <w:sz w:val="28"/>
          <w:szCs w:val="28"/>
        </w:rPr>
      </w:pPr>
    </w:p>
    <w:p w:rsidR="00895368" w:rsidRDefault="00895368" w:rsidP="0098461F">
      <w:pPr>
        <w:jc w:val="both"/>
        <w:rPr>
          <w:b/>
        </w:rPr>
      </w:pPr>
    </w:p>
    <w:p w:rsidR="005D02F0" w:rsidRPr="00E62700" w:rsidRDefault="005D02F0" w:rsidP="005D02F0">
      <w:pPr>
        <w:jc w:val="both"/>
        <w:rPr>
          <w:bCs/>
        </w:rPr>
      </w:pPr>
      <w:r w:rsidRPr="00590F2F">
        <w:rPr>
          <w:b/>
        </w:rPr>
        <w:lastRenderedPageBreak/>
        <w:t xml:space="preserve">Supplementary Table </w:t>
      </w:r>
      <w:r w:rsidR="001733CB">
        <w:rPr>
          <w:b/>
        </w:rPr>
        <w:t>5</w:t>
      </w:r>
      <w:r w:rsidRPr="00590F2F">
        <w:rPr>
          <w:b/>
        </w:rPr>
        <w:t xml:space="preserve"> </w:t>
      </w:r>
      <w:r w:rsidR="00E62700">
        <w:rPr>
          <w:b/>
        </w:rPr>
        <w:t xml:space="preserve">| The results of the regression model to estimate the modal splits per trade flow. </w:t>
      </w:r>
      <w:r w:rsidR="00E62700">
        <w:rPr>
          <w:bCs/>
        </w:rPr>
        <w:t xml:space="preserve"> </w:t>
      </w:r>
    </w:p>
    <w:p w:rsidR="00590F2F" w:rsidRDefault="00590F2F" w:rsidP="0098461F">
      <w:pPr>
        <w:jc w:val="both"/>
        <w:rPr>
          <w:b/>
        </w:rPr>
      </w:pPr>
    </w:p>
    <w:tbl>
      <w:tblPr>
        <w:tblW w:w="9177" w:type="dxa"/>
        <w:tblLook w:val="04A0" w:firstRow="1" w:lastRow="0" w:firstColumn="1" w:lastColumn="0" w:noHBand="0" w:noVBand="1"/>
      </w:tblPr>
      <w:tblGrid>
        <w:gridCol w:w="1147"/>
        <w:gridCol w:w="1147"/>
        <w:gridCol w:w="1147"/>
        <w:gridCol w:w="1147"/>
        <w:gridCol w:w="656"/>
        <w:gridCol w:w="491"/>
        <w:gridCol w:w="820"/>
        <w:gridCol w:w="327"/>
        <w:gridCol w:w="984"/>
        <w:gridCol w:w="163"/>
        <w:gridCol w:w="1148"/>
      </w:tblGrid>
      <w:tr w:rsidR="005973CD" w:rsidRPr="005973CD" w:rsidTr="000259D5">
        <w:trPr>
          <w:trHeight w:val="320"/>
        </w:trPr>
        <w:tc>
          <w:tcPr>
            <w:tcW w:w="5244" w:type="dxa"/>
            <w:gridSpan w:val="5"/>
            <w:tcBorders>
              <w:top w:val="single" w:sz="4" w:space="0" w:color="auto"/>
              <w:left w:val="nil"/>
              <w:bottom w:val="nil"/>
              <w:right w:val="nil"/>
            </w:tcBorders>
            <w:shd w:val="clear" w:color="auto" w:fill="auto"/>
            <w:noWrap/>
            <w:vAlign w:val="bottom"/>
            <w:hideMark/>
          </w:tcPr>
          <w:p w:rsidR="005973CD" w:rsidRPr="005973CD" w:rsidRDefault="005973CD">
            <w:pPr>
              <w:rPr>
                <w:b/>
                <w:bCs/>
                <w:color w:val="000000"/>
                <w:sz w:val="20"/>
                <w:szCs w:val="20"/>
              </w:rPr>
            </w:pPr>
            <w:r w:rsidRPr="005973CD">
              <w:rPr>
                <w:b/>
                <w:bCs/>
                <w:color w:val="000000"/>
                <w:sz w:val="20"/>
                <w:szCs w:val="20"/>
              </w:rPr>
              <w:t>2 mode alternatives (maritime/air)</w:t>
            </w:r>
          </w:p>
        </w:tc>
        <w:tc>
          <w:tcPr>
            <w:tcW w:w="1311" w:type="dxa"/>
            <w:gridSpan w:val="2"/>
            <w:tcBorders>
              <w:top w:val="single" w:sz="4" w:space="0" w:color="auto"/>
              <w:left w:val="nil"/>
              <w:bottom w:val="nil"/>
              <w:right w:val="nil"/>
            </w:tcBorders>
            <w:shd w:val="clear" w:color="auto" w:fill="auto"/>
            <w:noWrap/>
            <w:vAlign w:val="bottom"/>
            <w:hideMark/>
          </w:tcPr>
          <w:p w:rsidR="005973CD" w:rsidRPr="005973CD" w:rsidRDefault="005973CD">
            <w:pPr>
              <w:rPr>
                <w:color w:val="000000"/>
                <w:sz w:val="20"/>
                <w:szCs w:val="20"/>
              </w:rPr>
            </w:pPr>
            <w:r w:rsidRPr="005973CD">
              <w:rPr>
                <w:color w:val="000000"/>
                <w:sz w:val="20"/>
                <w:szCs w:val="20"/>
              </w:rPr>
              <w:t> </w:t>
            </w:r>
          </w:p>
        </w:tc>
        <w:tc>
          <w:tcPr>
            <w:tcW w:w="1311" w:type="dxa"/>
            <w:gridSpan w:val="2"/>
            <w:tcBorders>
              <w:top w:val="single" w:sz="4" w:space="0" w:color="auto"/>
              <w:left w:val="nil"/>
              <w:bottom w:val="nil"/>
              <w:right w:val="nil"/>
            </w:tcBorders>
            <w:shd w:val="clear" w:color="auto" w:fill="auto"/>
            <w:noWrap/>
            <w:vAlign w:val="bottom"/>
            <w:hideMark/>
          </w:tcPr>
          <w:p w:rsidR="005973CD" w:rsidRPr="005973CD" w:rsidRDefault="005973CD">
            <w:pPr>
              <w:rPr>
                <w:color w:val="000000"/>
                <w:sz w:val="20"/>
                <w:szCs w:val="20"/>
              </w:rPr>
            </w:pPr>
            <w:r w:rsidRPr="005973CD">
              <w:rPr>
                <w:color w:val="000000"/>
                <w:sz w:val="20"/>
                <w:szCs w:val="20"/>
              </w:rPr>
              <w:t> </w:t>
            </w:r>
          </w:p>
        </w:tc>
        <w:tc>
          <w:tcPr>
            <w:tcW w:w="1311" w:type="dxa"/>
            <w:gridSpan w:val="2"/>
            <w:tcBorders>
              <w:top w:val="single" w:sz="4" w:space="0" w:color="auto"/>
              <w:left w:val="nil"/>
              <w:bottom w:val="nil"/>
              <w:right w:val="nil"/>
            </w:tcBorders>
            <w:shd w:val="clear" w:color="auto" w:fill="auto"/>
            <w:noWrap/>
            <w:vAlign w:val="bottom"/>
            <w:hideMark/>
          </w:tcPr>
          <w:p w:rsidR="005973CD" w:rsidRPr="005973CD" w:rsidRDefault="005973CD">
            <w:pPr>
              <w:rPr>
                <w:color w:val="000000"/>
                <w:sz w:val="20"/>
                <w:szCs w:val="20"/>
              </w:rPr>
            </w:pPr>
            <w:r w:rsidRPr="005973CD">
              <w:rPr>
                <w:color w:val="000000"/>
                <w:sz w:val="20"/>
                <w:szCs w:val="20"/>
              </w:rPr>
              <w:t> </w:t>
            </w:r>
          </w:p>
        </w:tc>
      </w:tr>
      <w:tr w:rsidR="005973CD" w:rsidRPr="005973CD" w:rsidTr="005973CD">
        <w:trPr>
          <w:trHeight w:val="320"/>
        </w:trPr>
        <w:tc>
          <w:tcPr>
            <w:tcW w:w="1147" w:type="dxa"/>
            <w:tcBorders>
              <w:top w:val="nil"/>
              <w:left w:val="nil"/>
              <w:bottom w:val="single" w:sz="4" w:space="0" w:color="auto"/>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Sector</w:t>
            </w:r>
          </w:p>
        </w:tc>
        <w:tc>
          <w:tcPr>
            <w:tcW w:w="1147" w:type="dxa"/>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1</w:t>
            </w:r>
          </w:p>
        </w:tc>
        <w:tc>
          <w:tcPr>
            <w:tcW w:w="1147" w:type="dxa"/>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2</w:t>
            </w:r>
          </w:p>
        </w:tc>
        <w:tc>
          <w:tcPr>
            <w:tcW w:w="1147" w:type="dxa"/>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3</w:t>
            </w:r>
          </w:p>
        </w:tc>
        <w:tc>
          <w:tcPr>
            <w:tcW w:w="1147" w:type="dxa"/>
            <w:gridSpan w:val="2"/>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4</w:t>
            </w:r>
          </w:p>
        </w:tc>
        <w:tc>
          <w:tcPr>
            <w:tcW w:w="1147" w:type="dxa"/>
            <w:gridSpan w:val="2"/>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5</w:t>
            </w:r>
          </w:p>
        </w:tc>
        <w:tc>
          <w:tcPr>
            <w:tcW w:w="1147" w:type="dxa"/>
            <w:gridSpan w:val="2"/>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6</w:t>
            </w:r>
          </w:p>
        </w:tc>
        <w:tc>
          <w:tcPr>
            <w:tcW w:w="1148" w:type="dxa"/>
            <w:tcBorders>
              <w:top w:val="nil"/>
              <w:left w:val="nil"/>
              <w:bottom w:val="single" w:sz="4" w:space="0" w:color="auto"/>
              <w:right w:val="nil"/>
            </w:tcBorders>
            <w:shd w:val="clear" w:color="auto" w:fill="auto"/>
            <w:noWrap/>
            <w:vAlign w:val="center"/>
            <w:hideMark/>
          </w:tcPr>
          <w:p w:rsidR="005D02F0" w:rsidRPr="005973CD" w:rsidRDefault="005973CD" w:rsidP="001A1F2B">
            <w:pPr>
              <w:jc w:val="center"/>
              <w:rPr>
                <w:color w:val="000000"/>
                <w:sz w:val="20"/>
                <w:szCs w:val="20"/>
              </w:rPr>
            </w:pPr>
            <w:r w:rsidRPr="005973CD">
              <w:rPr>
                <w:color w:val="000000"/>
                <w:sz w:val="20"/>
                <w:szCs w:val="20"/>
              </w:rPr>
              <w:t>MS</w:t>
            </w:r>
            <w:r w:rsidR="005D02F0" w:rsidRPr="005973CD">
              <w:rPr>
                <w:color w:val="000000"/>
                <w:sz w:val="20"/>
                <w:szCs w:val="20"/>
              </w:rPr>
              <w:t>C</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1</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0.563</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-0.023</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-0.670</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2.538</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0.359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0.278</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-8.230</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2</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-0.314</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-0.043</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-0.624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2.340</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0.374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-1.568</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-4.67</w:t>
            </w:r>
            <w:r w:rsidR="001A1F2B">
              <w:rPr>
                <w:color w:val="000000"/>
                <w:sz w:val="20"/>
                <w:szCs w:val="20"/>
              </w:rPr>
              <w:t>1</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3</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-1.430</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0.000</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-0.816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0.990</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0.236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0.743</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-2.010</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4</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-0.316</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0.004</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-0.507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1.795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0.159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0.137</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-5.412</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5</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-3.351</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0.040</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-1.478</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1.660</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0.344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0.260</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1.347</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6</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-1.746</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0.011</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-1.099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1.879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0.226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0.468</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-2.051</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7</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-2.454</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0.006</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-0.944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2.219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0.197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0.492</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-0.888</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8</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-2.447</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-0.009</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-1.111</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1.859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0.242</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0.718</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-1.158</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9</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-1.930</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-0.013</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-1.235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2.042</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0.257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0.085</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-2.494</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10</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-2.092</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0.004</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-1.195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1.743</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0.216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0.640</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-1.257</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single" w:sz="4" w:space="0" w:color="auto"/>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11</w:t>
            </w:r>
          </w:p>
        </w:tc>
        <w:tc>
          <w:tcPr>
            <w:tcW w:w="1147" w:type="dxa"/>
            <w:tcBorders>
              <w:top w:val="nil"/>
              <w:left w:val="nil"/>
              <w:bottom w:val="single" w:sz="4" w:space="0" w:color="auto"/>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-2.071</w:t>
            </w:r>
            <w:r w:rsidR="001A1F2B">
              <w:rPr>
                <w:color w:val="000000"/>
                <w:sz w:val="20"/>
                <w:szCs w:val="20"/>
                <w:vertAlign w:val="superscript"/>
              </w:rPr>
              <w:t>***</w:t>
            </w:r>
          </w:p>
        </w:tc>
        <w:tc>
          <w:tcPr>
            <w:tcW w:w="1147" w:type="dxa"/>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-0.001</w:t>
            </w:r>
          </w:p>
        </w:tc>
        <w:tc>
          <w:tcPr>
            <w:tcW w:w="1147" w:type="dxa"/>
            <w:tcBorders>
              <w:top w:val="nil"/>
              <w:left w:val="nil"/>
              <w:bottom w:val="single" w:sz="4" w:space="0" w:color="auto"/>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-0.967</w:t>
            </w:r>
            <w:r w:rsidR="001A1F2B">
              <w:rPr>
                <w:color w:val="000000"/>
                <w:sz w:val="20"/>
                <w:szCs w:val="20"/>
                <w:vertAlign w:val="superscript"/>
              </w:rPr>
              <w:t>***</w:t>
            </w:r>
          </w:p>
        </w:tc>
        <w:tc>
          <w:tcPr>
            <w:tcW w:w="1147" w:type="dxa"/>
            <w:gridSpan w:val="2"/>
            <w:tcBorders>
              <w:top w:val="nil"/>
              <w:left w:val="nil"/>
              <w:bottom w:val="single" w:sz="4" w:space="0" w:color="auto"/>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2.099</w:t>
            </w:r>
            <w:r w:rsidR="001A1F2B">
              <w:rPr>
                <w:color w:val="000000"/>
                <w:sz w:val="20"/>
                <w:szCs w:val="20"/>
                <w:vertAlign w:val="superscript"/>
              </w:rPr>
              <w:t>***</w:t>
            </w:r>
          </w:p>
        </w:tc>
        <w:tc>
          <w:tcPr>
            <w:tcW w:w="1147" w:type="dxa"/>
            <w:gridSpan w:val="2"/>
            <w:tcBorders>
              <w:top w:val="nil"/>
              <w:left w:val="nil"/>
              <w:bottom w:val="single" w:sz="4" w:space="0" w:color="auto"/>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0.272</w:t>
            </w:r>
            <w:r w:rsidR="001A1F2B">
              <w:rPr>
                <w:color w:val="000000"/>
                <w:sz w:val="20"/>
                <w:szCs w:val="20"/>
                <w:vertAlign w:val="superscript"/>
              </w:rPr>
              <w:t>***</w:t>
            </w:r>
          </w:p>
        </w:tc>
        <w:tc>
          <w:tcPr>
            <w:tcW w:w="1147" w:type="dxa"/>
            <w:gridSpan w:val="2"/>
            <w:tcBorders>
              <w:top w:val="nil"/>
              <w:left w:val="nil"/>
              <w:bottom w:val="single" w:sz="4" w:space="0" w:color="auto"/>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0.696</w:t>
            </w:r>
            <w:r w:rsidR="001A1F2B">
              <w:rPr>
                <w:color w:val="000000"/>
                <w:sz w:val="20"/>
                <w:szCs w:val="20"/>
                <w:vertAlign w:val="superscript"/>
              </w:rPr>
              <w:t>***</w:t>
            </w:r>
          </w:p>
        </w:tc>
        <w:tc>
          <w:tcPr>
            <w:tcW w:w="1148" w:type="dxa"/>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-1.761</w:t>
            </w:r>
            <w:r w:rsidR="001A1F2B">
              <w:rPr>
                <w:color w:val="000000"/>
                <w:sz w:val="20"/>
                <w:szCs w:val="20"/>
                <w:vertAlign w:val="superscript"/>
              </w:rPr>
              <w:t>***</w:t>
            </w:r>
          </w:p>
        </w:tc>
      </w:tr>
      <w:tr w:rsidR="005973CD" w:rsidRPr="005973CD" w:rsidTr="000259D5">
        <w:trPr>
          <w:trHeight w:val="320"/>
        </w:trPr>
        <w:tc>
          <w:tcPr>
            <w:tcW w:w="5244" w:type="dxa"/>
            <w:gridSpan w:val="5"/>
            <w:tcBorders>
              <w:top w:val="nil"/>
              <w:left w:val="nil"/>
              <w:bottom w:val="nil"/>
              <w:right w:val="nil"/>
            </w:tcBorders>
            <w:shd w:val="clear" w:color="auto" w:fill="auto"/>
            <w:noWrap/>
            <w:vAlign w:val="bottom"/>
            <w:hideMark/>
          </w:tcPr>
          <w:p w:rsidR="005973CD" w:rsidRPr="005973CD" w:rsidRDefault="005973CD" w:rsidP="001A1F2B">
            <w:pPr>
              <w:rPr>
                <w:b/>
                <w:bCs/>
                <w:sz w:val="20"/>
                <w:szCs w:val="20"/>
              </w:rPr>
            </w:pPr>
            <w:r w:rsidRPr="005973CD">
              <w:rPr>
                <w:b/>
                <w:bCs/>
                <w:color w:val="000000"/>
                <w:sz w:val="20"/>
                <w:szCs w:val="20"/>
              </w:rPr>
              <w:t>3 mode alternatives (road/maritime/air)</w:t>
            </w:r>
          </w:p>
        </w:tc>
        <w:tc>
          <w:tcPr>
            <w:tcW w:w="1311" w:type="dxa"/>
            <w:gridSpan w:val="2"/>
            <w:tcBorders>
              <w:top w:val="nil"/>
              <w:left w:val="nil"/>
              <w:bottom w:val="nil"/>
              <w:right w:val="nil"/>
            </w:tcBorders>
            <w:shd w:val="clear" w:color="auto" w:fill="auto"/>
            <w:noWrap/>
            <w:vAlign w:val="bottom"/>
            <w:hideMark/>
          </w:tcPr>
          <w:p w:rsidR="005973CD" w:rsidRPr="005973CD" w:rsidRDefault="005973CD" w:rsidP="001A1F2B">
            <w:pPr>
              <w:rPr>
                <w:sz w:val="20"/>
                <w:szCs w:val="20"/>
              </w:rPr>
            </w:pPr>
          </w:p>
        </w:tc>
        <w:tc>
          <w:tcPr>
            <w:tcW w:w="1311" w:type="dxa"/>
            <w:gridSpan w:val="2"/>
            <w:tcBorders>
              <w:top w:val="nil"/>
              <w:left w:val="nil"/>
              <w:bottom w:val="nil"/>
              <w:right w:val="nil"/>
            </w:tcBorders>
            <w:shd w:val="clear" w:color="auto" w:fill="auto"/>
            <w:noWrap/>
            <w:vAlign w:val="bottom"/>
            <w:hideMark/>
          </w:tcPr>
          <w:p w:rsidR="005973CD" w:rsidRPr="005973CD" w:rsidRDefault="005973CD" w:rsidP="001A1F2B">
            <w:pPr>
              <w:rPr>
                <w:sz w:val="20"/>
                <w:szCs w:val="20"/>
              </w:rPr>
            </w:pPr>
          </w:p>
        </w:tc>
        <w:tc>
          <w:tcPr>
            <w:tcW w:w="1311" w:type="dxa"/>
            <w:gridSpan w:val="2"/>
            <w:tcBorders>
              <w:top w:val="nil"/>
              <w:left w:val="nil"/>
              <w:bottom w:val="nil"/>
              <w:right w:val="nil"/>
            </w:tcBorders>
            <w:shd w:val="clear" w:color="auto" w:fill="auto"/>
            <w:noWrap/>
            <w:vAlign w:val="bottom"/>
            <w:hideMark/>
          </w:tcPr>
          <w:p w:rsidR="005973CD" w:rsidRPr="005973CD" w:rsidRDefault="005973CD" w:rsidP="001A1F2B">
            <w:pPr>
              <w:rPr>
                <w:sz w:val="20"/>
                <w:szCs w:val="20"/>
              </w:rPr>
            </w:pPr>
          </w:p>
        </w:tc>
      </w:tr>
      <w:tr w:rsidR="005973CD" w:rsidRPr="005973CD" w:rsidTr="005973CD">
        <w:trPr>
          <w:trHeight w:val="320"/>
        </w:trPr>
        <w:tc>
          <w:tcPr>
            <w:tcW w:w="1147" w:type="dxa"/>
            <w:tcBorders>
              <w:top w:val="nil"/>
              <w:left w:val="nil"/>
              <w:bottom w:val="single" w:sz="4" w:space="0" w:color="auto"/>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Sector</w:t>
            </w:r>
          </w:p>
        </w:tc>
        <w:tc>
          <w:tcPr>
            <w:tcW w:w="1147" w:type="dxa"/>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1</w:t>
            </w:r>
          </w:p>
        </w:tc>
        <w:tc>
          <w:tcPr>
            <w:tcW w:w="1147" w:type="dxa"/>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2</w:t>
            </w:r>
          </w:p>
        </w:tc>
        <w:tc>
          <w:tcPr>
            <w:tcW w:w="1147" w:type="dxa"/>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3</w:t>
            </w:r>
          </w:p>
        </w:tc>
        <w:tc>
          <w:tcPr>
            <w:tcW w:w="1147" w:type="dxa"/>
            <w:gridSpan w:val="2"/>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4</w:t>
            </w:r>
          </w:p>
        </w:tc>
        <w:tc>
          <w:tcPr>
            <w:tcW w:w="1147" w:type="dxa"/>
            <w:gridSpan w:val="2"/>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5</w:t>
            </w:r>
          </w:p>
        </w:tc>
        <w:tc>
          <w:tcPr>
            <w:tcW w:w="1147" w:type="dxa"/>
            <w:gridSpan w:val="2"/>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sym w:font="Symbol" w:char="F062"/>
            </w:r>
            <w:r w:rsidRPr="005973CD">
              <w:rPr>
                <w:color w:val="000000"/>
                <w:sz w:val="20"/>
                <w:szCs w:val="20"/>
                <w:vertAlign w:val="subscript"/>
              </w:rPr>
              <w:t>6</w:t>
            </w:r>
          </w:p>
        </w:tc>
        <w:tc>
          <w:tcPr>
            <w:tcW w:w="1148" w:type="dxa"/>
            <w:tcBorders>
              <w:top w:val="nil"/>
              <w:left w:val="nil"/>
              <w:bottom w:val="single" w:sz="4" w:space="0" w:color="auto"/>
              <w:right w:val="nil"/>
            </w:tcBorders>
            <w:shd w:val="clear" w:color="auto" w:fill="auto"/>
            <w:noWrap/>
            <w:vAlign w:val="bottom"/>
            <w:hideMark/>
          </w:tcPr>
          <w:p w:rsidR="005D02F0" w:rsidRPr="005973CD" w:rsidRDefault="005973CD" w:rsidP="001A1F2B">
            <w:pPr>
              <w:jc w:val="center"/>
              <w:rPr>
                <w:color w:val="000000"/>
                <w:sz w:val="20"/>
                <w:szCs w:val="20"/>
              </w:rPr>
            </w:pPr>
            <w:r w:rsidRPr="005973CD">
              <w:rPr>
                <w:color w:val="000000"/>
                <w:sz w:val="20"/>
                <w:szCs w:val="20"/>
              </w:rPr>
              <w:t>MS</w:t>
            </w:r>
            <w:r w:rsidR="005D02F0" w:rsidRPr="005973CD">
              <w:rPr>
                <w:color w:val="000000"/>
                <w:sz w:val="20"/>
                <w:szCs w:val="20"/>
              </w:rPr>
              <w:t>C</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1</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-1.589</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-0.026</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-0.644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0.762</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0.757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1.268</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0.352</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2</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-0.502</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-0.017</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-0.442</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1.067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0.345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0.219</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1.918</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3</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-2.228</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-0.030</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-1.116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0.037</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1.027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2.175</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-0.045</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4</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-1.944</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-0.040</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-0.489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0.626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0.820</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0.805</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0.790</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5</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-1.617</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-0.020</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-0.865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0.744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0.704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0.307</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1.031</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6</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-2.194</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-0.033</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-0.778</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0.760</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0.985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1.143</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-0.071</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7</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-2.428</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-0.028</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-0.769</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0.863</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0.834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0.555</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1.453</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8</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-2.336</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-0.025</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-0.784</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0.537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0.878</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0.589</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1.071</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9</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-2.172</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-0.017</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-0.785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0.926</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0.738</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0.432</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1.005</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nil"/>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10</w:t>
            </w:r>
          </w:p>
        </w:tc>
        <w:tc>
          <w:tcPr>
            <w:tcW w:w="1147" w:type="dxa"/>
            <w:tcBorders>
              <w:top w:val="nil"/>
              <w:left w:val="nil"/>
              <w:bottom w:val="nil"/>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-2.451</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-0.023</w:t>
            </w:r>
            <w:r w:rsidR="001A1F2B">
              <w:rPr>
                <w:color w:val="000000"/>
                <w:sz w:val="20"/>
                <w:szCs w:val="20"/>
                <w:vertAlign w:val="superscript"/>
              </w:rPr>
              <w:t>***</w:t>
            </w:r>
          </w:p>
        </w:tc>
        <w:tc>
          <w:tcPr>
            <w:tcW w:w="1147"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-0.808</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0.647</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0.765</w:t>
            </w:r>
            <w:r w:rsidR="001A1F2B">
              <w:rPr>
                <w:color w:val="000000"/>
                <w:sz w:val="20"/>
                <w:szCs w:val="20"/>
                <w:vertAlign w:val="superscript"/>
              </w:rPr>
              <w:t>***</w:t>
            </w:r>
          </w:p>
        </w:tc>
        <w:tc>
          <w:tcPr>
            <w:tcW w:w="1147" w:type="dxa"/>
            <w:gridSpan w:val="2"/>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0.677</w:t>
            </w:r>
            <w:r w:rsidR="001A1F2B">
              <w:rPr>
                <w:color w:val="000000"/>
                <w:sz w:val="20"/>
                <w:szCs w:val="20"/>
                <w:vertAlign w:val="superscript"/>
              </w:rPr>
              <w:t>***</w:t>
            </w:r>
          </w:p>
        </w:tc>
        <w:tc>
          <w:tcPr>
            <w:tcW w:w="1148" w:type="dxa"/>
            <w:tcBorders>
              <w:top w:val="nil"/>
              <w:left w:val="nil"/>
              <w:bottom w:val="nil"/>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1.899</w:t>
            </w:r>
            <w:r w:rsidR="001A1F2B">
              <w:rPr>
                <w:color w:val="000000"/>
                <w:sz w:val="20"/>
                <w:szCs w:val="20"/>
                <w:vertAlign w:val="superscript"/>
              </w:rPr>
              <w:t>***</w:t>
            </w:r>
          </w:p>
        </w:tc>
      </w:tr>
      <w:tr w:rsidR="005973CD" w:rsidRPr="005973CD" w:rsidTr="005973CD">
        <w:trPr>
          <w:trHeight w:val="320"/>
        </w:trPr>
        <w:tc>
          <w:tcPr>
            <w:tcW w:w="1147" w:type="dxa"/>
            <w:tcBorders>
              <w:top w:val="nil"/>
              <w:left w:val="nil"/>
              <w:bottom w:val="single" w:sz="4" w:space="0" w:color="auto"/>
              <w:right w:val="nil"/>
            </w:tcBorders>
            <w:shd w:val="clear" w:color="auto" w:fill="auto"/>
            <w:noWrap/>
            <w:vAlign w:val="bottom"/>
            <w:hideMark/>
          </w:tcPr>
          <w:p w:rsidR="005D02F0" w:rsidRPr="005973CD" w:rsidRDefault="005D02F0" w:rsidP="001A1F2B">
            <w:pPr>
              <w:rPr>
                <w:color w:val="000000"/>
                <w:sz w:val="20"/>
                <w:szCs w:val="20"/>
              </w:rPr>
            </w:pPr>
            <w:r w:rsidRPr="005973CD">
              <w:rPr>
                <w:color w:val="000000"/>
                <w:sz w:val="20"/>
                <w:szCs w:val="20"/>
              </w:rPr>
              <w:t>11</w:t>
            </w:r>
          </w:p>
        </w:tc>
        <w:tc>
          <w:tcPr>
            <w:tcW w:w="1147" w:type="dxa"/>
            <w:tcBorders>
              <w:top w:val="nil"/>
              <w:left w:val="nil"/>
              <w:bottom w:val="single" w:sz="4" w:space="0" w:color="auto"/>
              <w:right w:val="nil"/>
            </w:tcBorders>
            <w:shd w:val="clear" w:color="auto" w:fill="auto"/>
            <w:noWrap/>
            <w:vAlign w:val="center"/>
            <w:hideMark/>
          </w:tcPr>
          <w:p w:rsidR="005D02F0" w:rsidRPr="001A1F2B" w:rsidRDefault="005D02F0" w:rsidP="001A1F2B">
            <w:pPr>
              <w:rPr>
                <w:color w:val="000000"/>
                <w:sz w:val="20"/>
                <w:szCs w:val="20"/>
                <w:vertAlign w:val="superscript"/>
              </w:rPr>
            </w:pPr>
            <w:r w:rsidRPr="005973CD">
              <w:rPr>
                <w:color w:val="000000"/>
                <w:sz w:val="20"/>
                <w:szCs w:val="20"/>
              </w:rPr>
              <w:t>-1.793</w:t>
            </w:r>
            <w:r w:rsidR="001A1F2B">
              <w:rPr>
                <w:color w:val="000000"/>
                <w:sz w:val="20"/>
                <w:szCs w:val="20"/>
                <w:vertAlign w:val="superscript"/>
              </w:rPr>
              <w:t>***</w:t>
            </w:r>
          </w:p>
        </w:tc>
        <w:tc>
          <w:tcPr>
            <w:tcW w:w="1147" w:type="dxa"/>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-0.020</w:t>
            </w:r>
            <w:r w:rsidR="001A1F2B">
              <w:rPr>
                <w:color w:val="000000"/>
                <w:sz w:val="20"/>
                <w:szCs w:val="20"/>
                <w:vertAlign w:val="superscript"/>
              </w:rPr>
              <w:t>***</w:t>
            </w:r>
          </w:p>
        </w:tc>
        <w:tc>
          <w:tcPr>
            <w:tcW w:w="1147" w:type="dxa"/>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-0.569</w:t>
            </w:r>
            <w:r w:rsidR="001A1F2B">
              <w:rPr>
                <w:color w:val="000000"/>
                <w:sz w:val="20"/>
                <w:szCs w:val="20"/>
                <w:vertAlign w:val="superscript"/>
              </w:rPr>
              <w:t>***</w:t>
            </w:r>
          </w:p>
        </w:tc>
        <w:tc>
          <w:tcPr>
            <w:tcW w:w="1147" w:type="dxa"/>
            <w:gridSpan w:val="2"/>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1.024</w:t>
            </w:r>
            <w:r w:rsidR="001A1F2B">
              <w:rPr>
                <w:color w:val="000000"/>
                <w:sz w:val="20"/>
                <w:szCs w:val="20"/>
                <w:vertAlign w:val="superscript"/>
              </w:rPr>
              <w:t>***</w:t>
            </w:r>
          </w:p>
        </w:tc>
        <w:tc>
          <w:tcPr>
            <w:tcW w:w="1147" w:type="dxa"/>
            <w:gridSpan w:val="2"/>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0.648</w:t>
            </w:r>
            <w:r w:rsidR="001A1F2B">
              <w:rPr>
                <w:color w:val="000000"/>
                <w:sz w:val="20"/>
                <w:szCs w:val="20"/>
                <w:vertAlign w:val="superscript"/>
              </w:rPr>
              <w:t>***</w:t>
            </w:r>
          </w:p>
        </w:tc>
        <w:tc>
          <w:tcPr>
            <w:tcW w:w="1147" w:type="dxa"/>
            <w:gridSpan w:val="2"/>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0.373</w:t>
            </w:r>
            <w:r w:rsidR="001A1F2B">
              <w:rPr>
                <w:color w:val="000000"/>
                <w:sz w:val="20"/>
                <w:szCs w:val="20"/>
                <w:vertAlign w:val="superscript"/>
              </w:rPr>
              <w:t>***</w:t>
            </w:r>
          </w:p>
        </w:tc>
        <w:tc>
          <w:tcPr>
            <w:tcW w:w="1148" w:type="dxa"/>
            <w:tcBorders>
              <w:top w:val="nil"/>
              <w:left w:val="nil"/>
              <w:bottom w:val="single" w:sz="4" w:space="0" w:color="auto"/>
              <w:right w:val="nil"/>
            </w:tcBorders>
            <w:shd w:val="clear" w:color="auto" w:fill="auto"/>
            <w:noWrap/>
            <w:vAlign w:val="center"/>
            <w:hideMark/>
          </w:tcPr>
          <w:p w:rsidR="005D02F0" w:rsidRPr="005973CD" w:rsidRDefault="005D02F0" w:rsidP="001A1F2B">
            <w:pPr>
              <w:rPr>
                <w:color w:val="000000"/>
                <w:sz w:val="20"/>
                <w:szCs w:val="20"/>
              </w:rPr>
            </w:pPr>
            <w:r w:rsidRPr="005973CD">
              <w:rPr>
                <w:color w:val="000000"/>
                <w:sz w:val="20"/>
                <w:szCs w:val="20"/>
              </w:rPr>
              <w:t>1.337</w:t>
            </w:r>
            <w:r w:rsidR="001A1F2B">
              <w:rPr>
                <w:color w:val="000000"/>
                <w:sz w:val="20"/>
                <w:szCs w:val="20"/>
                <w:vertAlign w:val="superscript"/>
              </w:rPr>
              <w:t>***</w:t>
            </w:r>
          </w:p>
        </w:tc>
      </w:tr>
    </w:tbl>
    <w:p w:rsidR="005D02F0" w:rsidRDefault="005D02F0" w:rsidP="0098461F">
      <w:pPr>
        <w:jc w:val="both"/>
        <w:rPr>
          <w:b/>
        </w:rPr>
      </w:pPr>
    </w:p>
    <w:p w:rsidR="00AF5E06" w:rsidRPr="00E62700" w:rsidRDefault="00AF5E06" w:rsidP="00AF5E06">
      <w:pPr>
        <w:jc w:val="both"/>
        <w:rPr>
          <w:bCs/>
        </w:rPr>
      </w:pPr>
      <w:r w:rsidRPr="00E62700">
        <w:t>*p &lt; 0.1, **p &lt; 0.05, ***p &lt; 0.01</w:t>
      </w:r>
    </w:p>
    <w:p w:rsidR="00590F2F" w:rsidRDefault="00590F2F" w:rsidP="0098461F">
      <w:pPr>
        <w:jc w:val="both"/>
        <w:rPr>
          <w:b/>
        </w:rPr>
      </w:pPr>
    </w:p>
    <w:p w:rsidR="003D4DB0" w:rsidRDefault="003D4DB0" w:rsidP="0098461F">
      <w:pPr>
        <w:jc w:val="both"/>
        <w:rPr>
          <w:b/>
        </w:rPr>
      </w:pPr>
    </w:p>
    <w:p w:rsidR="003D4DB0" w:rsidRDefault="003D4DB0" w:rsidP="0098461F">
      <w:pPr>
        <w:jc w:val="both"/>
        <w:rPr>
          <w:b/>
        </w:rPr>
      </w:pPr>
    </w:p>
    <w:p w:rsidR="003D4DB0" w:rsidRDefault="003D4DB0" w:rsidP="0098461F">
      <w:pPr>
        <w:jc w:val="both"/>
        <w:rPr>
          <w:b/>
        </w:rPr>
      </w:pPr>
    </w:p>
    <w:p w:rsidR="003D4DB0" w:rsidRDefault="003D4DB0" w:rsidP="0098461F">
      <w:pPr>
        <w:jc w:val="both"/>
        <w:rPr>
          <w:b/>
        </w:rPr>
      </w:pPr>
    </w:p>
    <w:p w:rsidR="003D4DB0" w:rsidRDefault="003D4DB0" w:rsidP="0098461F">
      <w:pPr>
        <w:jc w:val="both"/>
        <w:rPr>
          <w:b/>
        </w:rPr>
      </w:pPr>
    </w:p>
    <w:p w:rsidR="003D4DB0" w:rsidRDefault="003D4DB0" w:rsidP="0098461F">
      <w:pPr>
        <w:jc w:val="both"/>
        <w:rPr>
          <w:b/>
        </w:rPr>
      </w:pPr>
    </w:p>
    <w:p w:rsidR="00E62700" w:rsidRDefault="00E62700" w:rsidP="0098461F">
      <w:pPr>
        <w:jc w:val="both"/>
        <w:rPr>
          <w:b/>
        </w:rPr>
      </w:pPr>
    </w:p>
    <w:p w:rsidR="00187EFD" w:rsidRDefault="00187EFD" w:rsidP="0098461F">
      <w:pPr>
        <w:jc w:val="both"/>
        <w:rPr>
          <w:b/>
        </w:rPr>
      </w:pPr>
    </w:p>
    <w:p w:rsidR="00187EFD" w:rsidRDefault="00187EFD" w:rsidP="0098461F">
      <w:pPr>
        <w:jc w:val="both"/>
        <w:rPr>
          <w:b/>
        </w:rPr>
      </w:pPr>
    </w:p>
    <w:p w:rsidR="00187EFD" w:rsidRDefault="00187EFD" w:rsidP="0098461F">
      <w:pPr>
        <w:jc w:val="both"/>
        <w:rPr>
          <w:b/>
        </w:rPr>
      </w:pPr>
    </w:p>
    <w:p w:rsidR="00AF5E06" w:rsidRDefault="00AF5E06" w:rsidP="0098461F">
      <w:pPr>
        <w:jc w:val="both"/>
        <w:rPr>
          <w:b/>
        </w:rPr>
      </w:pPr>
    </w:p>
    <w:p w:rsidR="00AF5E06" w:rsidRDefault="00AF5E06" w:rsidP="0098461F">
      <w:pPr>
        <w:jc w:val="both"/>
        <w:rPr>
          <w:b/>
        </w:rPr>
      </w:pPr>
    </w:p>
    <w:p w:rsidR="00187EFD" w:rsidRDefault="00187EFD" w:rsidP="0098461F">
      <w:pPr>
        <w:jc w:val="both"/>
        <w:rPr>
          <w:b/>
        </w:rPr>
      </w:pPr>
    </w:p>
    <w:p w:rsidR="00C63C11" w:rsidRPr="00E62700" w:rsidRDefault="00C63C11" w:rsidP="0098461F">
      <w:pPr>
        <w:jc w:val="both"/>
        <w:rPr>
          <w:bCs/>
        </w:rPr>
      </w:pPr>
      <w:r w:rsidRPr="00590F2F">
        <w:rPr>
          <w:b/>
        </w:rPr>
        <w:lastRenderedPageBreak/>
        <w:t>Supplementary Table</w:t>
      </w:r>
      <w:r w:rsidR="009118DC" w:rsidRPr="00590F2F">
        <w:rPr>
          <w:b/>
        </w:rPr>
        <w:t xml:space="preserve"> </w:t>
      </w:r>
      <w:r w:rsidR="001733CB">
        <w:rPr>
          <w:b/>
        </w:rPr>
        <w:t>6</w:t>
      </w:r>
      <w:r w:rsidR="000E1813" w:rsidRPr="00590F2F">
        <w:rPr>
          <w:b/>
        </w:rPr>
        <w:t xml:space="preserve"> </w:t>
      </w:r>
      <w:r w:rsidR="00E62700">
        <w:rPr>
          <w:b/>
        </w:rPr>
        <w:t>| Validation of the derived maritime trade shares for European Union countries.</w:t>
      </w:r>
    </w:p>
    <w:p w:rsidR="00895368" w:rsidRPr="00590F2F" w:rsidRDefault="00895368" w:rsidP="0098461F">
      <w:pPr>
        <w:jc w:val="both"/>
        <w:rPr>
          <w:b/>
        </w:rPr>
      </w:pPr>
    </w:p>
    <w:tbl>
      <w:tblPr>
        <w:tblW w:w="8500" w:type="dxa"/>
        <w:tblLook w:val="04A0" w:firstRow="1" w:lastRow="0" w:firstColumn="1" w:lastColumn="0" w:noHBand="0" w:noVBand="1"/>
      </w:tblPr>
      <w:tblGrid>
        <w:gridCol w:w="1300"/>
        <w:gridCol w:w="1907"/>
        <w:gridCol w:w="1493"/>
        <w:gridCol w:w="400"/>
        <w:gridCol w:w="1907"/>
        <w:gridCol w:w="1493"/>
      </w:tblGrid>
      <w:tr w:rsidR="00895368" w:rsidRPr="00895368" w:rsidTr="00895368">
        <w:trPr>
          <w:trHeight w:val="320"/>
        </w:trPr>
        <w:tc>
          <w:tcPr>
            <w:tcW w:w="1300" w:type="dxa"/>
            <w:tcBorders>
              <w:top w:val="single" w:sz="4" w:space="0" w:color="auto"/>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 </w:t>
            </w:r>
          </w:p>
        </w:tc>
        <w:tc>
          <w:tcPr>
            <w:tcW w:w="3400" w:type="dxa"/>
            <w:gridSpan w:val="2"/>
            <w:tcBorders>
              <w:top w:val="single" w:sz="4" w:space="0" w:color="auto"/>
              <w:left w:val="nil"/>
              <w:bottom w:val="single" w:sz="4" w:space="0" w:color="auto"/>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Exports</w:t>
            </w:r>
          </w:p>
        </w:tc>
        <w:tc>
          <w:tcPr>
            <w:tcW w:w="400" w:type="dxa"/>
            <w:tcBorders>
              <w:top w:val="single" w:sz="4" w:space="0" w:color="auto"/>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 </w:t>
            </w:r>
          </w:p>
        </w:tc>
        <w:tc>
          <w:tcPr>
            <w:tcW w:w="3400" w:type="dxa"/>
            <w:gridSpan w:val="2"/>
            <w:tcBorders>
              <w:top w:val="single" w:sz="4" w:space="0" w:color="auto"/>
              <w:left w:val="nil"/>
              <w:bottom w:val="single" w:sz="4" w:space="0" w:color="auto"/>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Imports</w:t>
            </w:r>
          </w:p>
        </w:tc>
      </w:tr>
      <w:tr w:rsidR="00895368" w:rsidRPr="00895368" w:rsidTr="00895368">
        <w:trPr>
          <w:trHeight w:val="320"/>
        </w:trPr>
        <w:tc>
          <w:tcPr>
            <w:tcW w:w="1300"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Country</w:t>
            </w:r>
          </w:p>
        </w:tc>
        <w:tc>
          <w:tcPr>
            <w:tcW w:w="1907"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Model prediction</w:t>
            </w:r>
          </w:p>
        </w:tc>
        <w:tc>
          <w:tcPr>
            <w:tcW w:w="1493"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Eurostat data</w:t>
            </w:r>
          </w:p>
        </w:tc>
        <w:tc>
          <w:tcPr>
            <w:tcW w:w="400"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 </w:t>
            </w:r>
          </w:p>
        </w:tc>
        <w:tc>
          <w:tcPr>
            <w:tcW w:w="1907"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Model prediction</w:t>
            </w:r>
          </w:p>
        </w:tc>
        <w:tc>
          <w:tcPr>
            <w:tcW w:w="1493"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Eurostat data</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AUT</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42.6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40.6</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40.8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24.4</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BEL</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43.3</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48.3</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56.0</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58.7</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BGR</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45.5</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48.7</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62.6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52.4</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HRV</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30.1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25.2</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58.6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43.2</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CYP</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62.2</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43.4</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85.1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48.0</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CZE</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39.4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24.3</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58.6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0.2</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DNK</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43.8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47.0</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58.4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54.9</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EST</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35.4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48.5</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43.2</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37.1</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FIN</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50.2</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60.8</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40.3</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64.1</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FRA</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45.3</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38.4</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58.9</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56.1</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DEU</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53.4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49.8</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56.7</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46.0</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GRC</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57.6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78.9</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79.0</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83.8</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HUN</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47.6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23.7</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59.1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23.1</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IRL</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24.6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19.9</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47.2</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26.3</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ITA</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55.1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53.3</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70.8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68.3</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LVA</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41.1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23.3</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29.9</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21.9</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LTU</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34.4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29.9</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39.5</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65.3</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MLT</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39.8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47.9</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83.6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66.7</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NLD</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52.4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48.2</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68.6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64.3</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POL</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43.1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33.7</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60.8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53.0</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PRT</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71.7</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76.4</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82.8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83.6</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SVK</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52.8</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51.6</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67.9</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47.8</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SVN</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33.1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27.5</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53.3</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61.5</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ESP</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65.4</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73.0</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76.6</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78.7</w:t>
            </w:r>
          </w:p>
        </w:tc>
      </w:tr>
      <w:tr w:rsidR="00895368" w:rsidRPr="00895368" w:rsidTr="00895368">
        <w:trPr>
          <w:trHeight w:val="320"/>
        </w:trPr>
        <w:tc>
          <w:tcPr>
            <w:tcW w:w="1300" w:type="dxa"/>
            <w:tcBorders>
              <w:top w:val="nil"/>
              <w:left w:val="nil"/>
              <w:bottom w:val="nil"/>
              <w:right w:val="nil"/>
            </w:tcBorders>
            <w:shd w:val="clear" w:color="auto" w:fill="auto"/>
            <w:noWrap/>
            <w:vAlign w:val="bottom"/>
            <w:hideMark/>
          </w:tcPr>
          <w:p w:rsidR="00895368" w:rsidRPr="00895368" w:rsidRDefault="00895368" w:rsidP="00895368">
            <w:pPr>
              <w:rPr>
                <w:color w:val="000000"/>
              </w:rPr>
            </w:pPr>
            <w:r w:rsidRPr="00895368">
              <w:rPr>
                <w:color w:val="000000"/>
              </w:rPr>
              <w:t>SWE</w:t>
            </w: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47.9</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46.2</w:t>
            </w:r>
          </w:p>
        </w:tc>
        <w:tc>
          <w:tcPr>
            <w:tcW w:w="400"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p>
        </w:tc>
        <w:tc>
          <w:tcPr>
            <w:tcW w:w="1907" w:type="dxa"/>
            <w:tcBorders>
              <w:top w:val="nil"/>
              <w:left w:val="nil"/>
              <w:bottom w:val="nil"/>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47.1</w:t>
            </w:r>
          </w:p>
        </w:tc>
        <w:tc>
          <w:tcPr>
            <w:tcW w:w="1493" w:type="dxa"/>
            <w:tcBorders>
              <w:top w:val="nil"/>
              <w:left w:val="nil"/>
              <w:bottom w:val="nil"/>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55.9</w:t>
            </w:r>
          </w:p>
        </w:tc>
      </w:tr>
      <w:tr w:rsidR="00895368" w:rsidRPr="00895368" w:rsidTr="00895368">
        <w:trPr>
          <w:trHeight w:val="320"/>
        </w:trPr>
        <w:tc>
          <w:tcPr>
            <w:tcW w:w="1300" w:type="dxa"/>
            <w:tcBorders>
              <w:top w:val="nil"/>
              <w:left w:val="nil"/>
              <w:bottom w:val="single" w:sz="4" w:space="0" w:color="auto"/>
              <w:right w:val="nil"/>
            </w:tcBorders>
            <w:shd w:val="clear" w:color="auto" w:fill="auto"/>
            <w:noWrap/>
            <w:vAlign w:val="bottom"/>
            <w:hideMark/>
          </w:tcPr>
          <w:p w:rsidR="00895368" w:rsidRPr="00895368" w:rsidRDefault="00895368" w:rsidP="00895368">
            <w:pPr>
              <w:rPr>
                <w:color w:val="000000"/>
              </w:rPr>
            </w:pPr>
            <w:r w:rsidRPr="00895368">
              <w:rPr>
                <w:color w:val="000000"/>
              </w:rPr>
              <w:t>GBR</w:t>
            </w:r>
          </w:p>
        </w:tc>
        <w:tc>
          <w:tcPr>
            <w:tcW w:w="1907" w:type="dxa"/>
            <w:tcBorders>
              <w:top w:val="nil"/>
              <w:left w:val="nil"/>
              <w:bottom w:val="single" w:sz="4" w:space="0" w:color="auto"/>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52.7</w:t>
            </w:r>
          </w:p>
        </w:tc>
        <w:tc>
          <w:tcPr>
            <w:tcW w:w="1493" w:type="dxa"/>
            <w:tcBorders>
              <w:top w:val="nil"/>
              <w:left w:val="nil"/>
              <w:bottom w:val="single" w:sz="4" w:space="0" w:color="auto"/>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41.9</w:t>
            </w:r>
          </w:p>
        </w:tc>
        <w:tc>
          <w:tcPr>
            <w:tcW w:w="400" w:type="dxa"/>
            <w:tcBorders>
              <w:top w:val="nil"/>
              <w:left w:val="nil"/>
              <w:bottom w:val="single" w:sz="4" w:space="0" w:color="auto"/>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 </w:t>
            </w:r>
          </w:p>
        </w:tc>
        <w:tc>
          <w:tcPr>
            <w:tcW w:w="1907" w:type="dxa"/>
            <w:tcBorders>
              <w:top w:val="nil"/>
              <w:left w:val="nil"/>
              <w:bottom w:val="single" w:sz="4" w:space="0" w:color="auto"/>
              <w:right w:val="nil"/>
            </w:tcBorders>
            <w:shd w:val="clear" w:color="auto" w:fill="auto"/>
            <w:noWrap/>
            <w:vAlign w:val="center"/>
            <w:hideMark/>
          </w:tcPr>
          <w:p w:rsidR="00895368" w:rsidRPr="00895368" w:rsidRDefault="00895368" w:rsidP="00895368">
            <w:pPr>
              <w:jc w:val="center"/>
              <w:rPr>
                <w:color w:val="000000"/>
              </w:rPr>
            </w:pPr>
            <w:r w:rsidRPr="00895368">
              <w:rPr>
                <w:color w:val="000000"/>
              </w:rPr>
              <w:t>73.4</w:t>
            </w:r>
          </w:p>
        </w:tc>
        <w:tc>
          <w:tcPr>
            <w:tcW w:w="1493" w:type="dxa"/>
            <w:tcBorders>
              <w:top w:val="nil"/>
              <w:left w:val="nil"/>
              <w:bottom w:val="single" w:sz="4" w:space="0" w:color="auto"/>
              <w:right w:val="nil"/>
            </w:tcBorders>
            <w:shd w:val="clear" w:color="auto" w:fill="auto"/>
            <w:noWrap/>
            <w:vAlign w:val="bottom"/>
            <w:hideMark/>
          </w:tcPr>
          <w:p w:rsidR="00895368" w:rsidRPr="00895368" w:rsidRDefault="00895368" w:rsidP="00895368">
            <w:pPr>
              <w:jc w:val="center"/>
              <w:rPr>
                <w:color w:val="000000"/>
              </w:rPr>
            </w:pPr>
            <w:r w:rsidRPr="00895368">
              <w:rPr>
                <w:color w:val="000000"/>
              </w:rPr>
              <w:t>48.0</w:t>
            </w:r>
          </w:p>
        </w:tc>
      </w:tr>
    </w:tbl>
    <w:p w:rsidR="00895368" w:rsidRPr="00590F2F" w:rsidRDefault="00895368"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FC4A13" w:rsidP="0098461F">
      <w:pPr>
        <w:jc w:val="both"/>
        <w:rPr>
          <w:b/>
        </w:rPr>
      </w:pPr>
    </w:p>
    <w:p w:rsidR="00FC4A13" w:rsidRPr="00590F2F" w:rsidRDefault="003D4DB0" w:rsidP="003D4DB0">
      <w:pPr>
        <w:rPr>
          <w:b/>
        </w:rPr>
      </w:pPr>
      <w:r>
        <w:rPr>
          <w:b/>
        </w:rPr>
        <w:br w:type="page"/>
      </w:r>
    </w:p>
    <w:p w:rsidR="00FC4A13" w:rsidRPr="00590F2F" w:rsidRDefault="00FC4A13" w:rsidP="0098461F">
      <w:pPr>
        <w:jc w:val="both"/>
        <w:rPr>
          <w:b/>
        </w:rPr>
      </w:pPr>
    </w:p>
    <w:p w:rsidR="00C63C11" w:rsidRPr="00590F2F" w:rsidRDefault="00C63C11" w:rsidP="00C63C11">
      <w:pPr>
        <w:jc w:val="both"/>
        <w:rPr>
          <w:b/>
        </w:rPr>
      </w:pPr>
      <w:r w:rsidRPr="00590F2F">
        <w:rPr>
          <w:b/>
        </w:rPr>
        <w:t>Supplementary Note 1: Alternative model specifications</w:t>
      </w:r>
    </w:p>
    <w:p w:rsidR="00FC4A13" w:rsidRPr="00590F2F" w:rsidRDefault="00FC4A13" w:rsidP="00161A31">
      <w:pPr>
        <w:spacing w:line="360" w:lineRule="auto"/>
        <w:jc w:val="both"/>
        <w:rPr>
          <w:bCs/>
        </w:rPr>
      </w:pPr>
    </w:p>
    <w:p w:rsidR="00161A31" w:rsidRPr="00590F2F" w:rsidRDefault="00161A31" w:rsidP="00161A31">
      <w:pPr>
        <w:spacing w:line="360" w:lineRule="auto"/>
        <w:jc w:val="both"/>
        <w:rPr>
          <w:bCs/>
        </w:rPr>
      </w:pPr>
      <w:r w:rsidRPr="00590F2F">
        <w:rPr>
          <w:bCs/>
        </w:rPr>
        <w:t xml:space="preserve">The final model formulation included in this study </w:t>
      </w:r>
      <w:r w:rsidRPr="00590F2F">
        <w:t xml:space="preserve">to estimate the % of maritime trade for trade flow </w:t>
      </w:r>
      <w:r w:rsidRPr="00590F2F">
        <w:rPr>
          <w:i/>
          <w:iCs/>
        </w:rPr>
        <w:t xml:space="preserve">n </w:t>
      </w:r>
      <w:r w:rsidRPr="00590F2F">
        <w:t xml:space="preserve">of goods within sector </w:t>
      </w:r>
      <w:r w:rsidRPr="00590F2F">
        <w:rPr>
          <w:i/>
          <w:iCs/>
        </w:rPr>
        <w:t xml:space="preserve">s </w:t>
      </w:r>
      <w:r w:rsidRPr="00590F2F">
        <w:t xml:space="preserve">given the mode alternatives </w:t>
      </w:r>
      <w:proofErr w:type="spellStart"/>
      <w:r w:rsidRPr="00590F2F">
        <w:t>i</w:t>
      </w:r>
      <w:proofErr w:type="spellEnd"/>
    </w:p>
    <w:p w:rsidR="00161A31" w:rsidRPr="00590F2F" w:rsidRDefault="00161A31" w:rsidP="00161A31">
      <w:pPr>
        <w:keepNext/>
        <w:spacing w:line="360" w:lineRule="auto"/>
        <w:jc w:val="both"/>
      </w:pPr>
      <m:oMathPara>
        <m:oMath>
          <m:r>
            <w:rPr>
              <w:rFonts w:ascii="Cambria Math" w:hAnsi="Cambria Math"/>
              <w:sz w:val="22"/>
              <w:szCs w:val="22"/>
            </w:rPr>
            <m:t>LN</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ns,mar</m:t>
                      </m:r>
                    </m:sub>
                  </m:sSub>
                </m:den>
              </m:f>
              <m:r>
                <w:rPr>
                  <w:rFonts w:ascii="Cambria Math" w:hAnsi="Cambria Math"/>
                  <w:sz w:val="22"/>
                  <w:szCs w:val="22"/>
                </w:rPr>
                <m:t>-1</m:t>
              </m:r>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ns,air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ns,mar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ns,road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ns,mar</m:t>
                  </m:r>
                </m:sub>
              </m:sSub>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2</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ns,air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ns,mar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ns,road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ns,mar</m:t>
                  </m:r>
                </m:sub>
              </m:sSub>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3</m:t>
              </m:r>
            </m:sub>
          </m:sSub>
          <m:r>
            <w:rPr>
              <w:rFonts w:ascii="Cambria Math" w:hAnsi="Cambria Math"/>
              <w:sz w:val="22"/>
              <w:szCs w:val="22"/>
            </w:rPr>
            <m:t>Weight+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4</m:t>
              </m:r>
            </m:sub>
          </m:sSub>
          <m:r>
            <w:rPr>
              <w:rFonts w:ascii="Cambria Math" w:hAnsi="Cambria Math"/>
              <w:sz w:val="22"/>
              <w:szCs w:val="22"/>
            </w:rPr>
            <m:t>Value+</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5</m:t>
              </m:r>
            </m:sub>
          </m:sSub>
          <m:r>
            <w:rPr>
              <w:rFonts w:ascii="Cambria Math" w:hAnsi="Cambria Math"/>
              <w:sz w:val="22"/>
              <w:szCs w:val="22"/>
            </w:rPr>
            <m:t>GDPcap+Neighb+</m:t>
          </m:r>
          <m:sSub>
            <m:sSubPr>
              <m:ctrlPr>
                <w:rPr>
                  <w:rFonts w:ascii="Cambria Math" w:hAnsi="Cambria Math"/>
                  <w:i/>
                  <w:sz w:val="22"/>
                  <w:szCs w:val="22"/>
                </w:rPr>
              </m:ctrlPr>
            </m:sSubPr>
            <m:e>
              <m:r>
                <m:rPr>
                  <m:sty m:val="p"/>
                </m:rPr>
                <w:rPr>
                  <w:rFonts w:ascii="Cambria Math" w:hAnsi="Cambria Math"/>
                  <w:sz w:val="22"/>
                  <w:szCs w:val="22"/>
                </w:rPr>
                <m:t>γ</m:t>
              </m:r>
            </m:e>
            <m:sub>
              <m:r>
                <w:rPr>
                  <w:rFonts w:ascii="Cambria Math" w:hAnsi="Cambria Math"/>
                  <w:sz w:val="22"/>
                  <w:szCs w:val="22"/>
                </w:rPr>
                <m:t>s</m:t>
              </m:r>
            </m:sub>
          </m:sSub>
          <m:r>
            <w:rPr>
              <w:rFonts w:ascii="Cambria Math" w:hAnsi="Cambria Math"/>
              <w:sz w:val="22"/>
              <w:szCs w:val="22"/>
            </w:rPr>
            <m:t>+ C</m:t>
          </m:r>
        </m:oMath>
      </m:oMathPara>
    </w:p>
    <w:p w:rsidR="00161A31" w:rsidRPr="00590F2F" w:rsidRDefault="00161A31" w:rsidP="00161A31">
      <w:pPr>
        <w:spacing w:line="360" w:lineRule="auto"/>
        <w:jc w:val="both"/>
        <w:rPr>
          <w:rFonts w:eastAsiaTheme="minorEastAsia"/>
          <w:iCs/>
        </w:rPr>
      </w:pPr>
      <w:r w:rsidRPr="00590F2F">
        <w:rPr>
          <w:rFonts w:eastAsiaTheme="minorEastAsia"/>
        </w:rPr>
        <w:t xml:space="preserve">with </w:t>
      </w:r>
      <m:oMath>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ns,i</m:t>
            </m:r>
          </m:sub>
        </m:sSub>
      </m:oMath>
      <w:r w:rsidRPr="00590F2F">
        <w:rPr>
          <w:rFonts w:eastAsiaTheme="minorEastAsia"/>
          <w:iCs/>
        </w:rPr>
        <w:t xml:space="preserve"> the generalised cost function:</w:t>
      </w:r>
      <w:r w:rsidRPr="00590F2F">
        <w:tab/>
      </w:r>
    </w:p>
    <w:p w:rsidR="00161A31" w:rsidRPr="00590F2F" w:rsidRDefault="00FD144C" w:rsidP="00161A31">
      <w:pPr>
        <w:spacing w:line="360" w:lineRule="auto"/>
        <w:jc w:val="both"/>
        <w:rPr>
          <w:rFonts w:eastAsiaTheme="minorEastAsia"/>
          <w:iCs/>
        </w:rPr>
      </w:pPr>
      <m:oMathPara>
        <m:oMath>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ns,i</m:t>
              </m:r>
            </m:sub>
          </m:sSub>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ns,i</m:t>
                  </m:r>
                </m:sub>
              </m:sSub>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ns,i</m:t>
                  </m:r>
                </m:sub>
              </m:sSub>
              <m:sSub>
                <m:sSubPr>
                  <m:ctrlPr>
                    <w:rPr>
                      <w:rFonts w:ascii="Cambria Math" w:eastAsiaTheme="minorEastAsia" w:hAnsi="Cambria Math"/>
                      <w:i/>
                      <w:iCs/>
                    </w:rPr>
                  </m:ctrlPr>
                </m:sSubPr>
                <m:e>
                  <m:r>
                    <w:rPr>
                      <w:rFonts w:ascii="Cambria Math" w:eastAsiaTheme="minorEastAsia" w:hAnsi="Cambria Math"/>
                    </w:rPr>
                    <m:t>V</m:t>
                  </m:r>
                </m:e>
                <m:sub>
                  <m:r>
                    <w:rPr>
                      <w:rFonts w:ascii="Cambria Math" w:eastAsiaTheme="minorEastAsia" w:hAnsi="Cambria Math"/>
                    </w:rPr>
                    <m:t>i</m:t>
                  </m:r>
                </m:sub>
              </m:sSub>
            </m:e>
          </m:d>
        </m:oMath>
      </m:oMathPara>
    </w:p>
    <w:p w:rsidR="00161A31" w:rsidRPr="00590F2F" w:rsidRDefault="00161A31" w:rsidP="00161A31">
      <w:pPr>
        <w:spacing w:line="360" w:lineRule="auto"/>
        <w:jc w:val="both"/>
        <w:rPr>
          <w:rFonts w:eastAsiaTheme="minorEastAsia"/>
          <w:iCs/>
        </w:rPr>
      </w:pPr>
      <w:r w:rsidRPr="00590F2F">
        <w:rPr>
          <w:rFonts w:eastAsiaTheme="minorEastAsia"/>
          <w:iCs/>
        </w:rPr>
        <w:t xml:space="preserve">In this formulation, </w:t>
      </w:r>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ns,i</m:t>
            </m:r>
          </m:sub>
        </m:sSub>
      </m:oMath>
      <w:r w:rsidRPr="00590F2F">
        <w:rPr>
          <w:rFonts w:eastAsiaTheme="minorEastAsia"/>
          <w:iCs/>
        </w:rPr>
        <w:t xml:space="preserve"> is the mode-specific distance in km,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m:t>
            </m:r>
          </m:sub>
        </m:sSub>
      </m:oMath>
      <w:r w:rsidRPr="00590F2F">
        <w:rPr>
          <w:rFonts w:eastAsiaTheme="minorEastAsia"/>
          <w:iCs/>
        </w:rPr>
        <w:t xml:space="preserve"> the mode-specific transport costs per tonnes per km,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ins</m:t>
            </m:r>
          </m:sub>
        </m:sSub>
      </m:oMath>
      <w:r w:rsidRPr="00590F2F">
        <w:rPr>
          <w:rFonts w:eastAsiaTheme="minorEastAsia"/>
          <w:iCs/>
        </w:rPr>
        <w:t xml:space="preserve"> the mode-specific transit time, </w:t>
      </w:r>
      <m:oMath>
        <m:sSub>
          <m:sSubPr>
            <m:ctrlPr>
              <w:rPr>
                <w:rFonts w:ascii="Cambria Math" w:eastAsiaTheme="minorEastAsia" w:hAnsi="Cambria Math"/>
                <w:i/>
                <w:iCs/>
              </w:rPr>
            </m:ctrlPr>
          </m:sSubPr>
          <m:e>
            <m:r>
              <w:rPr>
                <w:rFonts w:ascii="Cambria Math" w:eastAsiaTheme="minorEastAsia" w:hAnsi="Cambria Math"/>
              </w:rPr>
              <m:t>V</m:t>
            </m:r>
          </m:e>
          <m:sub>
            <m:r>
              <w:rPr>
                <w:rFonts w:ascii="Cambria Math" w:eastAsiaTheme="minorEastAsia" w:hAnsi="Cambria Math"/>
              </w:rPr>
              <m:t>i</m:t>
            </m:r>
          </m:sub>
        </m:sSub>
      </m:oMath>
      <w:r w:rsidRPr="00590F2F">
        <w:rPr>
          <w:rFonts w:eastAsiaTheme="minorEastAsia"/>
          <w:iCs/>
        </w:rPr>
        <w:t xml:space="preserve"> the mode-specific value of time per tonnes per hour, </w:t>
      </w:r>
      <m:oMath>
        <m:r>
          <w:rPr>
            <w:rFonts w:ascii="Cambria Math" w:eastAsiaTheme="minorEastAsia" w:hAnsi="Cambria Math"/>
          </w:rPr>
          <m:t>Weight</m:t>
        </m:r>
      </m:oMath>
      <w:r w:rsidRPr="00590F2F">
        <w:rPr>
          <w:rFonts w:eastAsiaTheme="minorEastAsia"/>
          <w:iCs/>
        </w:rPr>
        <w:t xml:space="preserve"> the total transported weight in tonnes, </w:t>
      </w:r>
      <m:oMath>
        <m:r>
          <w:rPr>
            <w:rFonts w:ascii="Cambria Math" w:eastAsiaTheme="minorEastAsia" w:hAnsi="Cambria Math"/>
          </w:rPr>
          <m:t xml:space="preserve">Value </m:t>
        </m:r>
      </m:oMath>
      <w:r w:rsidRPr="00590F2F">
        <w:rPr>
          <w:rFonts w:eastAsiaTheme="minorEastAsia"/>
          <w:iCs/>
        </w:rPr>
        <w:t xml:space="preserve">the value per tonnes of the good in US$, </w:t>
      </w:r>
      <m:oMath>
        <m:r>
          <w:rPr>
            <w:rFonts w:ascii="Cambria Math" w:eastAsiaTheme="minorEastAsia" w:hAnsi="Cambria Math"/>
          </w:rPr>
          <m:t>GDPcap</m:t>
        </m:r>
      </m:oMath>
      <w:r w:rsidRPr="00590F2F">
        <w:rPr>
          <w:rFonts w:eastAsiaTheme="minorEastAsia"/>
          <w:iCs/>
        </w:rPr>
        <w:t xml:space="preserve"> the GDP/capita of the importing country, </w:t>
      </w:r>
      <m:oMath>
        <m:r>
          <w:rPr>
            <w:rFonts w:ascii="Cambria Math" w:eastAsiaTheme="minorEastAsia" w:hAnsi="Cambria Math"/>
          </w:rPr>
          <m:t>Neighb</m:t>
        </m:r>
      </m:oMath>
      <w:r w:rsidRPr="00590F2F">
        <w:rPr>
          <w:rFonts w:eastAsiaTheme="minorEastAsia"/>
          <w:iCs/>
        </w:rPr>
        <w:t xml:space="preserve"> is a dummy variable set to 1 if the countries are neighbours, </w:t>
      </w:r>
      <m:oMath>
        <m:sSub>
          <m:sSubPr>
            <m:ctrlPr>
              <w:rPr>
                <w:rFonts w:ascii="Cambria Math" w:eastAsiaTheme="minorEastAsia" w:hAnsi="Cambria Math"/>
                <w:i/>
                <w:iCs/>
              </w:rPr>
            </m:ctrlPr>
          </m:sSubPr>
          <m:e>
            <m:r>
              <m:rPr>
                <m:sty m:val="p"/>
              </m:rPr>
              <w:rPr>
                <w:rFonts w:ascii="Cambria Math" w:eastAsiaTheme="minorEastAsia" w:hAnsi="Cambria Math"/>
              </w:rPr>
              <m:t>γ</m:t>
            </m:r>
            <m:ctrlPr>
              <w:rPr>
                <w:rFonts w:ascii="Cambria Math" w:eastAsiaTheme="minorEastAsia" w:hAnsi="Cambria Math"/>
                <w:iCs/>
              </w:rPr>
            </m:ctrlPr>
          </m:e>
          <m:sub>
            <m:r>
              <w:rPr>
                <w:rFonts w:ascii="Cambria Math" w:eastAsiaTheme="minorEastAsia" w:hAnsi="Cambria Math"/>
              </w:rPr>
              <m:t>s</m:t>
            </m:r>
          </m:sub>
        </m:sSub>
      </m:oMath>
      <w:r w:rsidRPr="00590F2F">
        <w:rPr>
          <w:rFonts w:eastAsiaTheme="minorEastAsia"/>
          <w:iCs/>
        </w:rPr>
        <w:t xml:space="preserve"> a dummy for commodity type (based on HS2 code) and </w:t>
      </w:r>
      <m:oMath>
        <m:r>
          <w:rPr>
            <w:rFonts w:ascii="Cambria Math" w:eastAsiaTheme="minorEastAsia" w:hAnsi="Cambria Math"/>
          </w:rPr>
          <m:t>C</m:t>
        </m:r>
      </m:oMath>
      <w:r w:rsidRPr="00590F2F">
        <w:rPr>
          <w:rFonts w:eastAsiaTheme="minorEastAsia"/>
          <w:iCs/>
        </w:rPr>
        <w:t xml:space="preserve"> a constant. </w:t>
      </w:r>
    </w:p>
    <w:p w:rsidR="00161A31" w:rsidRPr="00590F2F" w:rsidRDefault="00161A31" w:rsidP="00161A31">
      <w:pPr>
        <w:spacing w:line="360" w:lineRule="auto"/>
        <w:jc w:val="both"/>
        <w:rPr>
          <w:bCs/>
        </w:rPr>
      </w:pPr>
      <w:r w:rsidRPr="00590F2F">
        <w:rPr>
          <w:rFonts w:eastAsiaTheme="minorEastAsia"/>
          <w:iCs/>
        </w:rPr>
        <w:t xml:space="preserve">However, we have tested various formulations and picked the formulation that performs best given its complexity. The most extensive model (Model 1) is the extending the formulation adopted with an additional dummy parameter per continent pair (21 dummies). </w:t>
      </w:r>
      <w:r w:rsidR="001B0B84" w:rsidRPr="00590F2F">
        <w:rPr>
          <w:rFonts w:eastAsiaTheme="minorEastAsia"/>
          <w:iCs/>
        </w:rPr>
        <w:t xml:space="preserve">Model 2 has dummy variables for continent pairs, but not for the commodity type. Model 3 is the model formulation we adopted </w:t>
      </w:r>
      <w:r w:rsidR="009D18E2" w:rsidRPr="00590F2F">
        <w:rPr>
          <w:rFonts w:eastAsiaTheme="minorEastAsia"/>
          <w:iCs/>
        </w:rPr>
        <w:t>in the paper. Model 4 is similar to Model 3, but without the extra time component (</w:t>
      </w:r>
      <w:r w:rsidR="009D18E2" w:rsidRPr="00590F2F">
        <w:rPr>
          <w:rFonts w:eastAsiaTheme="minorEastAsia"/>
          <w:iCs/>
        </w:rPr>
        <w:sym w:font="Symbol" w:char="F062"/>
      </w:r>
      <w:r w:rsidR="009D18E2" w:rsidRPr="00590F2F">
        <w:rPr>
          <w:rFonts w:eastAsiaTheme="minorEastAsia"/>
          <w:iCs/>
          <w:vertAlign w:val="subscript"/>
        </w:rPr>
        <w:t>2</w:t>
      </w:r>
      <w:r w:rsidR="009D18E2" w:rsidRPr="00590F2F">
        <w:rPr>
          <w:rFonts w:eastAsiaTheme="minorEastAsia"/>
          <w:iCs/>
        </w:rPr>
        <w:t xml:space="preserve">). Model 5 is a variation of Model 4, but without the continent dummy. At last, Model 6 is similar as Model 3, but with an alternative formulation of the parameters for </w:t>
      </w:r>
      <w:r w:rsidR="009D18E2" w:rsidRPr="00590F2F">
        <w:rPr>
          <w:rFonts w:eastAsiaTheme="minorEastAsia"/>
          <w:iCs/>
        </w:rPr>
        <w:sym w:font="Symbol" w:char="F062"/>
      </w:r>
      <w:r w:rsidR="009D18E2" w:rsidRPr="00590F2F">
        <w:rPr>
          <w:rFonts w:eastAsiaTheme="minorEastAsia"/>
          <w:iCs/>
          <w:vertAlign w:val="subscript"/>
        </w:rPr>
        <w:t xml:space="preserve">1 </w:t>
      </w:r>
      <w:r w:rsidR="009D18E2" w:rsidRPr="00590F2F">
        <w:rPr>
          <w:bCs/>
        </w:rPr>
        <w:t xml:space="preserve">and </w:t>
      </w:r>
      <w:r w:rsidR="009D18E2" w:rsidRPr="00590F2F">
        <w:rPr>
          <w:rFonts w:eastAsiaTheme="minorEastAsia"/>
          <w:iCs/>
        </w:rPr>
        <w:sym w:font="Symbol" w:char="F062"/>
      </w:r>
      <w:r w:rsidR="009D18E2" w:rsidRPr="00590F2F">
        <w:rPr>
          <w:rFonts w:eastAsiaTheme="minorEastAsia"/>
          <w:iCs/>
          <w:vertAlign w:val="subscript"/>
        </w:rPr>
        <w:t xml:space="preserve">2 </w:t>
      </w:r>
      <w:r w:rsidR="009D18E2" w:rsidRPr="00590F2F">
        <w:rPr>
          <w:bCs/>
        </w:rPr>
        <w:t>by including the value of the product in the cost function:</w:t>
      </w:r>
    </w:p>
    <w:p w:rsidR="009D18E2" w:rsidRPr="00590F2F" w:rsidRDefault="009D18E2" w:rsidP="009D18E2">
      <w:pPr>
        <w:keepNext/>
        <w:spacing w:line="360" w:lineRule="auto"/>
        <w:jc w:val="both"/>
        <w:rPr>
          <w:rFonts w:eastAsiaTheme="minorEastAsia"/>
          <w:sz w:val="22"/>
          <w:szCs w:val="22"/>
        </w:rPr>
      </w:pPr>
      <m:oMathPara>
        <m:oMath>
          <m:r>
            <w:rPr>
              <w:rFonts w:ascii="Cambria Math" w:hAnsi="Cambria Math"/>
              <w:sz w:val="22"/>
              <w:szCs w:val="22"/>
            </w:rPr>
            <m:t>LN</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ns,mar</m:t>
                      </m:r>
                    </m:sub>
                  </m:sSub>
                </m:den>
              </m:f>
              <m:r>
                <w:rPr>
                  <w:rFonts w:ascii="Cambria Math" w:hAnsi="Cambria Math"/>
                  <w:sz w:val="22"/>
                  <w:szCs w:val="22"/>
                </w:rPr>
                <m:t>-1</m:t>
              </m:r>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ns,air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ns,mar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ns,road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ns,mar</m:t>
                  </m:r>
                </m:sub>
              </m:sSub>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2</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ns,air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ns,mar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ns,road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ns,mar</m:t>
                  </m:r>
                </m:sub>
              </m:sSub>
            </m:e>
          </m:d>
          <m:r>
            <w:rPr>
              <w:rFonts w:ascii="Cambria Math" w:hAnsi="Cambria Math"/>
              <w:sz w:val="22"/>
              <w:szCs w:val="22"/>
            </w:rPr>
            <m:t>Value+</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3</m:t>
              </m:r>
            </m:sub>
          </m:sSub>
          <m:r>
            <w:rPr>
              <w:rFonts w:ascii="Cambria Math" w:hAnsi="Cambria Math"/>
              <w:sz w:val="22"/>
              <w:szCs w:val="22"/>
            </w:rPr>
            <m:t>Weight+</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4</m:t>
              </m:r>
            </m:sub>
          </m:sSub>
          <m:r>
            <w:rPr>
              <w:rFonts w:ascii="Cambria Math" w:hAnsi="Cambria Math"/>
              <w:sz w:val="22"/>
              <w:szCs w:val="22"/>
            </w:rPr>
            <m:t>Value+</m:t>
          </m:r>
          <m:sSub>
            <m:sSubPr>
              <m:ctrlPr>
                <w:rPr>
                  <w:rFonts w:ascii="Cambria Math" w:hAnsi="Cambria Math"/>
                  <w:i/>
                  <w:sz w:val="22"/>
                  <w:szCs w:val="22"/>
                </w:rPr>
              </m:ctrlPr>
            </m:sSubPr>
            <m:e>
              <m:r>
                <m:rPr>
                  <m:sty m:val="p"/>
                </m:rPr>
                <w:rPr>
                  <w:rFonts w:ascii="Cambria Math" w:hAnsi="Cambria Math"/>
                  <w:sz w:val="22"/>
                  <w:szCs w:val="22"/>
                </w:rPr>
                <m:t>β</m:t>
              </m:r>
            </m:e>
            <m:sub>
              <m:r>
                <w:rPr>
                  <w:rFonts w:ascii="Cambria Math" w:hAnsi="Cambria Math"/>
                  <w:sz w:val="22"/>
                  <w:szCs w:val="22"/>
                </w:rPr>
                <m:t>5</m:t>
              </m:r>
            </m:sub>
          </m:sSub>
          <m:r>
            <w:rPr>
              <w:rFonts w:ascii="Cambria Math" w:hAnsi="Cambria Math"/>
              <w:sz w:val="22"/>
              <w:szCs w:val="22"/>
            </w:rPr>
            <m:t>GDPcap+Neighb+</m:t>
          </m:r>
          <m:sSub>
            <m:sSubPr>
              <m:ctrlPr>
                <w:rPr>
                  <w:rFonts w:ascii="Cambria Math" w:hAnsi="Cambria Math"/>
                  <w:i/>
                  <w:sz w:val="22"/>
                  <w:szCs w:val="22"/>
                </w:rPr>
              </m:ctrlPr>
            </m:sSubPr>
            <m:e>
              <m:r>
                <m:rPr>
                  <m:sty m:val="p"/>
                </m:rPr>
                <w:rPr>
                  <w:rFonts w:ascii="Cambria Math" w:hAnsi="Cambria Math"/>
                  <w:sz w:val="22"/>
                  <w:szCs w:val="22"/>
                </w:rPr>
                <m:t>γ</m:t>
              </m:r>
            </m:e>
            <m:sub>
              <m:r>
                <w:rPr>
                  <w:rFonts w:ascii="Cambria Math" w:hAnsi="Cambria Math"/>
                  <w:sz w:val="22"/>
                  <w:szCs w:val="22"/>
                </w:rPr>
                <m:t>s</m:t>
              </m:r>
            </m:sub>
          </m:sSub>
          <m:r>
            <w:rPr>
              <w:rFonts w:ascii="Cambria Math" w:hAnsi="Cambria Math"/>
              <w:sz w:val="22"/>
              <w:szCs w:val="22"/>
            </w:rPr>
            <m:t>+ C</m:t>
          </m:r>
        </m:oMath>
      </m:oMathPara>
    </w:p>
    <w:p w:rsidR="009D18E2" w:rsidRPr="00590F2F" w:rsidRDefault="009D18E2" w:rsidP="009D18E2">
      <w:pPr>
        <w:spacing w:line="360" w:lineRule="auto"/>
        <w:jc w:val="both"/>
        <w:rPr>
          <w:rFonts w:eastAsiaTheme="minorEastAsia"/>
          <w:iCs/>
        </w:rPr>
      </w:pPr>
      <w:r w:rsidRPr="00590F2F">
        <w:rPr>
          <w:rFonts w:eastAsiaTheme="minorEastAsia"/>
        </w:rPr>
        <w:t xml:space="preserve">with </w:t>
      </w:r>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ns,i</m:t>
            </m:r>
          </m:sub>
        </m:sSub>
      </m:oMath>
      <w:r w:rsidRPr="00590F2F">
        <w:rPr>
          <w:rFonts w:eastAsiaTheme="minorEastAsia"/>
          <w:iCs/>
        </w:rPr>
        <w:t xml:space="preserve"> the generalised cost function:</w:t>
      </w:r>
      <w:r w:rsidRPr="00590F2F">
        <w:tab/>
      </w:r>
    </w:p>
    <w:p w:rsidR="009D18E2" w:rsidRPr="00590F2F" w:rsidRDefault="00FD144C" w:rsidP="009D18E2">
      <w:pPr>
        <w:spacing w:line="360" w:lineRule="auto"/>
        <w:jc w:val="both"/>
        <w:rPr>
          <w:rFonts w:eastAsiaTheme="minorEastAsia"/>
          <w:iCs/>
        </w:rPr>
      </w:pPr>
      <m:oMathPara>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ns,i</m:t>
              </m:r>
            </m:sub>
          </m:sSub>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ns,i</m:t>
                  </m:r>
                </m:sub>
              </m:sSub>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m:t>
                  </m:r>
                </m:sub>
              </m:sSub>
            </m:e>
          </m:d>
        </m:oMath>
      </m:oMathPara>
    </w:p>
    <w:p w:rsidR="009D18E2" w:rsidRPr="00590F2F" w:rsidRDefault="009D18E2" w:rsidP="0098461F">
      <w:pPr>
        <w:jc w:val="both"/>
        <w:rPr>
          <w:bCs/>
        </w:rPr>
      </w:pPr>
    </w:p>
    <w:p w:rsidR="00C63C11" w:rsidRPr="00590F2F" w:rsidRDefault="009D18E2" w:rsidP="009118DC">
      <w:pPr>
        <w:spacing w:line="360" w:lineRule="auto"/>
        <w:jc w:val="both"/>
        <w:rPr>
          <w:bCs/>
        </w:rPr>
      </w:pPr>
      <w:r w:rsidRPr="00590F2F">
        <w:rPr>
          <w:bCs/>
        </w:rPr>
        <w:lastRenderedPageBreak/>
        <w:t xml:space="preserve">In the end, Model 3 outperformed all other formulations in reducing the Mean Square Error (MSE) (factor 1.62-2.20 better) and is adopted. We should note that more formulations were tested (including adding a </w:t>
      </w:r>
      <w:proofErr w:type="spellStart"/>
      <w:r w:rsidRPr="00745207">
        <w:rPr>
          <w:bCs/>
        </w:rPr>
        <w:t>GDPc</w:t>
      </w:r>
      <w:r w:rsidR="00745207">
        <w:rPr>
          <w:bCs/>
        </w:rPr>
        <w:t>ap</w:t>
      </w:r>
      <w:proofErr w:type="spellEnd"/>
      <w:r w:rsidRPr="00590F2F">
        <w:rPr>
          <w:bCs/>
        </w:rPr>
        <w:t xml:space="preserve"> component for the exporting country and testing alternative cost function), but these were the main six models </w:t>
      </w:r>
      <w:r w:rsidR="009118DC" w:rsidRPr="00590F2F">
        <w:rPr>
          <w:bCs/>
        </w:rPr>
        <w:t xml:space="preserve">tested. </w:t>
      </w:r>
    </w:p>
    <w:p w:rsidR="009D18E2" w:rsidRPr="00590F2F" w:rsidRDefault="009D18E2" w:rsidP="0098461F">
      <w:pPr>
        <w:jc w:val="both"/>
        <w:rPr>
          <w:bCs/>
        </w:rPr>
      </w:pPr>
    </w:p>
    <w:p w:rsidR="002057A4" w:rsidRPr="00590F2F" w:rsidRDefault="00575383" w:rsidP="0098461F">
      <w:pPr>
        <w:jc w:val="both"/>
        <w:rPr>
          <w:b/>
        </w:rPr>
      </w:pPr>
      <w:r w:rsidRPr="00590F2F">
        <w:rPr>
          <w:b/>
        </w:rPr>
        <w:t xml:space="preserve">Supplementary Note </w:t>
      </w:r>
      <w:r w:rsidR="00C63C11" w:rsidRPr="00590F2F">
        <w:rPr>
          <w:b/>
        </w:rPr>
        <w:t>2</w:t>
      </w:r>
      <w:r w:rsidRPr="00590F2F">
        <w:rPr>
          <w:b/>
        </w:rPr>
        <w:t>: Validation modal split model</w:t>
      </w:r>
    </w:p>
    <w:p w:rsidR="00575383" w:rsidRPr="00590F2F" w:rsidRDefault="00575383" w:rsidP="0098461F">
      <w:pPr>
        <w:jc w:val="both"/>
        <w:rPr>
          <w:b/>
        </w:rPr>
      </w:pPr>
    </w:p>
    <w:p w:rsidR="00575383" w:rsidRPr="00590F2F" w:rsidRDefault="00A70B40" w:rsidP="0098461F">
      <w:pPr>
        <w:spacing w:line="360" w:lineRule="auto"/>
        <w:jc w:val="both"/>
        <w:rPr>
          <w:bCs/>
        </w:rPr>
      </w:pPr>
      <w:r w:rsidRPr="00590F2F">
        <w:rPr>
          <w:bCs/>
        </w:rPr>
        <w:t xml:space="preserve">Apart from the internal validation process, we perform an external validation of the results for countries for which we could find modal share data. </w:t>
      </w:r>
    </w:p>
    <w:p w:rsidR="000D1C26" w:rsidRDefault="000D1C26" w:rsidP="0098461F">
      <w:pPr>
        <w:spacing w:line="360" w:lineRule="auto"/>
        <w:jc w:val="both"/>
        <w:rPr>
          <w:bCs/>
        </w:rPr>
      </w:pPr>
      <w:r w:rsidRPr="00590F2F">
        <w:rPr>
          <w:bCs/>
        </w:rPr>
        <w:t>For New Zealand, we find that maritime transport accounted for 81.</w:t>
      </w:r>
      <w:r w:rsidR="00160897" w:rsidRPr="00590F2F">
        <w:rPr>
          <w:bCs/>
        </w:rPr>
        <w:t>8</w:t>
      </w:r>
      <w:r w:rsidRPr="00590F2F">
        <w:rPr>
          <w:bCs/>
        </w:rPr>
        <w:t>% of imports and 91.7% of exports</w:t>
      </w:r>
      <w:r w:rsidR="00160897" w:rsidRPr="00590F2F">
        <w:rPr>
          <w:bCs/>
        </w:rPr>
        <w:t xml:space="preserve"> in 2015</w:t>
      </w:r>
      <w:r w:rsidRPr="00590F2F">
        <w:rPr>
          <w:bCs/>
        </w:rPr>
        <w:t>, whereas the official data</w:t>
      </w:r>
      <w:r w:rsidR="00160897" w:rsidRPr="00590F2F">
        <w:rPr>
          <w:bCs/>
        </w:rPr>
        <w:t xml:space="preserve"> (average of 2005-2015)</w:t>
      </w:r>
      <w:r w:rsidR="00160897" w:rsidRPr="00590F2F">
        <w:rPr>
          <w:rStyle w:val="FootnoteReference"/>
          <w:bCs/>
        </w:rPr>
        <w:footnoteReference w:id="1"/>
      </w:r>
      <w:r w:rsidRPr="00590F2F">
        <w:rPr>
          <w:bCs/>
        </w:rPr>
        <w:t xml:space="preserve"> showed that these shares were</w:t>
      </w:r>
      <w:r w:rsidR="00160897" w:rsidRPr="00590F2F">
        <w:rPr>
          <w:bCs/>
        </w:rPr>
        <w:t xml:space="preserve"> </w:t>
      </w:r>
      <w:r w:rsidRPr="00590F2F">
        <w:rPr>
          <w:bCs/>
        </w:rPr>
        <w:t>77% and 88%</w:t>
      </w:r>
      <w:r w:rsidR="00160897" w:rsidRPr="00590F2F">
        <w:rPr>
          <w:bCs/>
        </w:rPr>
        <w:t xml:space="preserve">, </w:t>
      </w:r>
      <w:r w:rsidRPr="00590F2F">
        <w:rPr>
          <w:bCs/>
        </w:rPr>
        <w:t xml:space="preserve">respectively. </w:t>
      </w:r>
      <w:r w:rsidR="00160897" w:rsidRPr="00590F2F">
        <w:rPr>
          <w:bCs/>
        </w:rPr>
        <w:t xml:space="preserve">For the United States, we find maritime import and export shares of 57.5% and </w:t>
      </w:r>
      <w:r w:rsidR="00460DFF" w:rsidRPr="00590F2F">
        <w:rPr>
          <w:bCs/>
        </w:rPr>
        <w:t>41.6%, respectively, which are in line with the number provided by the United States Department of Transportation who estimated these shares to be 53% and 38% in 2011</w:t>
      </w:r>
      <w:r w:rsidR="00460DFF" w:rsidRPr="00590F2F">
        <w:rPr>
          <w:rStyle w:val="FootnoteReference"/>
          <w:bCs/>
        </w:rPr>
        <w:footnoteReference w:id="2"/>
      </w:r>
      <w:r w:rsidR="00460DFF" w:rsidRPr="00590F2F">
        <w:rPr>
          <w:bCs/>
        </w:rPr>
        <w:t xml:space="preserve">. </w:t>
      </w:r>
      <w:r w:rsidR="00C5366F" w:rsidRPr="00590F2F">
        <w:rPr>
          <w:bCs/>
        </w:rPr>
        <w:t>The overestimation can be caused by different years as reference and the fact that we use capital cities as centroids, thereby estimating higher transport costs for road transport if the distance between capital cities of neighbouring countries is large (e.g. USA-Mexico, USA-Canada).</w:t>
      </w:r>
      <w:r w:rsidR="0098461F" w:rsidRPr="00590F2F">
        <w:rPr>
          <w:bCs/>
        </w:rPr>
        <w:t xml:space="preserve"> For the European Union</w:t>
      </w:r>
      <w:r w:rsidR="00895368" w:rsidRPr="00590F2F">
        <w:rPr>
          <w:bCs/>
        </w:rPr>
        <w:t xml:space="preserve"> (EU)</w:t>
      </w:r>
      <w:r w:rsidR="0098461F" w:rsidRPr="00590F2F">
        <w:rPr>
          <w:bCs/>
        </w:rPr>
        <w:t xml:space="preserve"> countries, the share of maritime transport in </w:t>
      </w:r>
      <w:r w:rsidR="00895368" w:rsidRPr="00590F2F">
        <w:rPr>
          <w:bCs/>
        </w:rPr>
        <w:t>extra-EU trade was 55% for imports and 47% for exports in 2019</w:t>
      </w:r>
      <w:r w:rsidR="00895368" w:rsidRPr="00590F2F">
        <w:rPr>
          <w:rStyle w:val="FootnoteReference"/>
          <w:bCs/>
        </w:rPr>
        <w:footnoteReference w:id="3"/>
      </w:r>
      <w:r w:rsidR="00895368" w:rsidRPr="00590F2F">
        <w:rPr>
          <w:bCs/>
        </w:rPr>
        <w:t xml:space="preserve">. Our model prediction estimates these shares to be 63% for imports and 50% for exports in 2015. Moreover, we can estimate the accuracy per country for the EU28 countries. The results are included in Supplementary Table </w:t>
      </w:r>
      <w:r w:rsidR="00224AEA">
        <w:rPr>
          <w:bCs/>
        </w:rPr>
        <w:t>6.</w:t>
      </w:r>
      <w:r w:rsidR="00895368" w:rsidRPr="00590F2F">
        <w:rPr>
          <w:bCs/>
        </w:rPr>
        <w:t xml:space="preserve"> </w:t>
      </w:r>
      <w:r w:rsidR="00FC4A13" w:rsidRPr="00590F2F">
        <w:rPr>
          <w:bCs/>
        </w:rPr>
        <w:t>The prediction is well, with correlation coefficients of 0.77 (exports) and 0.50 (imports) and R</w:t>
      </w:r>
      <w:r w:rsidR="00FC4A13" w:rsidRPr="00590F2F">
        <w:rPr>
          <w:bCs/>
          <w:vertAlign w:val="superscript"/>
        </w:rPr>
        <w:t>2</w:t>
      </w:r>
      <w:r w:rsidR="00FC4A13" w:rsidRPr="00590F2F">
        <w:rPr>
          <w:bCs/>
        </w:rPr>
        <w:t xml:space="preserve"> values of 0.60</w:t>
      </w:r>
      <w:r w:rsidR="00E95054" w:rsidRPr="00590F2F">
        <w:rPr>
          <w:bCs/>
        </w:rPr>
        <w:t xml:space="preserve"> (exports) and 0.25 (imports) (all with N = 26). </w:t>
      </w:r>
      <w:r w:rsidR="00FF075E" w:rsidRPr="00590F2F">
        <w:rPr>
          <w:bCs/>
        </w:rPr>
        <w:t xml:space="preserve">The imports tend to be overpredicted to some extent, which can explained by the different base years (2015 versus 2019), the definition of mode of transport (not clear) and inclusion of alternative modes (in particular rail transport from Asia). </w:t>
      </w:r>
    </w:p>
    <w:p w:rsidR="00400539" w:rsidRDefault="00400539" w:rsidP="0098461F">
      <w:pPr>
        <w:spacing w:line="360" w:lineRule="auto"/>
        <w:jc w:val="both"/>
        <w:rPr>
          <w:bCs/>
        </w:rPr>
      </w:pPr>
    </w:p>
    <w:p w:rsidR="00400539" w:rsidRDefault="00400539" w:rsidP="0098461F">
      <w:pPr>
        <w:spacing w:line="360" w:lineRule="auto"/>
        <w:jc w:val="both"/>
        <w:rPr>
          <w:bCs/>
        </w:rPr>
      </w:pPr>
    </w:p>
    <w:p w:rsidR="00400539" w:rsidRDefault="00400539" w:rsidP="0098461F">
      <w:pPr>
        <w:spacing w:line="360" w:lineRule="auto"/>
        <w:jc w:val="both"/>
        <w:rPr>
          <w:bCs/>
        </w:rPr>
      </w:pPr>
    </w:p>
    <w:p w:rsidR="00400539" w:rsidRDefault="00400539" w:rsidP="0098461F">
      <w:pPr>
        <w:spacing w:line="360" w:lineRule="auto"/>
        <w:jc w:val="both"/>
        <w:rPr>
          <w:bCs/>
        </w:rPr>
      </w:pPr>
    </w:p>
    <w:p w:rsidR="00400539" w:rsidRDefault="00400539" w:rsidP="0098461F">
      <w:pPr>
        <w:spacing w:line="360" w:lineRule="auto"/>
        <w:jc w:val="both"/>
        <w:rPr>
          <w:bCs/>
        </w:rPr>
      </w:pPr>
    </w:p>
    <w:p w:rsidR="00400539" w:rsidRDefault="00400539" w:rsidP="0098461F">
      <w:pPr>
        <w:spacing w:line="360" w:lineRule="auto"/>
        <w:jc w:val="both"/>
        <w:rPr>
          <w:bCs/>
        </w:rPr>
      </w:pPr>
    </w:p>
    <w:p w:rsidR="00400539" w:rsidRPr="00400539" w:rsidRDefault="00400539" w:rsidP="0098461F">
      <w:pPr>
        <w:spacing w:line="360" w:lineRule="auto"/>
        <w:jc w:val="both"/>
        <w:rPr>
          <w:b/>
        </w:rPr>
      </w:pPr>
      <w:r w:rsidRPr="00400539">
        <w:rPr>
          <w:b/>
        </w:rPr>
        <w:lastRenderedPageBreak/>
        <w:t>Supplementary References</w:t>
      </w:r>
    </w:p>
    <w:p w:rsidR="00400539" w:rsidRPr="00400539" w:rsidRDefault="00400539" w:rsidP="00400539">
      <w:pPr>
        <w:widowControl w:val="0"/>
        <w:autoSpaceDE w:val="0"/>
        <w:autoSpaceDN w:val="0"/>
        <w:adjustRightInd w:val="0"/>
        <w:spacing w:line="360" w:lineRule="auto"/>
        <w:ind w:left="640" w:hanging="640"/>
        <w:rPr>
          <w:noProof/>
        </w:rPr>
      </w:pPr>
      <w:r>
        <w:rPr>
          <w:bCs/>
        </w:rPr>
        <w:fldChar w:fldCharType="begin" w:fldLock="1"/>
      </w:r>
      <w:r>
        <w:rPr>
          <w:bCs/>
        </w:rPr>
        <w:instrText xml:space="preserve">ADDIN Mendeley Bibliography CSL_BIBLIOGRAPHY </w:instrText>
      </w:r>
      <w:r>
        <w:rPr>
          <w:bCs/>
        </w:rPr>
        <w:fldChar w:fldCharType="separate"/>
      </w:r>
      <w:r w:rsidRPr="00400539">
        <w:rPr>
          <w:noProof/>
        </w:rPr>
        <w:t>1.</w:t>
      </w:r>
      <w:r w:rsidRPr="00400539">
        <w:rPr>
          <w:noProof/>
        </w:rPr>
        <w:tab/>
        <w:t xml:space="preserve">Brown, M. C. Using gini-style indices to evaluate the spatial patterns of health practitioners: Theoretical considerations and an application based on Alberta data. </w:t>
      </w:r>
      <w:r w:rsidRPr="00400539">
        <w:rPr>
          <w:i/>
          <w:iCs/>
          <w:noProof/>
        </w:rPr>
        <w:t>Soc. Sci. Med.</w:t>
      </w:r>
      <w:r w:rsidRPr="00400539">
        <w:rPr>
          <w:noProof/>
        </w:rPr>
        <w:t xml:space="preserve"> </w:t>
      </w:r>
      <w:r w:rsidRPr="00400539">
        <w:rPr>
          <w:b/>
          <w:bCs/>
          <w:noProof/>
        </w:rPr>
        <w:t>38</w:t>
      </w:r>
      <w:r w:rsidRPr="00400539">
        <w:rPr>
          <w:noProof/>
        </w:rPr>
        <w:t>, 1243–1256 (1994).</w:t>
      </w:r>
    </w:p>
    <w:p w:rsidR="00400539" w:rsidRPr="00400539" w:rsidRDefault="00400539" w:rsidP="00400539">
      <w:pPr>
        <w:widowControl w:val="0"/>
        <w:autoSpaceDE w:val="0"/>
        <w:autoSpaceDN w:val="0"/>
        <w:adjustRightInd w:val="0"/>
        <w:spacing w:line="360" w:lineRule="auto"/>
        <w:ind w:left="640" w:hanging="640"/>
        <w:rPr>
          <w:noProof/>
        </w:rPr>
      </w:pPr>
      <w:r w:rsidRPr="00400539">
        <w:rPr>
          <w:noProof/>
        </w:rPr>
        <w:t>2.</w:t>
      </w:r>
      <w:r w:rsidRPr="00400539">
        <w:rPr>
          <w:noProof/>
        </w:rPr>
        <w:tab/>
        <w:t xml:space="preserve">United Nations Statistical Division. UN Comtrade database. </w:t>
      </w:r>
      <w:r w:rsidRPr="00400539">
        <w:rPr>
          <w:i/>
          <w:iCs/>
          <w:noProof/>
        </w:rPr>
        <w:t>UN Comtrade database</w:t>
      </w:r>
      <w:r w:rsidRPr="00400539">
        <w:rPr>
          <w:noProof/>
        </w:rPr>
        <w:t xml:space="preserve"> (2020). Available at: https://comtrade.un.org. (Accessed: 1st February 2020)</w:t>
      </w:r>
    </w:p>
    <w:p w:rsidR="00400539" w:rsidRPr="00400539" w:rsidRDefault="00400539" w:rsidP="00400539">
      <w:pPr>
        <w:widowControl w:val="0"/>
        <w:autoSpaceDE w:val="0"/>
        <w:autoSpaceDN w:val="0"/>
        <w:adjustRightInd w:val="0"/>
        <w:spacing w:line="360" w:lineRule="auto"/>
        <w:ind w:left="640" w:hanging="640"/>
        <w:rPr>
          <w:noProof/>
        </w:rPr>
      </w:pPr>
      <w:r w:rsidRPr="00400539">
        <w:rPr>
          <w:noProof/>
        </w:rPr>
        <w:t>3.</w:t>
      </w:r>
      <w:r w:rsidRPr="00400539">
        <w:rPr>
          <w:noProof/>
        </w:rPr>
        <w:tab/>
        <w:t xml:space="preserve">Lenzen, M., Kanemoto, K., Moran, D. &amp; Geschke, A. Mapping the structure of the world economy. </w:t>
      </w:r>
      <w:r w:rsidRPr="00400539">
        <w:rPr>
          <w:i/>
          <w:iCs/>
          <w:noProof/>
        </w:rPr>
        <w:t>Environ. Sci. Technol.</w:t>
      </w:r>
      <w:r w:rsidRPr="00400539">
        <w:rPr>
          <w:noProof/>
        </w:rPr>
        <w:t xml:space="preserve"> </w:t>
      </w:r>
      <w:r w:rsidRPr="00400539">
        <w:rPr>
          <w:b/>
          <w:bCs/>
          <w:noProof/>
        </w:rPr>
        <w:t>46</w:t>
      </w:r>
      <w:r w:rsidRPr="00400539">
        <w:rPr>
          <w:noProof/>
        </w:rPr>
        <w:t>, 8374–8381 (2012).</w:t>
      </w:r>
    </w:p>
    <w:p w:rsidR="00400539" w:rsidRPr="00590F2F" w:rsidRDefault="00400539" w:rsidP="0098461F">
      <w:pPr>
        <w:spacing w:line="360" w:lineRule="auto"/>
        <w:jc w:val="both"/>
        <w:rPr>
          <w:bCs/>
        </w:rPr>
      </w:pPr>
      <w:r>
        <w:rPr>
          <w:bCs/>
        </w:rPr>
        <w:fldChar w:fldCharType="end"/>
      </w:r>
    </w:p>
    <w:sectPr w:rsidR="00400539" w:rsidRPr="00590F2F" w:rsidSect="00032A56">
      <w:pgSz w:w="11952" w:h="1684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144C" w:rsidRDefault="00FD144C" w:rsidP="00160897">
      <w:r>
        <w:separator/>
      </w:r>
    </w:p>
  </w:endnote>
  <w:endnote w:type="continuationSeparator" w:id="0">
    <w:p w:rsidR="00FD144C" w:rsidRDefault="00FD144C" w:rsidP="0016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144C" w:rsidRDefault="00FD144C" w:rsidP="00160897">
      <w:r>
        <w:separator/>
      </w:r>
    </w:p>
  </w:footnote>
  <w:footnote w:type="continuationSeparator" w:id="0">
    <w:p w:rsidR="00FD144C" w:rsidRDefault="00FD144C" w:rsidP="00160897">
      <w:r>
        <w:continuationSeparator/>
      </w:r>
    </w:p>
  </w:footnote>
  <w:footnote w:id="1">
    <w:p w:rsidR="00224AEA" w:rsidRPr="00895368" w:rsidRDefault="00224AEA">
      <w:pPr>
        <w:pStyle w:val="FootnoteText"/>
        <w:rPr>
          <w:sz w:val="18"/>
          <w:szCs w:val="18"/>
        </w:rPr>
      </w:pPr>
      <w:r w:rsidRPr="00895368">
        <w:rPr>
          <w:rStyle w:val="FootnoteReference"/>
          <w:sz w:val="18"/>
          <w:szCs w:val="18"/>
        </w:rPr>
        <w:footnoteRef/>
      </w:r>
      <w:r w:rsidRPr="00895368">
        <w:rPr>
          <w:sz w:val="18"/>
          <w:szCs w:val="18"/>
        </w:rPr>
        <w:t xml:space="preserve"> http://archive.stats.govt.nz/browse_for_stats/industry_sectors/imports_and_exports/overseas-merchandise-trade/Methods-transporting-imported-and-exported-goods.aspx#gsc.tab=0</w:t>
      </w:r>
    </w:p>
  </w:footnote>
  <w:footnote w:id="2">
    <w:p w:rsidR="00224AEA" w:rsidRPr="00895368" w:rsidRDefault="00224AEA">
      <w:pPr>
        <w:pStyle w:val="FootnoteText"/>
        <w:rPr>
          <w:sz w:val="18"/>
          <w:szCs w:val="18"/>
        </w:rPr>
      </w:pPr>
      <w:r w:rsidRPr="00895368">
        <w:rPr>
          <w:rStyle w:val="FootnoteReference"/>
          <w:sz w:val="18"/>
          <w:szCs w:val="18"/>
        </w:rPr>
        <w:footnoteRef/>
      </w:r>
      <w:r w:rsidRPr="00895368">
        <w:rPr>
          <w:sz w:val="18"/>
          <w:szCs w:val="18"/>
        </w:rPr>
        <w:t xml:space="preserve"> https://www.bts.gov/archive/publications/by_the_numbers/maritime_trade_and_transportation/index</w:t>
      </w:r>
    </w:p>
  </w:footnote>
  <w:footnote w:id="3">
    <w:p w:rsidR="00224AEA" w:rsidRDefault="00224AEA">
      <w:pPr>
        <w:pStyle w:val="FootnoteText"/>
      </w:pPr>
      <w:r w:rsidRPr="00895368">
        <w:rPr>
          <w:rStyle w:val="FootnoteReference"/>
          <w:sz w:val="18"/>
          <w:szCs w:val="18"/>
        </w:rPr>
        <w:footnoteRef/>
      </w:r>
      <w:r w:rsidRPr="00895368">
        <w:rPr>
          <w:sz w:val="18"/>
          <w:szCs w:val="18"/>
        </w:rPr>
        <w:t xml:space="preserve"> https://ec.europa.eu/eurostat/statistics explained/index.php/International_trade_in_goods_by_mode_of_transport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383"/>
    <w:rsid w:val="000259D5"/>
    <w:rsid w:val="00032A56"/>
    <w:rsid w:val="000606B5"/>
    <w:rsid w:val="000D1C26"/>
    <w:rsid w:val="000E1813"/>
    <w:rsid w:val="000E394C"/>
    <w:rsid w:val="00112568"/>
    <w:rsid w:val="00160897"/>
    <w:rsid w:val="00161A31"/>
    <w:rsid w:val="001733CB"/>
    <w:rsid w:val="00187EFD"/>
    <w:rsid w:val="001A1F2B"/>
    <w:rsid w:val="001B0B84"/>
    <w:rsid w:val="001F2F53"/>
    <w:rsid w:val="002057A4"/>
    <w:rsid w:val="00224AEA"/>
    <w:rsid w:val="002B12E4"/>
    <w:rsid w:val="002D3535"/>
    <w:rsid w:val="002F151E"/>
    <w:rsid w:val="002F7C01"/>
    <w:rsid w:val="003D4DB0"/>
    <w:rsid w:val="00400539"/>
    <w:rsid w:val="00460DFF"/>
    <w:rsid w:val="004654AB"/>
    <w:rsid w:val="00473E63"/>
    <w:rsid w:val="005312DE"/>
    <w:rsid w:val="00541CE1"/>
    <w:rsid w:val="00575383"/>
    <w:rsid w:val="00576019"/>
    <w:rsid w:val="00590F2F"/>
    <w:rsid w:val="005973CD"/>
    <w:rsid w:val="005D02F0"/>
    <w:rsid w:val="006A685B"/>
    <w:rsid w:val="007374EE"/>
    <w:rsid w:val="00745207"/>
    <w:rsid w:val="008068FF"/>
    <w:rsid w:val="00813267"/>
    <w:rsid w:val="00887F2D"/>
    <w:rsid w:val="00895368"/>
    <w:rsid w:val="008A1D3A"/>
    <w:rsid w:val="009118DC"/>
    <w:rsid w:val="0098461F"/>
    <w:rsid w:val="009D18E2"/>
    <w:rsid w:val="009E1EEA"/>
    <w:rsid w:val="00A621A5"/>
    <w:rsid w:val="00A70B40"/>
    <w:rsid w:val="00A7679D"/>
    <w:rsid w:val="00AF5E06"/>
    <w:rsid w:val="00BC6716"/>
    <w:rsid w:val="00C33E77"/>
    <w:rsid w:val="00C5366F"/>
    <w:rsid w:val="00C63C11"/>
    <w:rsid w:val="00CF5B72"/>
    <w:rsid w:val="00D20180"/>
    <w:rsid w:val="00DA2C8D"/>
    <w:rsid w:val="00E34FC9"/>
    <w:rsid w:val="00E62700"/>
    <w:rsid w:val="00E95054"/>
    <w:rsid w:val="00EE2DD6"/>
    <w:rsid w:val="00F66CBE"/>
    <w:rsid w:val="00F9011E"/>
    <w:rsid w:val="00FA5C29"/>
    <w:rsid w:val="00FC4A13"/>
    <w:rsid w:val="00FD144C"/>
    <w:rsid w:val="00FF075E"/>
    <w:rsid w:val="00FF3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A82C0"/>
  <w15:chartTrackingRefBased/>
  <w15:docId w15:val="{8BFA3CF9-01A2-7F4B-AB7B-EB42E3ED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2F0"/>
    <w:rPr>
      <w:rFonts w:eastAsia="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60897"/>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160897"/>
    <w:rPr>
      <w:sz w:val="20"/>
      <w:szCs w:val="20"/>
    </w:rPr>
  </w:style>
  <w:style w:type="character" w:styleId="FootnoteReference">
    <w:name w:val="footnote reference"/>
    <w:basedOn w:val="DefaultParagraphFont"/>
    <w:uiPriority w:val="99"/>
    <w:semiHidden/>
    <w:unhideWhenUsed/>
    <w:rsid w:val="00160897"/>
    <w:rPr>
      <w:vertAlign w:val="superscript"/>
    </w:rPr>
  </w:style>
  <w:style w:type="character" w:styleId="Hyperlink">
    <w:name w:val="Hyperlink"/>
    <w:basedOn w:val="DefaultParagraphFont"/>
    <w:uiPriority w:val="99"/>
    <w:unhideWhenUsed/>
    <w:rsid w:val="00895368"/>
    <w:rPr>
      <w:color w:val="0563C1" w:themeColor="hyperlink"/>
      <w:u w:val="single"/>
    </w:rPr>
  </w:style>
  <w:style w:type="character" w:styleId="UnresolvedMention">
    <w:name w:val="Unresolved Mention"/>
    <w:basedOn w:val="DefaultParagraphFont"/>
    <w:uiPriority w:val="99"/>
    <w:semiHidden/>
    <w:unhideWhenUsed/>
    <w:rsid w:val="00895368"/>
    <w:rPr>
      <w:color w:val="605E5C"/>
      <w:shd w:val="clear" w:color="auto" w:fill="E1DFDD"/>
    </w:rPr>
  </w:style>
  <w:style w:type="character" w:styleId="PlaceholderText">
    <w:name w:val="Placeholder Text"/>
    <w:basedOn w:val="DefaultParagraphFont"/>
    <w:uiPriority w:val="99"/>
    <w:semiHidden/>
    <w:rsid w:val="005973CD"/>
    <w:rPr>
      <w:color w:val="808080"/>
    </w:rPr>
  </w:style>
  <w:style w:type="paragraph" w:styleId="BalloonText">
    <w:name w:val="Balloon Text"/>
    <w:basedOn w:val="Normal"/>
    <w:link w:val="BalloonTextChar"/>
    <w:uiPriority w:val="99"/>
    <w:semiHidden/>
    <w:unhideWhenUsed/>
    <w:rsid w:val="00C33E77"/>
    <w:rPr>
      <w:sz w:val="18"/>
      <w:szCs w:val="18"/>
    </w:rPr>
  </w:style>
  <w:style w:type="character" w:customStyle="1" w:styleId="BalloonTextChar">
    <w:name w:val="Balloon Text Char"/>
    <w:basedOn w:val="DefaultParagraphFont"/>
    <w:link w:val="BalloonText"/>
    <w:uiPriority w:val="99"/>
    <w:semiHidden/>
    <w:rsid w:val="00C33E77"/>
    <w:rPr>
      <w:rFonts w:eastAsia="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868967">
      <w:bodyDiv w:val="1"/>
      <w:marLeft w:val="0"/>
      <w:marRight w:val="0"/>
      <w:marTop w:val="0"/>
      <w:marBottom w:val="0"/>
      <w:divBdr>
        <w:top w:val="none" w:sz="0" w:space="0" w:color="auto"/>
        <w:left w:val="none" w:sz="0" w:space="0" w:color="auto"/>
        <w:bottom w:val="none" w:sz="0" w:space="0" w:color="auto"/>
        <w:right w:val="none" w:sz="0" w:space="0" w:color="auto"/>
      </w:divBdr>
    </w:div>
    <w:div w:id="992105495">
      <w:bodyDiv w:val="1"/>
      <w:marLeft w:val="0"/>
      <w:marRight w:val="0"/>
      <w:marTop w:val="0"/>
      <w:marBottom w:val="0"/>
      <w:divBdr>
        <w:top w:val="none" w:sz="0" w:space="0" w:color="auto"/>
        <w:left w:val="none" w:sz="0" w:space="0" w:color="auto"/>
        <w:bottom w:val="none" w:sz="0" w:space="0" w:color="auto"/>
        <w:right w:val="none" w:sz="0" w:space="0" w:color="auto"/>
      </w:divBdr>
    </w:div>
    <w:div w:id="1240822372">
      <w:bodyDiv w:val="1"/>
      <w:marLeft w:val="0"/>
      <w:marRight w:val="0"/>
      <w:marTop w:val="0"/>
      <w:marBottom w:val="0"/>
      <w:divBdr>
        <w:top w:val="none" w:sz="0" w:space="0" w:color="auto"/>
        <w:left w:val="none" w:sz="0" w:space="0" w:color="auto"/>
        <w:bottom w:val="none" w:sz="0" w:space="0" w:color="auto"/>
        <w:right w:val="none" w:sz="0" w:space="0" w:color="auto"/>
      </w:divBdr>
    </w:div>
    <w:div w:id="1300653168">
      <w:bodyDiv w:val="1"/>
      <w:marLeft w:val="0"/>
      <w:marRight w:val="0"/>
      <w:marTop w:val="0"/>
      <w:marBottom w:val="0"/>
      <w:divBdr>
        <w:top w:val="none" w:sz="0" w:space="0" w:color="auto"/>
        <w:left w:val="none" w:sz="0" w:space="0" w:color="auto"/>
        <w:bottom w:val="none" w:sz="0" w:space="0" w:color="auto"/>
        <w:right w:val="none" w:sz="0" w:space="0" w:color="auto"/>
      </w:divBdr>
    </w:div>
    <w:div w:id="1598632103">
      <w:bodyDiv w:val="1"/>
      <w:marLeft w:val="0"/>
      <w:marRight w:val="0"/>
      <w:marTop w:val="0"/>
      <w:marBottom w:val="0"/>
      <w:divBdr>
        <w:top w:val="none" w:sz="0" w:space="0" w:color="auto"/>
        <w:left w:val="none" w:sz="0" w:space="0" w:color="auto"/>
        <w:bottom w:val="none" w:sz="0" w:space="0" w:color="auto"/>
        <w:right w:val="none" w:sz="0" w:space="0" w:color="auto"/>
      </w:divBdr>
    </w:div>
    <w:div w:id="166573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E5F50-0DDD-2D49-B0AE-BFF3AE5E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18</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Verschuur</dc:creator>
  <cp:keywords/>
  <dc:description/>
  <cp:lastModifiedBy>Jasper Verschuur</cp:lastModifiedBy>
  <cp:revision>45</cp:revision>
  <dcterms:created xsi:type="dcterms:W3CDTF">2020-09-01T09:46:00Z</dcterms:created>
  <dcterms:modified xsi:type="dcterms:W3CDTF">2020-11-11T12:25:00Z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http://www.zotero.org/styles/environmental-science-and-policy</vt:lpwstr>
  </property>
  <property fmtid="{D5CDD505-2E9C-101B-9397-08002B2CF9AE}" pid="11" name="Mendeley Recent Style Name 4_1">
    <vt:lpwstr>Environmental Science and Policy</vt:lpwstr>
  </property>
  <property fmtid="{D5CDD505-2E9C-101B-9397-08002B2CF9AE}" pid="12" name="Mendeley Recent Style Id 5_1">
    <vt:lpwstr>http://www.zotero.org/styles/global-environmental-change</vt:lpwstr>
  </property>
  <property fmtid="{D5CDD505-2E9C-101B-9397-08002B2CF9AE}" pid="13" name="Mendeley Recent Style Name 5_1">
    <vt:lpwstr>Global Environmental Change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http://www.zotero.org/styles/plos-one</vt:lpwstr>
  </property>
  <property fmtid="{D5CDD505-2E9C-101B-9397-08002B2CF9AE}" pid="21" name="Mendeley Recent Style Name 9_1">
    <vt:lpwstr>PLOS ONE</vt:lpwstr>
  </property>
  <property fmtid="{D5CDD505-2E9C-101B-9397-08002B2CF9AE}" pid="22" name="Mendeley Document_1">
    <vt:lpwstr>True</vt:lpwstr>
  </property>
  <property fmtid="{D5CDD505-2E9C-101B-9397-08002B2CF9AE}" pid="23" name="Mendeley Unique User Id_1">
    <vt:lpwstr>781b9479-f752-3654-9829-7b2764f7616c</vt:lpwstr>
  </property>
  <property fmtid="{D5CDD505-2E9C-101B-9397-08002B2CF9AE}" pid="24" name="Mendeley Citation Style_1">
    <vt:lpwstr>http://www.zotero.org/styles/nature-communications</vt:lpwstr>
  </property>
</Properties>
</file>