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C92E8" w14:textId="77777777" w:rsidR="0021664D" w:rsidRDefault="00000000">
      <w:pPr>
        <w:pBdr>
          <w:top w:val="none" w:sz="0" w:space="0" w:color="000000"/>
          <w:left w:val="none" w:sz="0" w:space="0" w:color="000000"/>
          <w:bottom w:val="none" w:sz="0" w:space="0" w:color="000000"/>
          <w:right w:val="none" w:sz="0" w:space="0" w:color="000000"/>
        </w:pBdr>
        <w:spacing w:after="120"/>
      </w:pPr>
      <w:r>
        <w:rPr>
          <w:rFonts w:ascii="Times New Roman" w:eastAsia="Times New Roman" w:hAnsi="Times New Roman" w:cs="Times New Roman"/>
          <w:b/>
          <w:color w:val="000000"/>
          <w:sz w:val="30"/>
          <w:szCs w:val="30"/>
        </w:rPr>
        <w:t>Supplementary material</w:t>
      </w:r>
    </w:p>
    <w:p w14:paraId="11FCB7B5" w14:textId="77777777" w:rsidR="0021664D" w:rsidRDefault="00000000">
      <w:pPr>
        <w:pBdr>
          <w:top w:val="none" w:sz="0" w:space="0" w:color="000000"/>
          <w:left w:val="none" w:sz="0" w:space="0" w:color="000000"/>
          <w:bottom w:val="none" w:sz="0" w:space="0" w:color="000000"/>
          <w:right w:val="none" w:sz="0" w:space="0" w:color="000000"/>
        </w:pBdr>
        <w:spacing w:after="280" w:line="288" w:lineRule="auto"/>
      </w:pPr>
      <w:r>
        <w:rPr>
          <w:rFonts w:ascii="Times New Roman" w:eastAsia="Times New Roman" w:hAnsi="Times New Roman" w:cs="Times New Roman"/>
          <w:i/>
          <w:color w:val="000000"/>
          <w:sz w:val="22"/>
          <w:szCs w:val="22"/>
        </w:rPr>
        <w:t>Divergent trends in child undernutrition in Bangladesh, 2012-2025: falling stunting alongside rising wasting in three nationally representative surveys</w:t>
      </w:r>
    </w:p>
    <w:p w14:paraId="2720641C" w14:textId="77777777" w:rsidR="0021664D" w:rsidRDefault="00000000">
      <w:pPr>
        <w:pBdr>
          <w:top w:val="none" w:sz="0" w:space="0" w:color="000000"/>
          <w:left w:val="none" w:sz="0" w:space="0" w:color="000000"/>
          <w:bottom w:val="none" w:sz="0" w:space="0" w:color="000000"/>
          <w:right w:val="none" w:sz="0" w:space="0" w:color="000000"/>
        </w:pBdr>
        <w:spacing w:before="240" w:after="80"/>
      </w:pPr>
      <w:r>
        <w:rPr>
          <w:rFonts w:ascii="Times New Roman" w:eastAsia="Times New Roman" w:hAnsi="Times New Roman" w:cs="Times New Roman"/>
          <w:b/>
          <w:color w:val="000000"/>
          <w:sz w:val="26"/>
          <w:szCs w:val="26"/>
        </w:rPr>
        <w:t>Table S1. Reproduction of published survey estimates</w:t>
      </w:r>
    </w:p>
    <w:p w14:paraId="20AD5958"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Every estimate we produce for 2025 that also appears in the Bangladesh MICS 2025 preliminary report is listed below against the published value. This is reported because an analysis of public microdata that cannot reproduce the survey's own published figures should not be relied upon for anything further. The report publishes stunting and wasting rounded to whole numbers and overweight and severe wasting to one decimal place, so agreement is assessed at the precision published.</w:t>
      </w:r>
    </w:p>
    <w:tbl>
      <w:tblPr>
        <w:tblW w:w="0" w:type="auto"/>
        <w:jc w:val="center"/>
        <w:tblLayout w:type="fixed"/>
        <w:tblLook w:val="0420" w:firstRow="1" w:lastRow="0" w:firstColumn="0" w:lastColumn="0" w:noHBand="0" w:noVBand="1"/>
      </w:tblPr>
      <w:tblGrid>
        <w:gridCol w:w="1080"/>
        <w:gridCol w:w="1080"/>
        <w:gridCol w:w="1080"/>
        <w:gridCol w:w="1080"/>
        <w:gridCol w:w="1080"/>
        <w:gridCol w:w="1080"/>
        <w:gridCol w:w="1080"/>
      </w:tblGrid>
      <w:tr w:rsidR="0021664D" w14:paraId="09D5CA4F" w14:textId="77777777">
        <w:trPr>
          <w:tblHeader/>
          <w:jc w:val="center"/>
        </w:trPr>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549504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b/>
                <w:color w:val="000000"/>
                <w:sz w:val="16"/>
                <w:szCs w:val="16"/>
              </w:rPr>
            </w:pPr>
            <w:r>
              <w:rPr>
                <w:rFonts w:ascii="Times New Roman" w:eastAsia="Arial" w:hAnsi="Arial" w:cs="Arial"/>
                <w:b/>
                <w:color w:val="000000"/>
                <w:sz w:val="16"/>
                <w:szCs w:val="16"/>
              </w:rPr>
              <w:t>Group</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89955F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b/>
                <w:color w:val="000000"/>
                <w:sz w:val="16"/>
                <w:szCs w:val="16"/>
              </w:rPr>
            </w:pPr>
            <w:r>
              <w:rPr>
                <w:rFonts w:ascii="Times New Roman" w:eastAsia="Arial" w:hAnsi="Arial" w:cs="Arial"/>
                <w:b/>
                <w:color w:val="000000"/>
                <w:sz w:val="16"/>
                <w:szCs w:val="16"/>
              </w:rPr>
              <w:t>Category</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D83919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b/>
                <w:color w:val="000000"/>
                <w:sz w:val="16"/>
                <w:szCs w:val="16"/>
              </w:rPr>
            </w:pPr>
            <w:r>
              <w:rPr>
                <w:rFonts w:ascii="Times New Roman" w:eastAsia="Arial" w:hAnsi="Arial" w:cs="Arial"/>
                <w:b/>
                <w:color w:val="000000"/>
                <w:sz w:val="16"/>
                <w:szCs w:val="16"/>
              </w:rPr>
              <w:t>Indicator</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B76064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Published (%)</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9DCC91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This analysis (%)</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61C0AC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Difference (pp)</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CD6DC7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Agrees</w:t>
            </w:r>
          </w:p>
        </w:tc>
      </w:tr>
      <w:tr w:rsidR="0021664D" w14:paraId="518D9C67" w14:textId="77777777">
        <w:trPr>
          <w:jc w:val="center"/>
        </w:trPr>
        <w:tc>
          <w:tcPr>
            <w:tcW w:w="1080" w:type="dxa"/>
            <w:vMerge w:val="restar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EE7F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National</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D6534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National</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50B5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D0752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24.0</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2A1DC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24.01</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C503E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+0.01</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39FF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3B5DEEBF"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B6000C"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CA40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National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9D67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A9B31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483CB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4E1DA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D3B1F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6A062465"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9CF5D2"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8F4A5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National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2499C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CC99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3DFB8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1.74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E7057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C9928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024F7450"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AF261D"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5DDD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National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C102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508A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9D00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D680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5D31E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015B170B" w14:textId="77777777">
        <w:trPr>
          <w:jc w:val="center"/>
        </w:trPr>
        <w:tc>
          <w:tcPr>
            <w:tcW w:w="1080"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2DBFE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Division</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29076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Barishal</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CA64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5482D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2BFB5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25.54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555FD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49A56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65AECD38"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8FC46F"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6FA79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Chattogram</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7CD4B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FA0B1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7A0C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25.66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2F851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-0.34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12009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42098574"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03C81D"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20FA8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Dhaka</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378F1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8556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71C66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21.72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D56A2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5578D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ACDF45C"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519992"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7D352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Khulna</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6C0A9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DECD9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132E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20.90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8AB21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DF04F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61816886"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244097"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ED28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Mymensingh</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6F273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4015D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93918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24.95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43DF8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E25FC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2A240226"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3D9F6"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1D80D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Rajshahi</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E3B29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6E41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A9C1E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018C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425E2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56D00B51"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7333D0"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977B6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Rangpur</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659A7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E2EF9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0D539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23.39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4C670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+0.39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19409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288D3CD6"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F052F"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869EF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Sylhet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8E0B4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52910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3BB2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31.95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E89D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7A3D4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669FB1EC"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639D35"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2CE5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Barishal</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02185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6CF22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920C0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12.85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302F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5829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2985BBC6"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98746"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47486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Chattogram</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20F5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3F1C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5EF8F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13.63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830DB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2702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690C797B"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815D78"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B837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Dhaka</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1F088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97FC6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BA42C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A0737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B0F7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09398444"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9D4133"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DAF47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Khulna</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E1D9F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72C26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999B3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12.75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3D7E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DFAE9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C06A5EB"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93DB2C"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4C293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Mymensingh</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D5CAC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D0AC5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70C8C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D3F44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4E39A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A457ACD"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7F193"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B800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Rajshahi</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8A538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B3E9A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1712D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14.79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BA3D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095D1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7FF51B59"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84C18B"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01DEB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Rangpur</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AF29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C892D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B55C9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13.49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D6EF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869B0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No</w:t>
            </w:r>
          </w:p>
        </w:tc>
      </w:tr>
      <w:tr w:rsidR="0021664D" w14:paraId="214CE29E"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27290E"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5EE48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Sylhet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715B1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C16C8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6D870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13.62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E3024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-0.38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AF74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51F9267"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9E84FE"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0C39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Barishal</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C3DF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2ED5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F8526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7D7EC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745CF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2E4CD729"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403A01"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E283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Chattogram</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5A409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6DB78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259BF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DE27B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A6FD3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D7DCDA5"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E711F1"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A8206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Dhaka</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F088D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BF072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376C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71A9C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B3BB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561CE743"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46EC55"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57E5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Khulna</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2C235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53F39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B4701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3D482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698B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761CBD92"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E0E62F"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B61A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Mymensingh</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0F2A6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B65C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DB3B8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87C6D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E5132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315E8C89"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1744A"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F7043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Rajshahi</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A6B5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4672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73EA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CC736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74EAB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20D6692"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4233DF"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CCAC2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Rangpur</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5529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6D955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7E0F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4DFE7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28889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60863654"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24B4B9"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35F43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Sylhet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E61D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7A97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CC872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68DBA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BE4C6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4644E42F"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F1AB8"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0D56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Barishal</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7414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04CD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073E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2A32D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EC389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02DEE073"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2B04C"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2298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Chattogram</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0ED2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F7A0D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2AC4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F8EF6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04E55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260414C8"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5544D7"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EB44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Dhaka</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965C1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587BF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9935E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B5EA6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EF866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2214A147"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9DFDB3"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1A629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Khulna</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460FC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830F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DB4E3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558A8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B0F78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5E66BB40"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7BF338"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E575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Mymensingh</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8FCE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6AACB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6FD16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2153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B5D2D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59436A3D"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2A8016"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808CC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Rajshahi</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A6993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1DAA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3D3D0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B678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9E5C2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7FAA5F1F"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F86F9"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F9A5A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Rangpur</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5484B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73DE7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A0C0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1BC34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2056A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99175D5"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029AA"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B2CE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Sylhet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6AB6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Severe 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B6B3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8CBEB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7CA8D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591A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0B5CFDE2" w14:textId="77777777">
        <w:trPr>
          <w:jc w:val="center"/>
        </w:trPr>
        <w:tc>
          <w:tcPr>
            <w:tcW w:w="1080"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622ED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Residence</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ABCC5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Urban</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BF91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05B2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56831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21.70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F2C7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88E24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88AB809"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847CE7"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86D6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Rural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4AE1B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C0F6C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C801F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24.95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003A1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2859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84F547A"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C2F921"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C21E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Urban</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0CAC1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3228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C19BD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11.98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857E4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A093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7CF5BDF4"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87E39"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BF297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Rural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A7D05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F0865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E0D9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B77B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6BE9D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D522380" w14:textId="77777777">
        <w:trPr>
          <w:jc w:val="center"/>
        </w:trPr>
        <w:tc>
          <w:tcPr>
            <w:tcW w:w="1080"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5415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lastRenderedPageBreak/>
              <w:t>Wealth</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8584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Poorest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CFAC7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18BAD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C54B0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32.28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DC6C3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2F580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63B5CBBC"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89647"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1A052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Richest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4574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D4010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7332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2CE1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9A121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1A0B416F"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55C609"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9B1FD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Second</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21230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4A2FB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56DB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14.92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E4D4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87BA8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2EDA76AC"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9ECE2"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615E5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Richest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DDB7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9619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718CE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9.64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7A32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-0.36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7C191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789571D0" w14:textId="77777777">
        <w:trPr>
          <w:jc w:val="center"/>
        </w:trPr>
        <w:tc>
          <w:tcPr>
            <w:tcW w:w="1080" w:type="dxa"/>
            <w:vMerge w:val="restar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E0761A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Child age</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9195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6-11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E96E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08D9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39F2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7CC2A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45533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r w:rsidR="0021664D" w14:paraId="556FBA09" w14:textId="77777777">
        <w:trPr>
          <w:jc w:val="center"/>
        </w:trPr>
        <w:tc>
          <w:tcPr>
            <w:tcW w:w="1080" w:type="dxa"/>
            <w:vMerge/>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83C31CD"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84F350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48-59</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1B31AA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F13285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14.0</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CFFE5E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14.15</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022B2D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+0.15</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E33D49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Yes</w:t>
            </w:r>
          </w:p>
        </w:tc>
      </w:tr>
    </w:tbl>
    <w:p w14:paraId="3A40DDFC" w14:textId="77777777" w:rsidR="0021664D" w:rsidRDefault="00000000">
      <w:pPr>
        <w:pBdr>
          <w:top w:val="none" w:sz="0" w:space="0" w:color="000000"/>
          <w:left w:val="none" w:sz="0" w:space="0" w:color="000000"/>
          <w:bottom w:val="none" w:sz="0" w:space="0" w:color="000000"/>
          <w:right w:val="none" w:sz="0" w:space="0" w:color="000000"/>
        </w:pBdr>
        <w:spacing w:before="60" w:after="200" w:line="276" w:lineRule="auto"/>
      </w:pPr>
      <w:r>
        <w:rPr>
          <w:rFonts w:ascii="Times New Roman" w:eastAsia="Times New Roman" w:hAnsi="Times New Roman" w:cs="Times New Roman"/>
          <w:color w:val="000000"/>
          <w:sz w:val="18"/>
          <w:szCs w:val="18"/>
        </w:rPr>
        <w:t>45 of 46 estimates agree at the published precision. The exception is wasting in Rangpur, where we obtain 13.49% against a published 14%. Since the report rounds to whole numbers, its unrounded value must have been at least 13.5%; ours is 13.49%. The difference is half a percentage point and well within sampling variation, but it is reported here rather than omitted.</w:t>
      </w:r>
    </w:p>
    <w:p w14:paraId="6590E9E8" w14:textId="77777777" w:rsidR="0021664D" w:rsidRDefault="00000000">
      <w:pPr>
        <w:pBdr>
          <w:top w:val="none" w:sz="0" w:space="0" w:color="000000"/>
          <w:left w:val="none" w:sz="0" w:space="0" w:color="000000"/>
          <w:bottom w:val="none" w:sz="0" w:space="0" w:color="000000"/>
          <w:right w:val="none" w:sz="0" w:space="0" w:color="000000"/>
        </w:pBdr>
        <w:spacing w:before="240" w:after="80"/>
      </w:pPr>
      <w:r>
        <w:rPr>
          <w:rFonts w:ascii="Times New Roman" w:eastAsia="Times New Roman" w:hAnsi="Times New Roman" w:cs="Times New Roman"/>
          <w:b/>
          <w:color w:val="000000"/>
          <w:sz w:val="26"/>
          <w:szCs w:val="26"/>
        </w:rPr>
        <w:t>Table S2. Wealth-related inequality, with design-based intervals</w:t>
      </w:r>
    </w:p>
    <w:tbl>
      <w:tblPr>
        <w:tblW w:w="0" w:type="auto"/>
        <w:jc w:val="center"/>
        <w:tblLayout w:type="fixed"/>
        <w:tblLook w:val="0420" w:firstRow="1" w:lastRow="0" w:firstColumn="0" w:lastColumn="0" w:noHBand="0" w:noVBand="1"/>
      </w:tblPr>
      <w:tblGrid>
        <w:gridCol w:w="1080"/>
        <w:gridCol w:w="1080"/>
        <w:gridCol w:w="1080"/>
        <w:gridCol w:w="1080"/>
        <w:gridCol w:w="1080"/>
        <w:gridCol w:w="1080"/>
        <w:gridCol w:w="1080"/>
      </w:tblGrid>
      <w:tr w:rsidR="0021664D" w14:paraId="1F086130" w14:textId="77777777">
        <w:trPr>
          <w:tblHeader/>
          <w:jc w:val="center"/>
        </w:trPr>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36A4F9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b/>
                <w:color w:val="000000"/>
                <w:sz w:val="16"/>
                <w:szCs w:val="16"/>
              </w:rPr>
            </w:pPr>
            <w:r>
              <w:rPr>
                <w:rFonts w:ascii="Times New Roman" w:eastAsia="Arial" w:hAnsi="Arial" w:cs="Arial"/>
                <w:b/>
                <w:color w:val="000000"/>
                <w:sz w:val="16"/>
                <w:szCs w:val="16"/>
              </w:rPr>
              <w:t>Indicator</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07AF87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b/>
                <w:color w:val="000000"/>
                <w:sz w:val="16"/>
                <w:szCs w:val="16"/>
              </w:rPr>
            </w:pPr>
            <w:r>
              <w:rPr>
                <w:rFonts w:ascii="Times New Roman" w:eastAsia="Arial" w:hAnsi="Arial" w:cs="Arial"/>
                <w:b/>
                <w:color w:val="000000"/>
                <w:sz w:val="16"/>
                <w:szCs w:val="16"/>
              </w:rPr>
              <w:t>Round</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89ACD1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Prevalence (%)</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5B9C4D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Concentration index</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2C23B4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proofErr w:type="spellStart"/>
            <w:r>
              <w:rPr>
                <w:rFonts w:ascii="Times New Roman" w:eastAsia="Arial" w:hAnsi="Arial" w:cs="Arial"/>
                <w:b/>
                <w:color w:val="000000"/>
                <w:sz w:val="16"/>
                <w:szCs w:val="16"/>
              </w:rPr>
              <w:t>Erreygers</w:t>
            </w:r>
            <w:proofErr w:type="spellEnd"/>
            <w:r>
              <w:rPr>
                <w:rFonts w:ascii="Times New Roman" w:eastAsia="Arial" w:hAnsi="Arial" w:cs="Arial"/>
                <w:b/>
                <w:color w:val="000000"/>
                <w:sz w:val="16"/>
                <w:szCs w:val="16"/>
              </w:rPr>
              <w:t xml:space="preserve"> index (95% CI)</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0683F2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Gap (pp)</w:t>
            </w:r>
          </w:p>
        </w:tc>
        <w:tc>
          <w:tcPr>
            <w:tcW w:w="108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A4C5FE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Ratio</w:t>
            </w:r>
          </w:p>
        </w:tc>
      </w:tr>
      <w:tr w:rsidR="0021664D" w14:paraId="2B2C5931" w14:textId="77777777">
        <w:trPr>
          <w:jc w:val="center"/>
        </w:trPr>
        <w:tc>
          <w:tcPr>
            <w:tcW w:w="1080" w:type="dxa"/>
            <w:vMerge w:val="restar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8533C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Stunting</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1F00E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2012-13</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72619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42.00</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6456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-0.120</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725E8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-0.201 (-0.223 to -0.180)</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A2667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25.7</w:t>
            </w:r>
          </w:p>
        </w:tc>
        <w:tc>
          <w:tcPr>
            <w:tcW w:w="108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40FCB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1.95</w:t>
            </w:r>
          </w:p>
        </w:tc>
      </w:tr>
      <w:tr w:rsidR="0021664D" w14:paraId="39718261"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667CBF"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CCA45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C8BE1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27.96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0A21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C809C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-0.147 (-0.164 to -0.130)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2AF51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18.3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8AA1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1.92</w:t>
            </w:r>
          </w:p>
        </w:tc>
      </w:tr>
      <w:tr w:rsidR="0021664D" w14:paraId="04ACEC32"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3973B"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EDA40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A621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527D2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-0.126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98F96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-0.121 (-0.136 to -0.106)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A46D8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BE71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2.00</w:t>
            </w:r>
          </w:p>
        </w:tc>
      </w:tr>
      <w:tr w:rsidR="0021664D" w14:paraId="00B01F3F" w14:textId="77777777">
        <w:trPr>
          <w:jc w:val="center"/>
        </w:trPr>
        <w:tc>
          <w:tcPr>
            <w:tcW w:w="1080"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EDEC4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Underweight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8EC09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2012-13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EC49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31.93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495C2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6128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-0.186 (-0.204 to -0.167)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CB18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E2FA7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r>
      <w:tr w:rsidR="0021664D" w14:paraId="78C426EB"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AB7033"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C5D3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90388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58C8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-0.139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BF53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-0.126 (-0.141 to -0.111)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7A722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7B219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r>
      <w:tr w:rsidR="0021664D" w14:paraId="006EFE64"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1604D4"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C3EB7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C314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6A775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70E73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-0.111 (-0.126 to -0.096)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34C6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76C4F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r>
      <w:tr w:rsidR="0021664D" w14:paraId="67C1DE9B" w14:textId="77777777">
        <w:trPr>
          <w:jc w:val="center"/>
        </w:trPr>
        <w:tc>
          <w:tcPr>
            <w:tcW w:w="1080"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2200E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Wasting</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891E5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2012-13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5EE4E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9.65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022D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C5A9C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-0.040 (-0.053 to -0.027)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0E69E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0137A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1.77</w:t>
            </w:r>
          </w:p>
        </w:tc>
      </w:tr>
      <w:tr w:rsidR="0021664D" w14:paraId="0C949214"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5DCB1"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039D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8724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9.83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F5FBD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CA66D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-0.035 (-0.046 to -0.023)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7AE0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D1D2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1.47</w:t>
            </w:r>
          </w:p>
        </w:tc>
      </w:tr>
      <w:tr w:rsidR="0021664D" w14:paraId="406AA1C2" w14:textId="77777777">
        <w:trPr>
          <w:jc w:val="center"/>
        </w:trPr>
        <w:tc>
          <w:tcPr>
            <w:tcW w:w="1080"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4B71F"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E2006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35FE4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7DC1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-0.073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3BF2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-0.038 (-0.049 to -0.026)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789EE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758B3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1.49</w:t>
            </w:r>
          </w:p>
        </w:tc>
      </w:tr>
      <w:tr w:rsidR="0021664D" w14:paraId="2251DD21" w14:textId="77777777">
        <w:trPr>
          <w:jc w:val="center"/>
        </w:trPr>
        <w:tc>
          <w:tcPr>
            <w:tcW w:w="1080" w:type="dxa"/>
            <w:vMerge w:val="restar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5CC751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Overweight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B465C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2012-13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B1FB4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1.59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2C20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0.280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D9F5C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0.018 (0.011 to 0.025)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B5F94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29F96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r>
      <w:tr w:rsidR="0021664D" w14:paraId="546EF0A3" w14:textId="77777777">
        <w:trPr>
          <w:jc w:val="center"/>
        </w:trPr>
        <w:tc>
          <w:tcPr>
            <w:tcW w:w="1080" w:type="dxa"/>
            <w:vMerge/>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D065E"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0A13A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A0966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7CC9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0.284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13D8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0.028 (0.021 to 0.035)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137C5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95732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r>
      <w:tr w:rsidR="0021664D" w14:paraId="34D1E6A7" w14:textId="77777777">
        <w:trPr>
          <w:jc w:val="center"/>
        </w:trPr>
        <w:tc>
          <w:tcPr>
            <w:tcW w:w="1080" w:type="dxa"/>
            <w:vMerge/>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F127EC6"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396387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2025</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4FFF79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1.74</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ACAC3C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0.191</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FC4CA3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0.013 (0.008 to 0.018)</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B8E403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c>
          <w:tcPr>
            <w:tcW w:w="10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B41C29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r>
    </w:tbl>
    <w:p w14:paraId="738A746C" w14:textId="77777777" w:rsidR="0021664D" w:rsidRDefault="00000000">
      <w:pPr>
        <w:pBdr>
          <w:top w:val="none" w:sz="0" w:space="0" w:color="000000"/>
          <w:left w:val="none" w:sz="0" w:space="0" w:color="000000"/>
          <w:bottom w:val="none" w:sz="0" w:space="0" w:color="000000"/>
          <w:right w:val="none" w:sz="0" w:space="0" w:color="000000"/>
        </w:pBdr>
        <w:spacing w:before="60" w:after="200" w:line="276" w:lineRule="auto"/>
      </w:pPr>
      <w:r>
        <w:rPr>
          <w:rFonts w:ascii="Times New Roman" w:eastAsia="Times New Roman" w:hAnsi="Times New Roman" w:cs="Times New Roman"/>
          <w:color w:val="000000"/>
          <w:sz w:val="18"/>
          <w:szCs w:val="18"/>
        </w:rPr>
        <w:t>A negative index means the burden falls disproportionately on poorer children and a positive index that it falls on wealthier children. Intervals are design-based, obtained by fitting the convenient covariance regression within the survey design. The gap and ratio are between the poorest and richest quintiles and are given for stunting and wasting only.</w:t>
      </w:r>
    </w:p>
    <w:p w14:paraId="21A158AF" w14:textId="77777777" w:rsidR="0021664D" w:rsidRDefault="00000000">
      <w:pPr>
        <w:pBdr>
          <w:top w:val="none" w:sz="0" w:space="0" w:color="000000"/>
          <w:left w:val="none" w:sz="0" w:space="0" w:color="000000"/>
          <w:bottom w:val="none" w:sz="0" w:space="0" w:color="000000"/>
          <w:right w:val="none" w:sz="0" w:space="0" w:color="000000"/>
        </w:pBdr>
        <w:spacing w:before="240" w:after="80"/>
      </w:pPr>
      <w:r>
        <w:rPr>
          <w:rFonts w:ascii="Times New Roman" w:eastAsia="Times New Roman" w:hAnsi="Times New Roman" w:cs="Times New Roman"/>
          <w:b/>
          <w:color w:val="000000"/>
          <w:sz w:val="26"/>
          <w:szCs w:val="26"/>
        </w:rPr>
        <w:t>Table S3. Determinants of wasting in each survey round</w:t>
      </w:r>
    </w:p>
    <w:tbl>
      <w:tblPr>
        <w:tblW w:w="5000" w:type="pct"/>
        <w:jc w:val="center"/>
        <w:tblLook w:val="0420" w:firstRow="1" w:lastRow="0" w:firstColumn="0" w:lastColumn="0" w:noHBand="0" w:noVBand="1"/>
      </w:tblPr>
      <w:tblGrid>
        <w:gridCol w:w="1806"/>
        <w:gridCol w:w="1805"/>
        <w:gridCol w:w="1805"/>
        <w:gridCol w:w="1805"/>
        <w:gridCol w:w="1805"/>
      </w:tblGrid>
      <w:tr w:rsidR="0021664D" w14:paraId="7FE865F0" w14:textId="77777777" w:rsidTr="001044AB">
        <w:trPr>
          <w:tblHeader/>
          <w:jc w:val="center"/>
        </w:trPr>
        <w:tc>
          <w:tcPr>
            <w:tcW w:w="100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5D3F86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b/>
                <w:color w:val="000000"/>
                <w:sz w:val="16"/>
                <w:szCs w:val="16"/>
              </w:rPr>
            </w:pPr>
            <w:r>
              <w:rPr>
                <w:rFonts w:ascii="Times New Roman" w:eastAsia="Arial" w:hAnsi="Arial" w:cs="Arial"/>
                <w:b/>
                <w:color w:val="000000"/>
                <w:sz w:val="16"/>
                <w:szCs w:val="16"/>
              </w:rPr>
              <w:t>Group</w:t>
            </w:r>
          </w:p>
        </w:tc>
        <w:tc>
          <w:tcPr>
            <w:tcW w:w="100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FEC940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b/>
                <w:color w:val="000000"/>
                <w:sz w:val="16"/>
                <w:szCs w:val="16"/>
              </w:rPr>
            </w:pPr>
            <w:r>
              <w:rPr>
                <w:rFonts w:ascii="Times New Roman" w:eastAsia="Arial" w:hAnsi="Arial" w:cs="Arial"/>
                <w:b/>
                <w:color w:val="000000"/>
                <w:sz w:val="16"/>
                <w:szCs w:val="16"/>
              </w:rPr>
              <w:t>Category</w:t>
            </w:r>
          </w:p>
        </w:tc>
        <w:tc>
          <w:tcPr>
            <w:tcW w:w="100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1F7B4D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2012-13</w:t>
            </w:r>
          </w:p>
        </w:tc>
        <w:tc>
          <w:tcPr>
            <w:tcW w:w="100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6E2B13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2019</w:t>
            </w:r>
          </w:p>
        </w:tc>
        <w:tc>
          <w:tcPr>
            <w:tcW w:w="100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1B6766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2025</w:t>
            </w:r>
          </w:p>
        </w:tc>
      </w:tr>
      <w:tr w:rsidR="0021664D" w14:paraId="78AE0977" w14:textId="77777777" w:rsidTr="001044AB">
        <w:trPr>
          <w:jc w:val="center"/>
        </w:trPr>
        <w:tc>
          <w:tcPr>
            <w:tcW w:w="1000" w:type="pct"/>
            <w:vMerge w:val="restar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9BAE6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Child age (ref: 0-5 months)</w:t>
            </w:r>
          </w:p>
        </w:tc>
        <w:tc>
          <w:tcPr>
            <w:tcW w:w="1000" w:type="pc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DCBB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6-11 months</w:t>
            </w:r>
          </w:p>
        </w:tc>
        <w:tc>
          <w:tcPr>
            <w:tcW w:w="1000" w:type="pc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FD8E8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1.02 (0.78-1.34)</w:t>
            </w:r>
          </w:p>
        </w:tc>
        <w:tc>
          <w:tcPr>
            <w:tcW w:w="1000" w:type="pc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11FA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1.07 (0.86-1.34)</w:t>
            </w:r>
          </w:p>
        </w:tc>
        <w:tc>
          <w:tcPr>
            <w:tcW w:w="1000" w:type="pc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38A20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0.91 (0.73-1.12)</w:t>
            </w:r>
          </w:p>
        </w:tc>
      </w:tr>
      <w:tr w:rsidR="0021664D" w14:paraId="61BA9AB6"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E0946"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A6A3C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12-23 months</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E547C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1.32 (1.06-1.64)*</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008D4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1.13 (0.94-1.36)</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844F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0.94 (0.78-1.12)</w:t>
            </w:r>
          </w:p>
        </w:tc>
      </w:tr>
      <w:tr w:rsidR="0021664D" w14:paraId="6E0F7258"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E0FEF"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6192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24-35 months</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05C3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0.91 (0.71-1.16)</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D87E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0.92 (0.76-1.12)</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3D3C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0.96 (0.80-1.15)</w:t>
            </w:r>
          </w:p>
        </w:tc>
      </w:tr>
      <w:tr w:rsidR="0021664D" w14:paraId="29B6A5EF"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A29500"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3B04B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36-47 months</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314AB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0.73 (0.58-0.92)**</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BD44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0.85 (0.70-1.03)</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DA749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1.00 (0.83-1.20)</w:t>
            </w:r>
          </w:p>
        </w:tc>
      </w:tr>
      <w:tr w:rsidR="0021664D" w14:paraId="4D7669D0"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0891C5"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CD2B8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48-59 months</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AADC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0.86 (0.68-1.08)</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B9BB2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1.12 (0.93-1.35)</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4DBDC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1.08 (0.90-1.29)</w:t>
            </w:r>
          </w:p>
        </w:tc>
      </w:tr>
      <w:tr w:rsidR="0021664D" w14:paraId="2EFC661B" w14:textId="77777777" w:rsidTr="001044AB">
        <w:trPr>
          <w:jc w:val="center"/>
        </w:trPr>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C6276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Sex (ref: male)</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2884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Female</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92571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0.83 (0.73-0.94)**</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24FF8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0.87 (0.78-0.96)**</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6AB70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0.83 (0.75-0.90)***</w:t>
            </w:r>
          </w:p>
        </w:tc>
      </w:tr>
      <w:tr w:rsidR="0021664D" w14:paraId="4B9D748C" w14:textId="77777777" w:rsidTr="001044AB">
        <w:trPr>
          <w:jc w:val="center"/>
        </w:trPr>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E5D62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Residence (ref: urban)</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546BE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Rural</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BD6F4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0.85 (0.69-1.05)</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33DF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1.02 (0.86-1.20)</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4C8BD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0.98 (0.88-1.10)</w:t>
            </w:r>
          </w:p>
        </w:tc>
      </w:tr>
      <w:tr w:rsidR="0021664D" w14:paraId="0894F5C0" w14:textId="77777777" w:rsidTr="001044AB">
        <w:trPr>
          <w:jc w:val="center"/>
        </w:trPr>
        <w:tc>
          <w:tcPr>
            <w:tcW w:w="1000" w:type="pct"/>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8CF69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 xml:space="preserve">Division (ref: </w:t>
            </w:r>
            <w:proofErr w:type="spellStart"/>
            <w:r>
              <w:rPr>
                <w:rFonts w:ascii="Times New Roman" w:eastAsia="Arial" w:hAnsi="Arial" w:cs="Arial"/>
                <w:color w:val="000000"/>
                <w:sz w:val="16"/>
                <w:szCs w:val="16"/>
              </w:rPr>
              <w:t>Barishal</w:t>
            </w:r>
            <w:proofErr w:type="spellEnd"/>
            <w:r>
              <w:rPr>
                <w:rFonts w:ascii="Times New Roman" w:eastAsia="Arial" w:hAnsi="Arial" w:cs="Arial"/>
                <w:color w:val="000000"/>
                <w:sz w:val="16"/>
                <w:szCs w:val="16"/>
              </w:rPr>
              <w:t>)</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DD405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Chattogram</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F963A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0.85 (0.67-1.07)</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6FE92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1.08 (0.90-1.31)</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50A34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1.18 (0.97-1.42)</w:t>
            </w:r>
          </w:p>
        </w:tc>
      </w:tr>
      <w:tr w:rsidR="0021664D" w14:paraId="12B6924B"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A46C23"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D56D0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Dhaka</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C592F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0.85 (0.68-1.06)</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A4089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0.91 (0.74-1.12)</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B44A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0.96 (0.80-1.17)</w:t>
            </w:r>
          </w:p>
        </w:tc>
      </w:tr>
      <w:tr w:rsidR="0021664D" w14:paraId="1B61BD5C"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6FAE0"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31C9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Khulna</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8DD0E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0.92 (0.73-1.15)</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94551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0.95 (0.77-1.18)</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0E9A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1.03 (0.85-1.26)</w:t>
            </w:r>
          </w:p>
        </w:tc>
      </w:tr>
      <w:tr w:rsidR="0021664D" w14:paraId="409FB4CB"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A43A6"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F1E6E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Rajshahi</w:t>
            </w:r>
            <w:proofErr w:type="spellEnd"/>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33530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0.79 (0.62-1.02)</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06099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0.91 (0.73-1.13)</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AAC6F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1.20 (0.98-1.48)</w:t>
            </w:r>
          </w:p>
        </w:tc>
      </w:tr>
      <w:tr w:rsidR="0021664D" w14:paraId="430A5A8C"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79907"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E66DB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Rangpur</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0D07D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0.73 (0.57-0.92)**</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F17EB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1.01 (0.82-1.25)</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972F9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1.05 (0.85-1.29)</w:t>
            </w:r>
          </w:p>
        </w:tc>
      </w:tr>
      <w:tr w:rsidR="0021664D" w14:paraId="4C62A622"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4095C2"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BE242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Sylhet</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7E66A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1.24 (0.98-1.56)</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34F73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1.07 (0.83-1.38)</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FC33F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1.12 (0.89-1.41)</w:t>
            </w:r>
          </w:p>
        </w:tc>
      </w:tr>
      <w:tr w:rsidR="0021664D" w14:paraId="5AEC41A7" w14:textId="77777777" w:rsidTr="001044AB">
        <w:trPr>
          <w:jc w:val="center"/>
        </w:trPr>
        <w:tc>
          <w:tcPr>
            <w:tcW w:w="1000" w:type="pct"/>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8C358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Wealth quintile (ref: poorest)</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EF3BD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Second</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D763E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0.99 (0.86-1.15)</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F47C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1.04 (0.90-1.20)</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0F74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1.05 (0.91-1.21)</w:t>
            </w:r>
          </w:p>
        </w:tc>
      </w:tr>
      <w:tr w:rsidR="0021664D" w14:paraId="38AC1262"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9F8719"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EA55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Middle</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EA03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0.82 (0.69-0.99)*</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6591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0.83 (0.70-0.97)*</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4C31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0.86 (0.74-1.00)</w:t>
            </w:r>
          </w:p>
        </w:tc>
      </w:tr>
      <w:tr w:rsidR="0021664D" w14:paraId="66738FCA"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9FDB6"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970D3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Fourth</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E3494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0.71 (0.58-0.88)**</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800A1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0.76 (0.64-0.91)**</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0F8BD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0.89 (0.76-1.04)</w:t>
            </w:r>
          </w:p>
        </w:tc>
      </w:tr>
      <w:tr w:rsidR="0021664D" w14:paraId="7DD01BA3"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0216E"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EF6C2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Richest</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3E88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0.52 (0.39-0.69)***</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B97C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0.73 (0.59-0.90)**</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89500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0.65 (0.55-0.77)***</w:t>
            </w:r>
          </w:p>
        </w:tc>
      </w:tr>
      <w:tr w:rsidR="0021664D" w14:paraId="537212A1" w14:textId="77777777" w:rsidTr="001044AB">
        <w:trPr>
          <w:jc w:val="center"/>
        </w:trPr>
        <w:tc>
          <w:tcPr>
            <w:tcW w:w="1000" w:type="pct"/>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C136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Mother's education (ref: none or pre-primary)</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65D02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Primary</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E899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0.93 (0.80-1.09)</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1F6A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0.89 (0.75-1.06)</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0E58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1.01 (0.82-1.25)</w:t>
            </w:r>
          </w:p>
        </w:tc>
      </w:tr>
      <w:tr w:rsidR="0021664D" w14:paraId="35BC11AB" w14:textId="77777777" w:rsidTr="001044AB">
        <w:trPr>
          <w:jc w:val="center"/>
        </w:trPr>
        <w:tc>
          <w:tcPr>
            <w:tcW w:w="1000"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41993B" w14:textId="77777777" w:rsidR="0021664D" w:rsidRDefault="0021664D">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A0581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Secondary or higher</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60DE5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0.90 (0.76-1.06)</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3DD9D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0.77 (0.65-0.90)**</w:t>
            </w:r>
          </w:p>
        </w:tc>
        <w:tc>
          <w:tcPr>
            <w:tcW w:w="10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9DB3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0.93 (0.76-1.14)</w:t>
            </w:r>
          </w:p>
        </w:tc>
      </w:tr>
      <w:tr w:rsidR="0021664D" w14:paraId="47C791EA" w14:textId="77777777" w:rsidTr="001044AB">
        <w:trPr>
          <w:jc w:val="center"/>
        </w:trPr>
        <w:tc>
          <w:tcPr>
            <w:tcW w:w="100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AFE9F9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 xml:space="preserve">Division (ref: </w:t>
            </w:r>
            <w:proofErr w:type="spellStart"/>
            <w:r>
              <w:rPr>
                <w:rFonts w:ascii="Times New Roman" w:eastAsia="Arial" w:hAnsi="Arial" w:cs="Arial"/>
                <w:color w:val="000000"/>
                <w:sz w:val="16"/>
                <w:szCs w:val="16"/>
              </w:rPr>
              <w:t>Barishal</w:t>
            </w:r>
            <w:proofErr w:type="spellEnd"/>
            <w:r>
              <w:rPr>
                <w:rFonts w:ascii="Times New Roman" w:eastAsia="Arial" w:hAnsi="Arial" w:cs="Arial"/>
                <w:color w:val="000000"/>
                <w:sz w:val="16"/>
                <w:szCs w:val="16"/>
              </w:rPr>
              <w:t>)</w:t>
            </w:r>
          </w:p>
        </w:tc>
        <w:tc>
          <w:tcPr>
            <w:tcW w:w="100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53E49B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Mymensingh</w:t>
            </w:r>
          </w:p>
        </w:tc>
        <w:tc>
          <w:tcPr>
            <w:tcW w:w="100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19EB8B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w:t>
            </w:r>
          </w:p>
        </w:tc>
        <w:tc>
          <w:tcPr>
            <w:tcW w:w="100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121FA8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0.84 (0.66-1.06)</w:t>
            </w:r>
          </w:p>
        </w:tc>
        <w:tc>
          <w:tcPr>
            <w:tcW w:w="100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F95255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0.90 (0.70-1.15)</w:t>
            </w:r>
          </w:p>
        </w:tc>
      </w:tr>
    </w:tbl>
    <w:p w14:paraId="4E35A722" w14:textId="77777777" w:rsidR="0021664D" w:rsidRDefault="00000000">
      <w:pPr>
        <w:pBdr>
          <w:top w:val="none" w:sz="0" w:space="0" w:color="000000"/>
          <w:left w:val="none" w:sz="0" w:space="0" w:color="000000"/>
          <w:bottom w:val="none" w:sz="0" w:space="0" w:color="000000"/>
          <w:right w:val="none" w:sz="0" w:space="0" w:color="000000"/>
        </w:pBdr>
        <w:spacing w:before="60" w:after="200" w:line="276" w:lineRule="auto"/>
      </w:pPr>
      <w:r>
        <w:rPr>
          <w:rFonts w:ascii="Times New Roman" w:eastAsia="Times New Roman" w:hAnsi="Times New Roman" w:cs="Times New Roman"/>
          <w:color w:val="000000"/>
          <w:sz w:val="18"/>
          <w:szCs w:val="18"/>
        </w:rPr>
        <w:t>Survey-weighted logistic regression fitted separately within each round with all listed covariates entered simultaneously. *p&lt;0.05, **p&lt;0.01, ***p&lt;0.001. Mymensingh has no 2012-13 estimate because the division was created in 2015. Neither the wealth gradient (F(8, 8802) = 0.79, p = 0.61) nor the education gradient (F(4, 8802) = 0.75, p = 0.56) changed across rounds.</w:t>
      </w:r>
    </w:p>
    <w:p w14:paraId="7B59971E" w14:textId="77777777" w:rsidR="0021664D" w:rsidRDefault="00000000">
      <w:pPr>
        <w:pBdr>
          <w:top w:val="none" w:sz="0" w:space="0" w:color="000000"/>
          <w:left w:val="none" w:sz="0" w:space="0" w:color="000000"/>
          <w:bottom w:val="none" w:sz="0" w:space="0" w:color="000000"/>
          <w:right w:val="none" w:sz="0" w:space="0" w:color="000000"/>
        </w:pBdr>
        <w:spacing w:before="240" w:after="80"/>
      </w:pPr>
      <w:r>
        <w:rPr>
          <w:rFonts w:ascii="Times New Roman" w:eastAsia="Times New Roman" w:hAnsi="Times New Roman" w:cs="Times New Roman"/>
          <w:b/>
          <w:color w:val="000000"/>
          <w:sz w:val="26"/>
          <w:szCs w:val="26"/>
        </w:rPr>
        <w:t>Table S4. Stunting and wasting by district, 2025</w:t>
      </w:r>
    </w:p>
    <w:tbl>
      <w:tblPr>
        <w:tblW w:w="5000" w:type="pct"/>
        <w:jc w:val="center"/>
        <w:tblLook w:val="0420" w:firstRow="1" w:lastRow="0" w:firstColumn="0" w:lastColumn="0" w:noHBand="0" w:noVBand="1"/>
      </w:tblPr>
      <w:tblGrid>
        <w:gridCol w:w="2256"/>
        <w:gridCol w:w="2256"/>
        <w:gridCol w:w="2257"/>
        <w:gridCol w:w="2257"/>
      </w:tblGrid>
      <w:tr w:rsidR="0021664D" w14:paraId="42019C26" w14:textId="77777777" w:rsidTr="0010147A">
        <w:trPr>
          <w:tblHeader/>
          <w:jc w:val="center"/>
        </w:trPr>
        <w:tc>
          <w:tcPr>
            <w:tcW w:w="125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7075C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b/>
                <w:color w:val="000000"/>
                <w:sz w:val="16"/>
                <w:szCs w:val="16"/>
              </w:rPr>
            </w:pPr>
            <w:r>
              <w:rPr>
                <w:rFonts w:ascii="Times New Roman" w:eastAsia="Arial" w:hAnsi="Arial" w:cs="Arial"/>
                <w:b/>
                <w:color w:val="000000"/>
                <w:sz w:val="16"/>
                <w:szCs w:val="16"/>
              </w:rPr>
              <w:t>District</w:t>
            </w:r>
          </w:p>
        </w:tc>
        <w:tc>
          <w:tcPr>
            <w:tcW w:w="125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085A44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Children measured</w:t>
            </w:r>
          </w:p>
        </w:tc>
        <w:tc>
          <w:tcPr>
            <w:tcW w:w="125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1FC150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Stunting % (95% CI)</w:t>
            </w:r>
          </w:p>
        </w:tc>
        <w:tc>
          <w:tcPr>
            <w:tcW w:w="1250" w:type="pct"/>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EBE9FB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b/>
                <w:color w:val="000000"/>
                <w:sz w:val="16"/>
                <w:szCs w:val="16"/>
              </w:rPr>
            </w:pPr>
            <w:r>
              <w:rPr>
                <w:rFonts w:ascii="Times New Roman" w:eastAsia="Arial" w:hAnsi="Arial" w:cs="Arial"/>
                <w:b/>
                <w:color w:val="000000"/>
                <w:sz w:val="16"/>
                <w:szCs w:val="16"/>
              </w:rPr>
              <w:t>Wasting % (95% CI)</w:t>
            </w:r>
          </w:p>
        </w:tc>
      </w:tr>
      <w:tr w:rsidR="0021664D" w14:paraId="11D00363" w14:textId="77777777" w:rsidTr="0010147A">
        <w:trPr>
          <w:jc w:val="center"/>
        </w:trPr>
        <w:tc>
          <w:tcPr>
            <w:tcW w:w="1250" w:type="pc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03CE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Sylhet</w:t>
            </w:r>
          </w:p>
        </w:tc>
        <w:tc>
          <w:tcPr>
            <w:tcW w:w="1250" w:type="pc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BCBD9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389</w:t>
            </w:r>
          </w:p>
        </w:tc>
        <w:tc>
          <w:tcPr>
            <w:tcW w:w="1250" w:type="pc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C102C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37.3 (32.1-42.9)</w:t>
            </w:r>
          </w:p>
        </w:tc>
        <w:tc>
          <w:tcPr>
            <w:tcW w:w="1250" w:type="pct"/>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4280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12.0 (8.6-16.4)</w:t>
            </w:r>
          </w:p>
        </w:tc>
      </w:tr>
      <w:tr w:rsidR="0021664D" w14:paraId="68D75139"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EAF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Sunamganj</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50E5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435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92920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36.3 (31.1-41.9)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95FA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12.0 (9.0-15.9)</w:t>
            </w:r>
          </w:p>
        </w:tc>
      </w:tr>
      <w:tr w:rsidR="0021664D" w14:paraId="3CBAC72F"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53E37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Bhola</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49BA9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401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894BA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32.0 (27.2-37.3)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2893C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11.6 (8.8-15.3)</w:t>
            </w:r>
          </w:p>
        </w:tc>
      </w:tr>
      <w:tr w:rsidR="0021664D" w14:paraId="03F33A45"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83A6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Cox's Bazar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65639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508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A9D64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30.6 (26.9-34.6)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ED7A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13.9 (10.9-17.6)</w:t>
            </w:r>
          </w:p>
        </w:tc>
      </w:tr>
      <w:tr w:rsidR="0021664D" w14:paraId="49173CA5"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F296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Shariatpur</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53BE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333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C8BA3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30.6 (25.7-35.9)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C453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14.2 (10.1-19.7)</w:t>
            </w:r>
          </w:p>
        </w:tc>
      </w:tr>
      <w:tr w:rsidR="0021664D" w14:paraId="6C582E51"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E699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Netrokona</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A5DC6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334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04989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30.1 (25.1-35.5)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5E651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12.4 (8.9-17.2)</w:t>
            </w:r>
          </w:p>
        </w:tc>
      </w:tr>
      <w:tr w:rsidR="0021664D" w14:paraId="7C0FCBE3"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F5BDE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Noakhali</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83371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472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E51D9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28.5 (24.2-33.4)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ADC29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10.9 (8.1-14.6)</w:t>
            </w:r>
          </w:p>
        </w:tc>
      </w:tr>
      <w:tr w:rsidR="0021664D" w14:paraId="77C0314F"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0DAEE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Rangpur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C0CC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82992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28.3 (22.2-35.4)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AB1B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11.5 (8.2-15.9)</w:t>
            </w:r>
          </w:p>
        </w:tc>
      </w:tr>
      <w:tr w:rsidR="0021664D" w14:paraId="36AB56B3"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0AB9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Gopalganj</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34B96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369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BA22B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28.2 (24.5-32.3)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D2FFC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9.7 (6.8-13.5)</w:t>
            </w:r>
          </w:p>
        </w:tc>
      </w:tr>
      <w:tr w:rsidR="0021664D" w14:paraId="438874E7"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29EFF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Patuakhali</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78F8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283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79FBB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27.8 (21.8-34.8)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BB8FC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14.1 (9.7-20.0)</w:t>
            </w:r>
          </w:p>
        </w:tc>
      </w:tr>
      <w:tr w:rsidR="0021664D" w14:paraId="218AE38F"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99C0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Naogaon</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4B2A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A5B9C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27.7 (20.5-36.3)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D4173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20.0 (14.6-26.9)</w:t>
            </w:r>
          </w:p>
        </w:tc>
      </w:tr>
      <w:tr w:rsidR="0021664D" w14:paraId="74BFC44D"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48AB3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Brahamanbaria</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DDDEC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405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B9860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27.3 (21.8-33.6)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700A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11.4 (8.5-15.2)</w:t>
            </w:r>
          </w:p>
        </w:tc>
      </w:tr>
      <w:tr w:rsidR="0021664D" w14:paraId="7194AF51"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DAB76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Barguna</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BBE1B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291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CFBCF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26.6 (21.5-32.3)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9231F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13.6 (10.0-18.3)</w:t>
            </w:r>
          </w:p>
        </w:tc>
      </w:tr>
      <w:tr w:rsidR="0021664D" w14:paraId="188CA2E2"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16B2A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Bagerhat</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D0B72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275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FA1E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26.4 (20.5-33.3)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2ADA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14.4 (10.4-19.6)</w:t>
            </w:r>
          </w:p>
        </w:tc>
      </w:tr>
      <w:tr w:rsidR="0021664D" w14:paraId="1F983C9D"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5168F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Munshiganj</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442F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286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9CDE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26.4 (21.6-31.8)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5CFE6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8.2 (5.8-11.4)</w:t>
            </w:r>
          </w:p>
        </w:tc>
      </w:tr>
      <w:tr w:rsidR="0021664D" w14:paraId="570EC74D"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A174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Manikganj</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C844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AC083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26.3 (21.0-32.3)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4E19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6.3 (3.8-10.3)</w:t>
            </w:r>
          </w:p>
        </w:tc>
      </w:tr>
      <w:tr w:rsidR="0021664D" w14:paraId="5C52E048"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00BB6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Chattogram</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221D8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742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D2DBF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26.1 (22.1-30.4)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4D877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17.6 (14.8-20.6)</w:t>
            </w:r>
          </w:p>
        </w:tc>
      </w:tr>
      <w:tr w:rsidR="0021664D" w14:paraId="632D9178"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73145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Moulvibazar</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DFC31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D1F4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26.0 (21.1-31.4)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B4D3C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16.1 (11.7-21.7)</w:t>
            </w:r>
          </w:p>
        </w:tc>
      </w:tr>
      <w:tr w:rsidR="0021664D" w14:paraId="6D752D02"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32A57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Cumilla</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03F17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410</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37DD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25.8 (21.8-30.4)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101EA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12.0 (9.1-15.7)</w:t>
            </w:r>
          </w:p>
        </w:tc>
      </w:tr>
      <w:tr w:rsidR="0021664D" w14:paraId="4BA95BC6"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4C89F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Feni</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563D8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428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83014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25.8 (21.8-30.4)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4616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15.2 (12.3-18.7)</w:t>
            </w:r>
          </w:p>
        </w:tc>
      </w:tr>
      <w:tr w:rsidR="0021664D" w14:paraId="04C7B668"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328CF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Jamalpur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73FB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342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33403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25.6 (21.2-30.6)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3372C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11.9 (8.6-16.1)</w:t>
            </w:r>
          </w:p>
        </w:tc>
      </w:tr>
      <w:tr w:rsidR="0021664D" w14:paraId="1979735C"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AD736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Sherpur</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30CBB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035BF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25.4 (21.1-30.2)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EC90B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14.8 (11.2-19.2)</w:t>
            </w:r>
          </w:p>
        </w:tc>
      </w:tr>
      <w:tr w:rsidR="0021664D" w14:paraId="488654EB"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B5BF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Habiganj</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356B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401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2715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25.1 (20.8-30.0)</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3D02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15.6 (12.2-19.7)</w:t>
            </w:r>
          </w:p>
        </w:tc>
      </w:tr>
      <w:tr w:rsidR="0021664D" w14:paraId="5E2C7096"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49DE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Magura</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DA7B4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88D9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24.6 (19.5-30.6)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1CAD2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11.1 (8.1-15.1)</w:t>
            </w:r>
          </w:p>
        </w:tc>
      </w:tr>
      <w:tr w:rsidR="0021664D" w14:paraId="0B0DE732"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E8112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Kishoreganj</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E68C7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381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A66FE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24.4 (19.7-29.8)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204BE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12.7 (9.2-17.2)</w:t>
            </w:r>
          </w:p>
        </w:tc>
      </w:tr>
      <w:tr w:rsidR="0021664D" w14:paraId="04752E38"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6B14D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Kurigram</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0B9EB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4190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24.0 (19.5-29.2)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D055B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13.1 (9.9-17.2)</w:t>
            </w:r>
          </w:p>
        </w:tc>
      </w:tr>
      <w:tr w:rsidR="0021664D" w14:paraId="172D9F50"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7ABA9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Pabna</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54043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298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31E2D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24.0 (18.1-31.2)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D8CC9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11.2 (7.8-15.9)</w:t>
            </w:r>
          </w:p>
        </w:tc>
      </w:tr>
      <w:tr w:rsidR="0021664D" w14:paraId="72273E2E"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58D7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Sirajganj</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50DA0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CA446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23.7 (19.2-28.8)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AEB37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13.6 (9.8-18.5)</w:t>
            </w:r>
          </w:p>
        </w:tc>
      </w:tr>
      <w:tr w:rsidR="0021664D" w14:paraId="0F8731C6"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9712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Jashore</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5FA1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18554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23.5 (19.0-28.7)</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8BF6C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13.9 (10.4-18.3)</w:t>
            </w:r>
          </w:p>
        </w:tc>
      </w:tr>
      <w:tr w:rsidR="0021664D" w14:paraId="093D8FFE"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D279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Bogura</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356BB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294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2B98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23.3 (18.4-28.9)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444CA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11.7 (8.6-15.9)</w:t>
            </w:r>
          </w:p>
        </w:tc>
      </w:tr>
      <w:tr w:rsidR="0021664D" w14:paraId="3CEFA508"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C9B74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Narsingdi</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88D48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367</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4DAED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23.1 (19.1-27.6)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39FEC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12.5 (9.6-16.0)</w:t>
            </w:r>
          </w:p>
        </w:tc>
      </w:tr>
      <w:tr w:rsidR="0021664D" w14:paraId="2F6127C1"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9AF91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Nawabganj</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53221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317</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4F259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23.1 (19.0-27.7)</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62FBC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13.1 (10.3-16.6)</w:t>
            </w:r>
          </w:p>
        </w:tc>
      </w:tr>
      <w:tr w:rsidR="0021664D" w14:paraId="1EAF1D77"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3EEEA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Mymensingh</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55765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335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A90DD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23.0 (18.6-28.0)</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84DA1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11.1 (8.2-14.7)</w:t>
            </w:r>
          </w:p>
        </w:tc>
      </w:tr>
      <w:tr w:rsidR="0021664D" w14:paraId="02C93016"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0A1CC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Panchagarh</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F8B4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351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F4CC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23.0 (18.7-27.8)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825A2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12.5 (9.2-16.7)</w:t>
            </w:r>
          </w:p>
        </w:tc>
      </w:tr>
      <w:tr w:rsidR="0021664D" w14:paraId="0FC0F9C2"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466C2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Jhalokati</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B0A5F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B8DF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22.9 (17.3-29.7)</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E2B83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12.7 (9.0-17.7)</w:t>
            </w:r>
          </w:p>
        </w:tc>
      </w:tr>
      <w:tr w:rsidR="0021664D" w14:paraId="6135538E"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3A45A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Bandarban</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8F81D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408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7420E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22.8 (17.5-29.1)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1EAF3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16.3 (12.1-21.7)</w:t>
            </w:r>
          </w:p>
        </w:tc>
      </w:tr>
      <w:tr w:rsidR="0021664D" w14:paraId="58E0E2B9"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368B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Dinajpur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65378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320</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102A5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22.6 (17.6-28.5)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34D51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12.9 (9.1-18.1)</w:t>
            </w:r>
          </w:p>
        </w:tc>
      </w:tr>
      <w:tr w:rsidR="0021664D" w14:paraId="290A397C"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66B2B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Natore</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E3ED3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275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FB6F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22.6 (16.9-29.5)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BCC5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15.2 (11.3-20.1)</w:t>
            </w:r>
          </w:p>
        </w:tc>
      </w:tr>
      <w:tr w:rsidR="0021664D" w14:paraId="52456A78"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C1FC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Madaripur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6B743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356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7911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22.3 (17.0-28.6)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70C0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12.3 (9.0-16.6)</w:t>
            </w:r>
          </w:p>
        </w:tc>
      </w:tr>
      <w:tr w:rsidR="0021664D" w14:paraId="3FD0C349"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2563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lastRenderedPageBreak/>
              <w:t>Tangail</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83111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3287C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22.2 (16.3-29.5)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FA59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14.2 (10.8-18.5)</w:t>
            </w:r>
          </w:p>
        </w:tc>
      </w:tr>
      <w:tr w:rsidR="0021664D" w14:paraId="0059E66D"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E0A62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Nilphamari</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530FD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376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92A31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22.1 (17.2-28.0)</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884F5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16.5 (12.8-20.9)</w:t>
            </w:r>
          </w:p>
        </w:tc>
      </w:tr>
      <w:tr w:rsidR="0021664D" w14:paraId="29C0AD94"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E9A13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Faridpur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D9941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141767"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22.0 (18.1-26.4)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D2818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16.5 (12.7-21.3)</w:t>
            </w:r>
          </w:p>
        </w:tc>
      </w:tr>
      <w:tr w:rsidR="0021664D" w14:paraId="33F18BDE"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FD8C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Khulna</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BD796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283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850F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21.9 (17.4-27.2)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76218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15.0 (11.5-19.3)</w:t>
            </w:r>
          </w:p>
        </w:tc>
      </w:tr>
      <w:tr w:rsidR="0021664D" w14:paraId="7098F6FD"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8F8A3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Gaibandha</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B6D75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299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F2F1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21.7 (16.5-28.0)</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6F72E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13.8 (9.3-19.9)</w:t>
            </w:r>
          </w:p>
        </w:tc>
      </w:tr>
      <w:tr w:rsidR="0021664D" w14:paraId="44360FD8"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4842A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Rajbari</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317BC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7225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21.7 (16.7-27.7)</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9E412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9.4 (6.6-13.2)</w:t>
            </w:r>
          </w:p>
        </w:tc>
      </w:tr>
      <w:tr w:rsidR="0021664D" w14:paraId="32463FBA"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0A9E6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Lalmonirhat</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C5D9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378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503BB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21.6 (18.2-25.5)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F694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12.3 (8.6-17.3)</w:t>
            </w:r>
          </w:p>
        </w:tc>
      </w:tr>
      <w:tr w:rsidR="0021664D" w14:paraId="2502807B"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79D3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Rangamati</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27D86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326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56D1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21.5 (16.5-27.5)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57C3E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14.0 (9.7-19.7)</w:t>
            </w:r>
          </w:p>
        </w:tc>
      </w:tr>
      <w:tr w:rsidR="0021664D" w14:paraId="4568E2D0"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7BE2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Thakurgaon</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7E03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356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0D72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21.0 (16.6-26.2)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B9A3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16.1 (12.1-21.0)</w:t>
            </w:r>
          </w:p>
        </w:tc>
      </w:tr>
      <w:tr w:rsidR="0021664D" w14:paraId="0974257A"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D2186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Barishal</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0301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42C7E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20.6 (16.6-25.3)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C2DC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14.0 (10.0-19.1)</w:t>
            </w:r>
          </w:p>
        </w:tc>
      </w:tr>
      <w:tr w:rsidR="0021664D" w14:paraId="0A72387F"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E5D3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Chandpur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ABAA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403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388BC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20.4 (16.5-25.0)</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7916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14.5 (11.1-18.7)</w:t>
            </w:r>
          </w:p>
        </w:tc>
      </w:tr>
      <w:tr w:rsidR="0021664D" w14:paraId="5DB07166"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E215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Khagrachhari</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14809"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361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B58E2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20.4 (16.5-24.9)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1A9AC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10.3 (7.6-13.8)</w:t>
            </w:r>
          </w:p>
        </w:tc>
      </w:tr>
      <w:tr w:rsidR="0021664D" w14:paraId="21E2FA14"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B3D6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Rajshahi</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6E9E9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285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C6ACF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20.3 (15.2-26.6)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E7779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19.6 (15.0-25.3)</w:t>
            </w:r>
          </w:p>
        </w:tc>
      </w:tr>
      <w:tr w:rsidR="0021664D" w14:paraId="7F577510"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0832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Satkhira</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D4E16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279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85C5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20.2 (15.2-26.4)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5BAF0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10.4 (7.1-15.0)</w:t>
            </w:r>
          </w:p>
        </w:tc>
      </w:tr>
      <w:tr w:rsidR="0021664D" w14:paraId="1D3E7FAC"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2E3D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Dhaka</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C9BA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835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CB637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19.9 (16.7-23.6)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B4200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9.3 (7.4-11.5)</w:t>
            </w:r>
          </w:p>
        </w:tc>
      </w:tr>
      <w:tr w:rsidR="0021664D" w14:paraId="430EF7C8"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B4A10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Narail</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91940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368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9BE1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19.9 (16.0-24.5)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2F7E5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12.4 (9.0-16.8)</w:t>
            </w:r>
          </w:p>
        </w:tc>
      </w:tr>
      <w:tr w:rsidR="0021664D" w14:paraId="3FD6A220"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4494E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Pirojpur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10360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5B6E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19.5 (15.5-24.3)</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75DE1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11.0 (7.5-15.8)</w:t>
            </w:r>
          </w:p>
        </w:tc>
      </w:tr>
      <w:tr w:rsidR="0021664D" w14:paraId="6E338DB0"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168A2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Chuadanga</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FD76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316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B7A2A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19.3 (15.0-24.5)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E87DE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16.6 (12.2-22.2)</w:t>
            </w:r>
          </w:p>
        </w:tc>
      </w:tr>
      <w:tr w:rsidR="0021664D" w14:paraId="05EC5515"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CF99A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Joypurhat</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6EAFF"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265</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B2031D"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19.3 (14.8-24.6)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2E5E8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18.5 (15.0-22.8)</w:t>
            </w:r>
          </w:p>
        </w:tc>
      </w:tr>
      <w:tr w:rsidR="0021664D" w14:paraId="17B1DE2E"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8AE6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Meherpur</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803A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249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D11421"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19.1 (14.6-24.6)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FE167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9.2 (6.3-13.2)</w:t>
            </w:r>
          </w:p>
        </w:tc>
      </w:tr>
      <w:tr w:rsidR="0021664D" w14:paraId="607A7910"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A54EA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Gazipur</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C7ECA8"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299</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CED08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18.8 (13.7-25.2)</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21DF25"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10.8 (7.5-15.2)</w:t>
            </w:r>
          </w:p>
        </w:tc>
      </w:tr>
      <w:tr w:rsidR="0021664D" w14:paraId="15ADEAB5"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8346D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Lakshmipur</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423CE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448</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27B26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18.5 (15.3-22.1)</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4DC2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10.5 (7.5-14.4)</w:t>
            </w:r>
          </w:p>
        </w:tc>
      </w:tr>
      <w:tr w:rsidR="0021664D" w14:paraId="4F8249BE"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1D9E0"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r>
              <w:rPr>
                <w:rFonts w:ascii="Times New Roman" w:eastAsia="Arial" w:hAnsi="Arial" w:cs="Arial"/>
                <w:color w:val="000000"/>
                <w:sz w:val="16"/>
                <w:szCs w:val="16"/>
              </w:rPr>
              <w:t>Narayanganj</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E0421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304</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542C6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18.1 (14.3-22.6)</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8EA54"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11.9 (9.0-15.5)</w:t>
            </w:r>
          </w:p>
        </w:tc>
      </w:tr>
      <w:tr w:rsidR="0021664D" w14:paraId="5172FFF6" w14:textId="77777777" w:rsidTr="0010147A">
        <w:trPr>
          <w:jc w:val="center"/>
        </w:trPr>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3E4D3"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Jhenaidah</w:t>
            </w:r>
            <w:proofErr w:type="spellEnd"/>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E5496"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307</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7FC17A"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17.2 (12.8-22.7)</w:t>
            </w:r>
          </w:p>
        </w:tc>
        <w:tc>
          <w:tcPr>
            <w:tcW w:w="12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E4DFE"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11.2 (8.2-15.0)</w:t>
            </w:r>
          </w:p>
        </w:tc>
      </w:tr>
      <w:tr w:rsidR="0021664D" w14:paraId="400501B4" w14:textId="77777777" w:rsidTr="0010147A">
        <w:trPr>
          <w:jc w:val="center"/>
        </w:trPr>
        <w:tc>
          <w:tcPr>
            <w:tcW w:w="125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3D24F6B"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rPr>
                <w:rFonts w:ascii="Times New Roman" w:eastAsia="Arial" w:hAnsi="Arial" w:cs="Arial"/>
                <w:color w:val="000000"/>
                <w:sz w:val="16"/>
                <w:szCs w:val="16"/>
              </w:rPr>
            </w:pPr>
            <w:proofErr w:type="spellStart"/>
            <w:r>
              <w:rPr>
                <w:rFonts w:ascii="Times New Roman" w:eastAsia="Arial" w:hAnsi="Arial" w:cs="Arial"/>
                <w:color w:val="000000"/>
                <w:sz w:val="16"/>
                <w:szCs w:val="16"/>
              </w:rPr>
              <w:t>Kushtia</w:t>
            </w:r>
            <w:proofErr w:type="spellEnd"/>
          </w:p>
        </w:tc>
        <w:tc>
          <w:tcPr>
            <w:tcW w:w="125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63D878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306</w:t>
            </w:r>
          </w:p>
        </w:tc>
        <w:tc>
          <w:tcPr>
            <w:tcW w:w="125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185F13C"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17.0 (12.9-21.9)</w:t>
            </w:r>
          </w:p>
        </w:tc>
        <w:tc>
          <w:tcPr>
            <w:tcW w:w="125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A844982" w14:textId="77777777" w:rsidR="0021664D" w:rsidRDefault="00000000">
            <w:pPr>
              <w:pBdr>
                <w:top w:val="none" w:sz="0" w:space="0" w:color="000000"/>
                <w:left w:val="none" w:sz="0" w:space="0" w:color="000000"/>
                <w:bottom w:val="none" w:sz="0" w:space="0" w:color="000000"/>
                <w:right w:val="none" w:sz="0" w:space="0" w:color="000000"/>
              </w:pBdr>
              <w:spacing w:before="30" w:after="30"/>
              <w:ind w:left="30" w:right="30"/>
              <w:jc w:val="right"/>
              <w:rPr>
                <w:rFonts w:ascii="Times New Roman" w:eastAsia="Arial" w:hAnsi="Arial" w:cs="Arial"/>
                <w:color w:val="000000"/>
                <w:sz w:val="16"/>
                <w:szCs w:val="16"/>
              </w:rPr>
            </w:pPr>
            <w:r>
              <w:rPr>
                <w:rFonts w:ascii="Times New Roman" w:eastAsia="Arial" w:hAnsi="Arial" w:cs="Arial"/>
                <w:color w:val="000000"/>
                <w:sz w:val="16"/>
                <w:szCs w:val="16"/>
              </w:rPr>
              <w:t>10.9 (7.6-15.3)</w:t>
            </w:r>
          </w:p>
        </w:tc>
      </w:tr>
    </w:tbl>
    <w:p w14:paraId="1B1F2B70" w14:textId="77777777" w:rsidR="0021664D" w:rsidRDefault="00000000">
      <w:pPr>
        <w:pBdr>
          <w:top w:val="none" w:sz="0" w:space="0" w:color="000000"/>
          <w:left w:val="none" w:sz="0" w:space="0" w:color="000000"/>
          <w:bottom w:val="none" w:sz="0" w:space="0" w:color="000000"/>
          <w:right w:val="none" w:sz="0" w:space="0" w:color="000000"/>
        </w:pBdr>
        <w:spacing w:before="60" w:after="200" w:line="276" w:lineRule="auto"/>
      </w:pPr>
      <w:r>
        <w:rPr>
          <w:rFonts w:ascii="Times New Roman" w:eastAsia="Times New Roman" w:hAnsi="Times New Roman" w:cs="Times New Roman"/>
          <w:color w:val="000000"/>
          <w:sz w:val="18"/>
          <w:szCs w:val="18"/>
        </w:rPr>
        <w:t>Districts ordered by stunting prevalence. Confidence intervals are wider than at divisional level because each district contributes roughly 300 to 500 measured children, so the ordering should be read as indicative. The three largest city corporations, reported separately in the 2025 round only, are folded back into their parent districts so that a district means the same thing in every round.</w:t>
      </w:r>
    </w:p>
    <w:p w14:paraId="15D22163" w14:textId="77777777" w:rsidR="0021664D" w:rsidRDefault="00000000">
      <w:pPr>
        <w:pBdr>
          <w:top w:val="none" w:sz="0" w:space="0" w:color="000000"/>
          <w:left w:val="none" w:sz="0" w:space="0" w:color="000000"/>
          <w:bottom w:val="none" w:sz="0" w:space="0" w:color="000000"/>
          <w:right w:val="none" w:sz="0" w:space="0" w:color="000000"/>
        </w:pBdr>
        <w:spacing w:before="240" w:after="80"/>
      </w:pPr>
      <w:r>
        <w:rPr>
          <w:rFonts w:ascii="Times New Roman" w:eastAsia="Times New Roman" w:hAnsi="Times New Roman" w:cs="Times New Roman"/>
          <w:b/>
          <w:color w:val="000000"/>
          <w:sz w:val="26"/>
          <w:szCs w:val="26"/>
        </w:rPr>
        <w:t>Figure S1. Concentration curves for stunting</w:t>
      </w:r>
    </w:p>
    <w:p w14:paraId="39578132" w14:textId="77777777" w:rsidR="0021664D" w:rsidRDefault="00000000" w:rsidP="00321F7C">
      <w:pPr>
        <w:jc w:val="center"/>
      </w:pPr>
      <w:r>
        <w:rPr>
          <w:noProof/>
        </w:rPr>
        <w:drawing>
          <wp:inline distT="0" distB="0" distL="0" distR="0" wp14:anchorId="3DB06B69" wp14:editId="7284FBA1">
            <wp:extent cx="2687782" cy="28099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5"/>
                    <a:stretch>
                      <a:fillRect/>
                    </a:stretch>
                  </pic:blipFill>
                  <pic:spPr bwMode="auto">
                    <a:xfrm>
                      <a:off x="0" y="0"/>
                      <a:ext cx="2702905" cy="2825764"/>
                    </a:xfrm>
                    <a:prstGeom prst="rect">
                      <a:avLst/>
                    </a:prstGeom>
                    <a:noFill/>
                  </pic:spPr>
                </pic:pic>
              </a:graphicData>
            </a:graphic>
          </wp:inline>
        </w:drawing>
      </w:r>
    </w:p>
    <w:p w14:paraId="6D0437C6" w14:textId="77777777" w:rsidR="0021664D" w:rsidRDefault="00000000">
      <w:pPr>
        <w:pBdr>
          <w:top w:val="none" w:sz="0" w:space="0" w:color="000000"/>
          <w:left w:val="none" w:sz="0" w:space="0" w:color="000000"/>
          <w:bottom w:val="none" w:sz="0" w:space="0" w:color="000000"/>
          <w:right w:val="none" w:sz="0" w:space="0" w:color="000000"/>
        </w:pBdr>
        <w:spacing w:before="60" w:after="200" w:line="276" w:lineRule="auto"/>
      </w:pPr>
      <w:r>
        <w:rPr>
          <w:rFonts w:ascii="Times New Roman" w:eastAsia="Times New Roman" w:hAnsi="Times New Roman" w:cs="Times New Roman"/>
          <w:color w:val="000000"/>
          <w:sz w:val="18"/>
          <w:szCs w:val="18"/>
        </w:rPr>
        <w:t>Cumulative share of stunted children against the cumulative share of children ranked by household wealth. A curve above the diagonal indicates a burden concentrated among poorer children. The three curves are nearly coincident, which is the correct result: the relative wealth gradient did not change materially across the three rounds. The summary indices in table S2 and figure 4 of the main text quantify this.</w:t>
      </w:r>
    </w:p>
    <w:p w14:paraId="55DC9440" w14:textId="77777777" w:rsidR="0021664D" w:rsidRDefault="00000000">
      <w:pPr>
        <w:pBdr>
          <w:top w:val="none" w:sz="0" w:space="0" w:color="000000"/>
          <w:left w:val="none" w:sz="0" w:space="0" w:color="000000"/>
          <w:bottom w:val="none" w:sz="0" w:space="0" w:color="000000"/>
          <w:right w:val="none" w:sz="0" w:space="0" w:color="000000"/>
        </w:pBdr>
        <w:spacing w:before="240" w:after="80"/>
      </w:pPr>
      <w:r>
        <w:rPr>
          <w:rFonts w:ascii="Times New Roman" w:eastAsia="Times New Roman" w:hAnsi="Times New Roman" w:cs="Times New Roman"/>
          <w:b/>
          <w:color w:val="000000"/>
          <w:sz w:val="26"/>
          <w:szCs w:val="26"/>
        </w:rPr>
        <w:lastRenderedPageBreak/>
        <w:t>Figure S2. Stunting by division and survey round</w:t>
      </w:r>
    </w:p>
    <w:p w14:paraId="0A3035B1" w14:textId="77777777" w:rsidR="0021664D" w:rsidRDefault="00000000">
      <w:r>
        <w:rPr>
          <w:noProof/>
        </w:rPr>
        <w:drawing>
          <wp:inline distT="0" distB="0" distL="0" distR="0" wp14:anchorId="357521E2" wp14:editId="69A1BC0E">
            <wp:extent cx="5486400" cy="3108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6"/>
                    <a:stretch>
                      <a:fillRect/>
                    </a:stretch>
                  </pic:blipFill>
                  <pic:spPr bwMode="auto">
                    <a:xfrm>
                      <a:off x="0" y="0"/>
                      <a:ext cx="5486400" cy="3108960"/>
                    </a:xfrm>
                    <a:prstGeom prst="rect">
                      <a:avLst/>
                    </a:prstGeom>
                    <a:noFill/>
                  </pic:spPr>
                </pic:pic>
              </a:graphicData>
            </a:graphic>
          </wp:inline>
        </w:drawing>
      </w:r>
    </w:p>
    <w:p w14:paraId="768883FD" w14:textId="77777777" w:rsidR="0021664D" w:rsidRDefault="00000000">
      <w:pPr>
        <w:pBdr>
          <w:top w:val="none" w:sz="0" w:space="0" w:color="000000"/>
          <w:left w:val="none" w:sz="0" w:space="0" w:color="000000"/>
          <w:bottom w:val="none" w:sz="0" w:space="0" w:color="000000"/>
          <w:right w:val="none" w:sz="0" w:space="0" w:color="000000"/>
        </w:pBdr>
        <w:spacing w:before="60" w:after="200" w:line="276" w:lineRule="auto"/>
      </w:pPr>
      <w:r>
        <w:rPr>
          <w:rFonts w:ascii="Times New Roman" w:eastAsia="Times New Roman" w:hAnsi="Times New Roman" w:cs="Times New Roman"/>
          <w:color w:val="000000"/>
          <w:sz w:val="18"/>
          <w:szCs w:val="18"/>
        </w:rPr>
        <w:t>Divisions ordered by 2025 prevalence, with the change over the period at the right. Divisional estimates are more precise than the district estimates in figure 3 of the main text (median 95% confidence interval width 4 against 10 percentage points), so the over-time comparison is made at this level. Mymensingh was created in 2015 and has no 2012-13 baseline.</w:t>
      </w:r>
    </w:p>
    <w:p w14:paraId="6E3C860E" w14:textId="77777777" w:rsidR="0021664D" w:rsidRDefault="00000000">
      <w:pPr>
        <w:pBdr>
          <w:top w:val="none" w:sz="0" w:space="0" w:color="000000"/>
          <w:left w:val="none" w:sz="0" w:space="0" w:color="000000"/>
          <w:bottom w:val="none" w:sz="0" w:space="0" w:color="000000"/>
          <w:right w:val="none" w:sz="0" w:space="0" w:color="000000"/>
        </w:pBdr>
        <w:spacing w:before="240" w:after="80"/>
      </w:pPr>
      <w:r>
        <w:rPr>
          <w:rFonts w:ascii="Times New Roman" w:eastAsia="Times New Roman" w:hAnsi="Times New Roman" w:cs="Times New Roman"/>
          <w:b/>
          <w:color w:val="000000"/>
          <w:sz w:val="26"/>
          <w:szCs w:val="26"/>
        </w:rPr>
        <w:t xml:space="preserve">Note S1. </w:t>
      </w:r>
      <w:proofErr w:type="spellStart"/>
      <w:r>
        <w:rPr>
          <w:rFonts w:ascii="Times New Roman" w:eastAsia="Times New Roman" w:hAnsi="Times New Roman" w:cs="Times New Roman"/>
          <w:b/>
          <w:color w:val="000000"/>
          <w:sz w:val="26"/>
          <w:szCs w:val="26"/>
        </w:rPr>
        <w:t>Harmonisation</w:t>
      </w:r>
      <w:proofErr w:type="spellEnd"/>
      <w:r>
        <w:rPr>
          <w:rFonts w:ascii="Times New Roman" w:eastAsia="Times New Roman" w:hAnsi="Times New Roman" w:cs="Times New Roman"/>
          <w:b/>
          <w:color w:val="000000"/>
          <w:sz w:val="26"/>
          <w:szCs w:val="26"/>
        </w:rPr>
        <w:t xml:space="preserve"> decisions across survey rounds</w:t>
      </w:r>
    </w:p>
    <w:p w14:paraId="22EFBEC0"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Measurement flags. Each round supplies flag variables marking biologically implausible z-scores. Flagged values were set to missing before the thresholds were applied. Applying the flag as an additional condition alongside the threshold, which is the more natural way to write the expression, causes flagged children to be counted as not stunted rather than excluded and understates prevalence by roughly one percentage point.</w:t>
      </w:r>
    </w:p>
    <w:p w14:paraId="6275825F"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 xml:space="preserve">Zero-weight records. In every round the wealth index takes an </w:t>
      </w:r>
      <w:proofErr w:type="spellStart"/>
      <w:r>
        <w:rPr>
          <w:rFonts w:ascii="Times New Roman" w:eastAsia="Times New Roman" w:hAnsi="Times New Roman" w:cs="Times New Roman"/>
          <w:color w:val="000000"/>
          <w:sz w:val="22"/>
          <w:szCs w:val="22"/>
        </w:rPr>
        <w:t>unlabelled</w:t>
      </w:r>
      <w:proofErr w:type="spellEnd"/>
      <w:r>
        <w:rPr>
          <w:rFonts w:ascii="Times New Roman" w:eastAsia="Times New Roman" w:hAnsi="Times New Roman" w:cs="Times New Roman"/>
          <w:color w:val="000000"/>
          <w:sz w:val="22"/>
          <w:szCs w:val="22"/>
        </w:rPr>
        <w:t xml:space="preserve"> value of zero for a group of children. This coincides exactly with a child sampling weight of zero and a missing height-for-age z-score, and identifies children whose under-five questionnaire was not completed. These records were dropped rather than treated as a sixth wealth category.</w:t>
      </w:r>
    </w:p>
    <w:p w14:paraId="5117604F"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 xml:space="preserve">Residence labels. Urban and rural are recorded in upper case in the 2019 round and in title case in the other two, which yields four residence categories rather than two unless </w:t>
      </w:r>
      <w:proofErr w:type="spellStart"/>
      <w:r>
        <w:rPr>
          <w:rFonts w:ascii="Times New Roman" w:eastAsia="Times New Roman" w:hAnsi="Times New Roman" w:cs="Times New Roman"/>
          <w:color w:val="000000"/>
          <w:sz w:val="22"/>
          <w:szCs w:val="22"/>
        </w:rPr>
        <w:t>harmonised</w:t>
      </w:r>
      <w:proofErr w:type="spellEnd"/>
      <w:r>
        <w:rPr>
          <w:rFonts w:ascii="Times New Roman" w:eastAsia="Times New Roman" w:hAnsi="Times New Roman" w:cs="Times New Roman"/>
          <w:color w:val="000000"/>
          <w:sz w:val="22"/>
          <w:szCs w:val="22"/>
        </w:rPr>
        <w:t>.</w:t>
      </w:r>
    </w:p>
    <w:p w14:paraId="08D6A2D3"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Maternal education. The 2012-13 round combines completed secondary schooling with all higher levels into one category, so secondary and higher cannot be separated in that round. The finest scheme comparable across all three rounds is three levels: none or pre-primary, primary, and secondary or higher. The published survey report uses a finer scheme for 2025, which is why its 'higher' category and our 'secondary or higher' category differ and are not compared in table S1.</w:t>
      </w:r>
    </w:p>
    <w:p w14:paraId="2D313040"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 xml:space="preserve">Water and sanitation. The MICS questionnaire was renumbered between the fifth and sixth rounds. The question code that records the type of toilet facility in 2012-13 records the reason water was unavailable </w:t>
      </w:r>
      <w:r>
        <w:rPr>
          <w:rFonts w:ascii="Times New Roman" w:eastAsia="Times New Roman" w:hAnsi="Times New Roman" w:cs="Times New Roman"/>
          <w:color w:val="000000"/>
          <w:sz w:val="22"/>
          <w:szCs w:val="22"/>
        </w:rPr>
        <w:lastRenderedPageBreak/>
        <w:t xml:space="preserve">in 2019 and 2025. </w:t>
      </w:r>
      <w:proofErr w:type="spellStart"/>
      <w:r>
        <w:rPr>
          <w:rFonts w:ascii="Times New Roman" w:eastAsia="Times New Roman" w:hAnsi="Times New Roman" w:cs="Times New Roman"/>
          <w:color w:val="000000"/>
          <w:sz w:val="22"/>
          <w:szCs w:val="22"/>
        </w:rPr>
        <w:t>Harmonising</w:t>
      </w:r>
      <w:proofErr w:type="spellEnd"/>
      <w:r>
        <w:rPr>
          <w:rFonts w:ascii="Times New Roman" w:eastAsia="Times New Roman" w:hAnsi="Times New Roman" w:cs="Times New Roman"/>
          <w:color w:val="000000"/>
          <w:sz w:val="22"/>
          <w:szCs w:val="22"/>
        </w:rPr>
        <w:t xml:space="preserve"> these variables would require a hand-built per-round mapping, and they were omitted rather than risk a silent mis-mapping.</w:t>
      </w:r>
    </w:p>
    <w:p w14:paraId="5314D88C"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Maternal anthropometry. Height and weight of women are not measured in any Bangladesh MICS round, so the household-level double burden of malnutrition cannot be examined in these data.</w:t>
      </w:r>
    </w:p>
    <w:p w14:paraId="61C44FC5"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 xml:space="preserve">Administrative geography. Rangpur division was created in 2010 and Mymensingh in 2015. At district level, the 2025 round reports Dhaka North, Dhaka South and Chattogram city corporations as separate units, which the earlier rounds do not; these were folded back into their parent districts. Four districts are spelled differently between rounds. After </w:t>
      </w:r>
      <w:proofErr w:type="spellStart"/>
      <w:r>
        <w:rPr>
          <w:rFonts w:ascii="Times New Roman" w:eastAsia="Times New Roman" w:hAnsi="Times New Roman" w:cs="Times New Roman"/>
          <w:color w:val="000000"/>
          <w:sz w:val="22"/>
          <w:szCs w:val="22"/>
        </w:rPr>
        <w:t>harmonisation</w:t>
      </w:r>
      <w:proofErr w:type="spellEnd"/>
      <w:r>
        <w:rPr>
          <w:rFonts w:ascii="Times New Roman" w:eastAsia="Times New Roman" w:hAnsi="Times New Roman" w:cs="Times New Roman"/>
          <w:color w:val="000000"/>
          <w:sz w:val="22"/>
          <w:szCs w:val="22"/>
        </w:rPr>
        <w:t xml:space="preserve"> the count is 64 districts in every round.</w:t>
      </w:r>
    </w:p>
    <w:p w14:paraId="43351B66" w14:textId="77777777" w:rsidR="0021664D" w:rsidRDefault="00000000">
      <w:pPr>
        <w:pBdr>
          <w:top w:val="none" w:sz="0" w:space="0" w:color="000000"/>
          <w:left w:val="none" w:sz="0" w:space="0" w:color="000000"/>
          <w:bottom w:val="none" w:sz="0" w:space="0" w:color="000000"/>
          <w:right w:val="none" w:sz="0" w:space="0" w:color="000000"/>
        </w:pBdr>
        <w:spacing w:before="240" w:after="80"/>
      </w:pPr>
      <w:r>
        <w:rPr>
          <w:rFonts w:ascii="Times New Roman" w:eastAsia="Times New Roman" w:hAnsi="Times New Roman" w:cs="Times New Roman"/>
          <w:b/>
          <w:color w:val="000000"/>
          <w:sz w:val="26"/>
          <w:szCs w:val="26"/>
        </w:rPr>
        <w:t>Note S2. The 2006 round</w:t>
      </w:r>
    </w:p>
    <w:p w14:paraId="6768E1EF" w14:textId="77777777" w:rsidR="0021664D" w:rsidRDefault="00000000">
      <w:pPr>
        <w:pBdr>
          <w:top w:val="none" w:sz="0" w:space="0" w:color="000000"/>
          <w:left w:val="none" w:sz="0" w:space="0" w:color="000000"/>
          <w:bottom w:val="none" w:sz="0" w:space="0" w:color="000000"/>
          <w:right w:val="none" w:sz="0" w:space="0" w:color="000000"/>
        </w:pBdr>
        <w:spacing w:after="120" w:line="336" w:lineRule="auto"/>
        <w:jc w:val="both"/>
      </w:pPr>
      <w:r>
        <w:rPr>
          <w:rFonts w:ascii="Times New Roman" w:eastAsia="Times New Roman" w:hAnsi="Times New Roman" w:cs="Times New Roman"/>
          <w:color w:val="000000"/>
          <w:sz w:val="22"/>
          <w:szCs w:val="22"/>
        </w:rPr>
        <w:t>Bangladesh has conducted four MICS rounds: 2006, 2012-13, 2019 and 2025. The 2006 round was inspected and excluded because it contains no anthropometry module: no height or weight measurements, no derived z-scores and no measurement flags. The analysis therefore covers the three rounds that measured children.</w:t>
      </w:r>
    </w:p>
    <w:sectPr w:rsidR="0021664D">
      <w:type w:val="continuous"/>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2870879">
    <w:abstractNumId w:val="1"/>
  </w:num>
  <w:num w:numId="2" w16cid:durableId="6250969">
    <w:abstractNumId w:val="2"/>
  </w:num>
  <w:num w:numId="3" w16cid:durableId="187735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64D"/>
    <w:rsid w:val="0010147A"/>
    <w:rsid w:val="001044AB"/>
    <w:rsid w:val="0021664D"/>
    <w:rsid w:val="00321F7C"/>
    <w:rsid w:val="00AC32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EA82"/>
  <w15:docId w15:val="{0A323C6F-5ECC-41C7-BDC6-C73282A4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1">
    <w:name w:val="Strong1"/>
    <w:basedOn w:val="DefaultParagraphFon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Heading1Char">
    <w:name w:val="Heading 1 Char"/>
    <w:basedOn w:val="DefaultParagraphFont"/>
    <w:link w:val="Heading1"/>
    <w:uiPriority w:val="9"/>
    <w:rsid w:val="00362E65"/>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semiHidden/>
    <w:rsid w:val="00362E6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Professional">
    <w:name w:val="Table Professional"/>
    <w:basedOn w:val="Table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FB63E7"/>
    <w:pPr>
      <w:spacing w:after="100"/>
    </w:pPr>
  </w:style>
  <w:style w:type="paragraph" w:styleId="TOC2">
    <w:name w:val="toc 2"/>
    <w:basedOn w:val="Normal"/>
    <w:next w:val="Normal"/>
    <w:autoRedefine/>
    <w:uiPriority w:val="39"/>
    <w:unhideWhenUsed/>
    <w:rsid w:val="00FB63E7"/>
    <w:pPr>
      <w:spacing w:after="100"/>
      <w:ind w:left="240"/>
    </w:pPr>
  </w:style>
  <w:style w:type="paragraph" w:styleId="BalloonText">
    <w:name w:val="Balloon Text"/>
    <w:basedOn w:val="Normal"/>
    <w:link w:val="BalloonTextChar"/>
    <w:uiPriority w:val="99"/>
    <w:semiHidden/>
    <w:unhideWhenUsed/>
    <w:rsid w:val="00FB63E7"/>
    <w:rPr>
      <w:rFonts w:ascii="Lucida Grande" w:hAnsi="Lucida Grande"/>
      <w:sz w:val="18"/>
      <w:szCs w:val="18"/>
    </w:rPr>
  </w:style>
  <w:style w:type="character" w:customStyle="1" w:styleId="BalloonTextChar">
    <w:name w:val="Balloon Text Char"/>
    <w:basedOn w:val="DefaultParagraphFont"/>
    <w:link w:val="BalloonText"/>
    <w:uiPriority w:val="99"/>
    <w:semiHidden/>
    <w:rsid w:val="00FB63E7"/>
    <w:rPr>
      <w:rFonts w:ascii="Lucida Grande" w:hAnsi="Lucida Grande"/>
      <w:sz w:val="18"/>
      <w:szCs w:val="18"/>
    </w:rPr>
  </w:style>
  <w:style w:type="character" w:customStyle="1" w:styleId="referenceid">
    <w:name w:val="reference_id"/>
    <w:basedOn w:val="DefaultParagraphFon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1997</Words>
  <Characters>11385</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13356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Rony</cp:lastModifiedBy>
  <cp:revision>15</cp:revision>
  <dcterms:created xsi:type="dcterms:W3CDTF">2017-02-28T11:18:00Z</dcterms:created>
  <dcterms:modified xsi:type="dcterms:W3CDTF">2026-08-08T15:16:00Z</dcterms:modified>
  <cp:category/>
</cp:coreProperties>
</file>