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529C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pPrChange w:id="0" w:author="刘佳琪" w:date="2026-07-28T21:58:11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auto"/>
            <w:textAlignment w:val="auto"/>
          </w:pPr>
        </w:pPrChange>
      </w:pPr>
      <w:r>
        <w:rPr>
          <w:rFonts w:hint="default" w:ascii="Times New Roman" w:hAnsi="Times New Roman" w:eastAsia="宋体" w:cs="Times New Roman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Supplementary Table 1. </w:t>
      </w:r>
      <w:r>
        <w:rPr>
          <w:rFonts w:hint="default" w:ascii="Times New Roman" w:hAnsi="Times New Roman" w:cs="Times New Roman"/>
          <w:b/>
          <w:sz w:val="22"/>
          <w:szCs w:val="22"/>
        </w:rPr>
        <w:t>Bleeding eve</w:t>
      </w:r>
      <w:bookmarkStart w:id="0" w:name="_GoBack"/>
      <w:bookmarkEnd w:id="0"/>
      <w:r>
        <w:rPr>
          <w:rFonts w:hint="default" w:ascii="Times New Roman" w:hAnsi="Times New Roman" w:cs="Times New Roman"/>
          <w:b/>
          <w:sz w:val="22"/>
          <w:szCs w:val="22"/>
        </w:rPr>
        <w:t>nts and bleeding scores before and after treatment</w:t>
      </w:r>
    </w:p>
    <w:tbl>
      <w:tblPr>
        <w:tblStyle w:val="6"/>
        <w:tblW w:w="0" w:type="auto"/>
        <w:tblInd w:w="135" w:type="dxa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83"/>
        <w:gridCol w:w="2104"/>
        <w:gridCol w:w="2186"/>
        <w:gridCol w:w="1314"/>
      </w:tblGrid>
      <w:tr w14:paraId="550F1624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8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1D92F7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1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jc w:val="left"/>
                  <w:textAlignment w:val="auto"/>
                </w:pPr>
              </w:pPrChange>
            </w:pPr>
          </w:p>
        </w:tc>
        <w:tc>
          <w:tcPr>
            <w:tcW w:w="210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67B7A7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2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jc w:val="left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Before treatment</w:t>
            </w:r>
          </w:p>
        </w:tc>
        <w:tc>
          <w:tcPr>
            <w:tcW w:w="218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3BA378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3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jc w:val="left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After treatment</w:t>
            </w:r>
          </w:p>
        </w:tc>
        <w:tc>
          <w:tcPr>
            <w:tcW w:w="131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6706A7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/>
                <w:i/>
                <w:i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4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jc w:val="left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P</w:t>
            </w:r>
          </w:p>
        </w:tc>
      </w:tr>
      <w:tr w14:paraId="4086BADE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617440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pPrChange w:id="5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ind w:firstLine="0" w:firstLineChars="0"/>
                  <w:jc w:val="left"/>
                  <w:textAlignment w:val="auto"/>
                </w:pPr>
              </w:pPrChange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lang w:bidi="ar"/>
              </w:rPr>
              <w:t>orticosteroid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lang w:val="en-US" w:eastAsia="zh-CN" w:bidi="ar"/>
              </w:rPr>
              <w:t>s plus rhTPO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4947F0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6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790680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7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jc w:val="left"/>
                  <w:textAlignment w:val="auto"/>
                </w:pPr>
              </w:pPrChange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4A8805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8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jc w:val="left"/>
                  <w:textAlignment w:val="auto"/>
                </w:pPr>
              </w:pPrChange>
            </w:pPr>
          </w:p>
        </w:tc>
      </w:tr>
      <w:tr w14:paraId="0C06A9C1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8C6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9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ind w:firstLine="220" w:firstLineChars="100"/>
                  <w:jc w:val="left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Bleeding event, n (%)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7284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pPrChange w:id="10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54 (87.1)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606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pPrChange w:id="11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jc w:val="left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 (8.1)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9F5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pPrChange w:id="12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jc w:val="left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&lt; 0.001</w:t>
            </w:r>
          </w:p>
        </w:tc>
      </w:tr>
      <w:tr w14:paraId="7DDA6CAD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2A399C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13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ind w:firstLine="220" w:firstLineChars="100"/>
                  <w:jc w:val="left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Bleeding score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71402D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14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10B203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15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jc w:val="left"/>
                  <w:textAlignment w:val="auto"/>
                </w:pPr>
              </w:pPrChange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00C3B2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16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jc w:val="left"/>
                  <w:textAlignment w:val="auto"/>
                </w:pPr>
              </w:pPrChange>
            </w:pPr>
          </w:p>
        </w:tc>
      </w:tr>
      <w:tr w14:paraId="012B6060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81E9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440" w:firstLineChars="20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pPrChange w:id="17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ind w:firstLine="440" w:firstLineChars="200"/>
                  <w:jc w:val="left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6915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pPrChange w:id="18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506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pPrChange w:id="19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jc w:val="left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57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6788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pPrChange w:id="20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jc w:val="left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4334EFC3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26970A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440" w:firstLineChars="20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pPrChange w:id="21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ind w:firstLine="440" w:firstLineChars="200"/>
                  <w:jc w:val="left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4D4F15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pPrChange w:id="22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42301D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pPrChange w:id="23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jc w:val="left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4C6E71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pPrChange w:id="24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jc w:val="left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00A7B3DD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168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440" w:firstLineChars="20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pPrChange w:id="25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ind w:firstLine="440" w:firstLineChars="200"/>
                  <w:jc w:val="left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71F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pPrChange w:id="26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9EDB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pPrChange w:id="27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jc w:val="left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020F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pPrChange w:id="28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jc w:val="left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6A07AFEB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07AA42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440" w:firstLineChars="20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pPrChange w:id="29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ind w:firstLine="440" w:firstLineChars="200"/>
                  <w:jc w:val="left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7BC43C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pPrChange w:id="30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095F0A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pPrChange w:id="31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jc w:val="left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67958E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pPrChange w:id="32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jc w:val="left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2EA1DCC0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7A7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440" w:firstLineChars="20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pPrChange w:id="33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ind w:firstLine="440" w:firstLineChars="200"/>
                  <w:jc w:val="left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6413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pPrChange w:id="34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DFD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pPrChange w:id="35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jc w:val="left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D53D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pPrChange w:id="36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jc w:val="left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790F6F04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591E23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440" w:firstLineChars="20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pPrChange w:id="37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ind w:firstLine="440" w:firstLineChars="200"/>
                  <w:jc w:val="left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1433F0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pPrChange w:id="38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658479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pPrChange w:id="39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jc w:val="left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7619AB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pPrChange w:id="40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jc w:val="left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316AA6D1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ED35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440" w:firstLineChars="200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pPrChange w:id="41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ind w:firstLine="440" w:firstLineChars="200"/>
                  <w:jc w:val="left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Median (range)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B3E6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pPrChange w:id="42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 (0-3)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9188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pPrChange w:id="43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jc w:val="left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 (0-8)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CC49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44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jc w:val="left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&lt; 0.001</w:t>
            </w:r>
          </w:p>
        </w:tc>
      </w:tr>
      <w:tr w14:paraId="17D30193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7D99DB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45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jc w:val="left"/>
                  <w:textAlignment w:val="auto"/>
                </w:pPr>
              </w:pPrChange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  <w:lang w:bidi="ar"/>
              </w:rPr>
              <w:t>orticosteroid monotherapy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452E61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46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jc w:val="left"/>
                  <w:textAlignment w:val="auto"/>
                </w:pPr>
              </w:pPrChange>
            </w:pP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4DB3AC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47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jc w:val="left"/>
                  <w:textAlignment w:val="auto"/>
                </w:pPr>
              </w:pPrChange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215AEC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/>
                <w:i/>
                <w:i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48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jc w:val="left"/>
                  <w:textAlignment w:val="auto"/>
                </w:pPr>
              </w:pPrChange>
            </w:pPr>
          </w:p>
        </w:tc>
      </w:tr>
      <w:tr w14:paraId="38E0E17A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BC55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49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ind w:firstLine="220" w:firstLineChars="100"/>
                  <w:jc w:val="left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Bleeding event, n (%)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B414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pPrChange w:id="50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56 (90.3)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A38F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pPrChange w:id="51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jc w:val="left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 (16.1)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D32D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pPrChange w:id="52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jc w:val="left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&lt; 0.001</w:t>
            </w:r>
          </w:p>
        </w:tc>
      </w:tr>
      <w:tr w14:paraId="59073710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64B491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53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ind w:firstLine="220" w:firstLineChars="100"/>
                  <w:jc w:val="left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Bleeding score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36F0C4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54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6ECBA8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55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jc w:val="left"/>
                  <w:textAlignment w:val="auto"/>
                </w:pPr>
              </w:pPrChange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5FD1DF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56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jc w:val="left"/>
                  <w:textAlignment w:val="auto"/>
                </w:pPr>
              </w:pPrChange>
            </w:pPr>
          </w:p>
        </w:tc>
      </w:tr>
      <w:tr w14:paraId="45E7E666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AEF9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440" w:firstLineChars="200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57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ind w:firstLine="440" w:firstLineChars="200"/>
                  <w:jc w:val="left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E219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pPrChange w:id="58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E7B2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pPrChange w:id="59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jc w:val="left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52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CCF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60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jc w:val="left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553CA6D4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1AD030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440" w:firstLineChars="200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61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ind w:firstLine="440" w:firstLineChars="200"/>
                  <w:jc w:val="left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651169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pPrChange w:id="62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71880D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pPrChange w:id="63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jc w:val="left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13E11A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64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jc w:val="left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035AC2DD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C99F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440" w:firstLineChars="200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65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ind w:firstLine="440" w:firstLineChars="200"/>
                  <w:jc w:val="left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F169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pPrChange w:id="66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F14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pPrChange w:id="67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jc w:val="left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78C1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68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jc w:val="left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0A68434A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1727C8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440" w:firstLineChars="200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69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ind w:firstLine="440" w:firstLineChars="200"/>
                  <w:jc w:val="left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533003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pPrChange w:id="70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014629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pPrChange w:id="71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jc w:val="left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0D7BDC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72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jc w:val="left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324EAB37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1EC4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440" w:firstLineChars="200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73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ind w:firstLine="440" w:firstLineChars="200"/>
                  <w:jc w:val="left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6A40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pPrChange w:id="74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A0D3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pPrChange w:id="75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jc w:val="left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01E9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76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jc w:val="left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60CDD7B7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180081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440" w:firstLineChars="200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77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ind w:firstLine="440" w:firstLineChars="200"/>
                  <w:jc w:val="left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17BAD0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pPrChange w:id="78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0A1035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pPrChange w:id="79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jc w:val="left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780299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80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jc w:val="left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6E92E4A1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8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C877B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81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ind w:firstLine="220" w:firstLineChars="100"/>
                  <w:jc w:val="left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Median (range)</w:t>
            </w:r>
          </w:p>
        </w:tc>
        <w:tc>
          <w:tcPr>
            <w:tcW w:w="210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D7951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pPrChange w:id="82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 (0-8)</w:t>
            </w:r>
          </w:p>
        </w:tc>
        <w:tc>
          <w:tcPr>
            <w:tcW w:w="218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D3DB9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pPrChange w:id="83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jc w:val="left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 (0-8)</w:t>
            </w:r>
          </w:p>
        </w:tc>
        <w:tc>
          <w:tcPr>
            <w:tcW w:w="131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FBFFC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84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jc w:val="left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&lt; 0.001</w:t>
            </w:r>
          </w:p>
        </w:tc>
      </w:tr>
    </w:tbl>
    <w:p w14:paraId="719B124A">
      <w:pPr>
        <w:spacing w:line="480" w:lineRule="auto"/>
        <w:rPr>
          <w:rFonts w:hint="default" w:ascii="Times New Roman" w:hAnsi="Times New Roman" w:eastAsia="宋体" w:cs="Times New Roman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pPrChange w:id="85" w:author="刘佳琪" w:date="2026-07-28T21:58:11Z">
          <w:pPr/>
        </w:pPrChange>
      </w:pPr>
      <w:r>
        <w:rPr>
          <w:rFonts w:hint="default" w:ascii="Times New Roman" w:hAnsi="Times New Roman" w:eastAsia="宋体" w:cs="Times New Roman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br w:type="page"/>
      </w:r>
    </w:p>
    <w:p w14:paraId="207A8F1C">
      <w:pPr>
        <w:spacing w:line="480" w:lineRule="auto"/>
        <w:rPr>
          <w:rFonts w:hint="default" w:ascii="Times New Roman" w:hAnsi="Times New Roman" w:eastAsia="宋体" w:cs="Times New Roman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pPrChange w:id="86" w:author="刘佳琪" w:date="2026-07-28T21:58:11Z">
          <w:pPr/>
        </w:pPrChange>
      </w:pPr>
      <w:r>
        <w:rPr>
          <w:rFonts w:hint="default" w:ascii="Times New Roman" w:hAnsi="Times New Roman" w:eastAsia="宋体" w:cs="Times New Roman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Supplementary Table 2. </w:t>
      </w:r>
      <w:r>
        <w:rPr>
          <w:rFonts w:hint="default" w:ascii="Times New Roman" w:hAnsi="Times New Roman" w:cs="Times New Roman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Treatment efficacy of corticosteroid types subgroups after PSM</w:t>
      </w:r>
    </w:p>
    <w:tbl>
      <w:tblPr>
        <w:tblStyle w:val="6"/>
        <w:tblW w:w="9025" w:type="dxa"/>
        <w:tblInd w:w="-27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9"/>
        <w:gridCol w:w="1679"/>
        <w:gridCol w:w="1449"/>
        <w:gridCol w:w="2051"/>
        <w:gridCol w:w="1037"/>
      </w:tblGrid>
      <w:tr w14:paraId="13E996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80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2AD775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87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</w:p>
        </w:tc>
        <w:tc>
          <w:tcPr>
            <w:tcW w:w="167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4F5D91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88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Dexamethasone</w:t>
            </w:r>
          </w:p>
          <w:p w14:paraId="011018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89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(n = 40)</w:t>
            </w:r>
          </w:p>
        </w:tc>
        <w:tc>
          <w:tcPr>
            <w:tcW w:w="144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6E963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90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Prednisone</w:t>
            </w:r>
          </w:p>
          <w:p w14:paraId="42EE38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91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(n = 15)</w:t>
            </w:r>
          </w:p>
        </w:tc>
        <w:tc>
          <w:tcPr>
            <w:tcW w:w="205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0D62D6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92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jc w:val="left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Methylprednisolone</w:t>
            </w:r>
          </w:p>
          <w:p w14:paraId="50EC13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93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jc w:val="left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(n = 7)</w:t>
            </w:r>
          </w:p>
        </w:tc>
        <w:tc>
          <w:tcPr>
            <w:tcW w:w="103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290177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94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jc w:val="left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P</w:t>
            </w:r>
          </w:p>
        </w:tc>
      </w:tr>
      <w:tr w14:paraId="607996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80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DBE3F4"/>
            <w:vAlign w:val="center"/>
          </w:tcPr>
          <w:p w14:paraId="1DE73E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95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Initial response</w:t>
            </w:r>
          </w:p>
        </w:tc>
        <w:tc>
          <w:tcPr>
            <w:tcW w:w="167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DBE3F4"/>
            <w:vAlign w:val="center"/>
          </w:tcPr>
          <w:p w14:paraId="03CEBB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96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</w:p>
        </w:tc>
        <w:tc>
          <w:tcPr>
            <w:tcW w:w="144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DBE3F4"/>
            <w:vAlign w:val="center"/>
          </w:tcPr>
          <w:p w14:paraId="23E6F2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97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</w:p>
        </w:tc>
        <w:tc>
          <w:tcPr>
            <w:tcW w:w="205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DBE3F4"/>
            <w:vAlign w:val="center"/>
          </w:tcPr>
          <w:p w14:paraId="775AE2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98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</w:p>
        </w:tc>
        <w:tc>
          <w:tcPr>
            <w:tcW w:w="103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DBE3F4"/>
            <w:vAlign w:val="center"/>
          </w:tcPr>
          <w:p w14:paraId="2D40E4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99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</w:p>
        </w:tc>
      </w:tr>
      <w:tr w14:paraId="727CED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DBE3F4"/>
            <w:vAlign w:val="center"/>
          </w:tcPr>
          <w:p w14:paraId="03B5C5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100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ind w:firstLine="220" w:firstLineChars="100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R, n (%)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DBE3F4"/>
            <w:vAlign w:val="center"/>
          </w:tcPr>
          <w:p w14:paraId="5C9228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101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36 (90.0)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DBE3F4"/>
            <w:vAlign w:val="center"/>
          </w:tcPr>
          <w:p w14:paraId="4EF3BB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102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12 (80.0)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DBE3F4"/>
            <w:vAlign w:val="center"/>
          </w:tcPr>
          <w:p w14:paraId="6C90B6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103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5 (71.4)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DBE3F4"/>
            <w:vAlign w:val="center"/>
          </w:tcPr>
          <w:p w14:paraId="449E6B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104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0.246</w:t>
            </w:r>
          </w:p>
        </w:tc>
      </w:tr>
      <w:tr w14:paraId="66DDF2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DBE3F4"/>
            <w:vAlign w:val="center"/>
          </w:tcPr>
          <w:p w14:paraId="2C9685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105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ind w:firstLine="220" w:firstLineChars="100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CR, n (%)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5647D3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106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23 (57.5)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31820E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107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11 (73.3)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32B751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108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3 (42.9)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146FF0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109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0.394</w:t>
            </w:r>
          </w:p>
        </w:tc>
      </w:tr>
      <w:tr w14:paraId="7DCA3B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442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110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Month 6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9CD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111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B986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112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C11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113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425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114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</w:p>
        </w:tc>
      </w:tr>
      <w:tr w14:paraId="1FF922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780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115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SR, n (%)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F87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116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17 (42.5)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F4D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117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7 (46.7)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105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118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3 (42.9)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69B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119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1.000</w:t>
            </w:r>
          </w:p>
        </w:tc>
      </w:tr>
      <w:tr w14:paraId="36B832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AD0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120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Sustained CR, n (%)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DA9B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121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11 (27.5)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9A0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122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6 (40.0)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714D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123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 (14.3)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78AF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124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0.442</w:t>
            </w:r>
          </w:p>
        </w:tc>
      </w:tr>
      <w:tr w14:paraId="13A25C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089863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125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Month 12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326F1F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126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20ABD8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127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691B30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128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04CDFE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129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</w:p>
        </w:tc>
      </w:tr>
      <w:tr w14:paraId="395C92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2F4B7F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130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SR, n (%)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2AE504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131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16 (40.0)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296B37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132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6 (40.0)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52C0B4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133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 (28.6)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1EFEA4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134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0.927</w:t>
            </w:r>
          </w:p>
        </w:tc>
      </w:tr>
      <w:tr w14:paraId="39842E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729F60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135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Sustained CR, n (%)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12E607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136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8 (20.0)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65702E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137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5 (33.3)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2D0812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sz w:val="22"/>
                <w:szCs w:val="22"/>
              </w:rPr>
              <w:pPrChange w:id="138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 (0)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77BB21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sz w:val="22"/>
                <w:szCs w:val="22"/>
              </w:rPr>
              <w:pPrChange w:id="139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0.178</w:t>
            </w:r>
          </w:p>
        </w:tc>
      </w:tr>
      <w:tr w14:paraId="025317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256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pPrChange w:id="140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Median peak platelet count, [IQR], × 10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vertAlign w:val="superscript"/>
              </w:rPr>
              <w:t>9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/L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B83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pPrChange w:id="141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111 [70-172]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CDF5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pPrChange w:id="142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171 [63-232]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5EE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pPrChange w:id="143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118 [56-160]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1BA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pPrChange w:id="144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0.441</w:t>
            </w:r>
          </w:p>
        </w:tc>
      </w:tr>
      <w:tr w14:paraId="7D14B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4DE73E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pPrChange w:id="145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Median TTR [IQR], day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3929B8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pPrChange w:id="146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3.5 [2-5.8]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368A3F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pPrChange w:id="147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3 [2-5]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7CFFAD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pPrChange w:id="148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3 [2.5-6]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1EE786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pPrChange w:id="149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0.983</w:t>
            </w:r>
          </w:p>
        </w:tc>
      </w:tr>
      <w:tr w14:paraId="6064B2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DB8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pPrChange w:id="150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Median time to peak platelet count, [IQR], day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442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pPrChange w:id="151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6 [5-9.8]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85B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pPrChange w:id="152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8 [6-12.8]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A17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pPrChange w:id="153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6 [4-15.5]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C3B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pPrChange w:id="154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0.528</w:t>
            </w:r>
          </w:p>
        </w:tc>
      </w:tr>
      <w:tr w14:paraId="6D7789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031DC4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  <w:pPrChange w:id="155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Bleeding events, n (%)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7D4489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  <w:pPrChange w:id="156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2 (5.0)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4D3777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  <w:pPrChange w:id="157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2 (13.3)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471148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  <w:pPrChange w:id="158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1 (14.3)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0F01C3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  <w:pPrChange w:id="159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0.268</w:t>
            </w:r>
          </w:p>
        </w:tc>
      </w:tr>
      <w:tr w14:paraId="2FD86A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80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4D164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  <w:pPrChange w:id="160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Median bleeding score, (range)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1161D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pPrChange w:id="161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 (0-1)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ACE11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  <w:pPrChange w:id="162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 (0-8)</w:t>
            </w:r>
          </w:p>
        </w:tc>
        <w:tc>
          <w:tcPr>
            <w:tcW w:w="205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0EFCE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  <w:pPrChange w:id="163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 (0-1)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28F8F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  <w:pPrChange w:id="164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0.460</w:t>
            </w:r>
          </w:p>
        </w:tc>
      </w:tr>
    </w:tbl>
    <w:p w14:paraId="177487D3">
      <w:pPr>
        <w:spacing w:line="480" w:lineRule="auto"/>
        <w:rPr>
          <w:rFonts w:hint="default" w:ascii="Times New Roman" w:hAnsi="Times New Roman" w:cs="Times New Roman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pPrChange w:id="165" w:author="刘佳琪" w:date="2026-07-28T21:58:11Z">
          <w:pPr/>
        </w:pPrChange>
      </w:pPr>
      <w:r>
        <w:rPr>
          <w:rFonts w:hint="default" w:ascii="Times New Roman" w:hAnsi="Times New Roman" w:cs="Times New Roman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br w:type="page"/>
      </w:r>
    </w:p>
    <w:p w14:paraId="6C7D73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pPrChange w:id="166" w:author="刘佳琪" w:date="2026-07-28T21:58:11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auto"/>
            <w:textAlignment w:val="auto"/>
          </w:pPr>
        </w:pPrChange>
      </w:pPr>
      <w:r>
        <w:rPr>
          <w:rFonts w:hint="default" w:ascii="Times New Roman" w:hAnsi="Times New Roman" w:cs="Times New Roman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Supplementary Table 3. Logistic regression analysis of prognosis factors on initial response before PSM</w:t>
      </w:r>
    </w:p>
    <w:tbl>
      <w:tblPr>
        <w:tblStyle w:val="6"/>
        <w:tblW w:w="0" w:type="auto"/>
        <w:tblInd w:w="135" w:type="dxa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8"/>
        <w:gridCol w:w="1733"/>
        <w:gridCol w:w="2331"/>
        <w:gridCol w:w="1375"/>
      </w:tblGrid>
      <w:tr w14:paraId="39387594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48" w:type="dxa"/>
            <w:vMerge w:val="restar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2291E3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167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</w:p>
        </w:tc>
        <w:tc>
          <w:tcPr>
            <w:tcW w:w="406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DBE3F4" w:themeFill="accent1" w:themeFillTint="32"/>
            <w:vAlign w:val="center"/>
          </w:tcPr>
          <w:p w14:paraId="0D1875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168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Pre-PSM (n = 175)</w:t>
            </w:r>
          </w:p>
        </w:tc>
        <w:tc>
          <w:tcPr>
            <w:tcW w:w="137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4EA777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i/>
                <w:i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169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</w:p>
        </w:tc>
      </w:tr>
      <w:tr w14:paraId="039BE199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48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DBE3F4" w:themeFill="accent1" w:themeFillTint="32"/>
            <w:vAlign w:val="center"/>
          </w:tcPr>
          <w:p w14:paraId="2192DB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170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</w:p>
        </w:tc>
        <w:tc>
          <w:tcPr>
            <w:tcW w:w="173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DBE3F4" w:themeFill="accent1" w:themeFillTint="32"/>
            <w:vAlign w:val="center"/>
          </w:tcPr>
          <w:p w14:paraId="2F0F1D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171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OR</w:t>
            </w:r>
          </w:p>
        </w:tc>
        <w:tc>
          <w:tcPr>
            <w:tcW w:w="233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DBE3F4" w:themeFill="accent1" w:themeFillTint="32"/>
            <w:vAlign w:val="center"/>
          </w:tcPr>
          <w:p w14:paraId="2868CF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172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95%</w:t>
            </w: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CI</w:t>
            </w:r>
          </w:p>
        </w:tc>
        <w:tc>
          <w:tcPr>
            <w:tcW w:w="137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DBE3F4" w:themeFill="accent1" w:themeFillTint="32"/>
            <w:vAlign w:val="center"/>
          </w:tcPr>
          <w:p w14:paraId="22E6BA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/>
                <w:i/>
                <w:i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173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jc w:val="left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P</w:t>
            </w:r>
          </w:p>
        </w:tc>
      </w:tr>
      <w:tr w14:paraId="32F854BA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48" w:type="dxa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 w14:paraId="475864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174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Age</w:t>
            </w:r>
          </w:p>
        </w:tc>
        <w:tc>
          <w:tcPr>
            <w:tcW w:w="1733" w:type="dxa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 w14:paraId="485953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175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1.080</w:t>
            </w:r>
          </w:p>
        </w:tc>
        <w:tc>
          <w:tcPr>
            <w:tcW w:w="2331" w:type="dxa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 w14:paraId="319666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176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0.994-1.173</w:t>
            </w:r>
          </w:p>
        </w:tc>
        <w:tc>
          <w:tcPr>
            <w:tcW w:w="1375" w:type="dxa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 w14:paraId="0E3496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/>
                <w:i/>
                <w:i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177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jc w:val="left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0.069</w:t>
            </w:r>
          </w:p>
        </w:tc>
      </w:tr>
      <w:tr w14:paraId="41446057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036AA4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178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Sex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5EA271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179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1.520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1A6277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180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0.706-3.273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596276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181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jc w:val="left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0.285</w:t>
            </w:r>
          </w:p>
        </w:tc>
      </w:tr>
      <w:tr w14:paraId="5251673A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294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182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ECOG score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A41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183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0.859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4CC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184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0.461-1.601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C55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185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jc w:val="left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0.633</w:t>
            </w:r>
          </w:p>
        </w:tc>
      </w:tr>
      <w:tr w14:paraId="3ABDEBE1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4CDD8F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186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Bleeding score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287087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187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0.864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2C1DE1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188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0.597-1.251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19C746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189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jc w:val="left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0.439</w:t>
            </w:r>
          </w:p>
        </w:tc>
      </w:tr>
      <w:tr w14:paraId="4E0C5B16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FA9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190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Baseline platelet count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C3C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191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1.004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F5B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192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0.967-1.042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3A0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193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jc w:val="left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0.840</w:t>
            </w:r>
          </w:p>
        </w:tc>
      </w:tr>
      <w:tr w14:paraId="08BC4F20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2E43EA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194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Fatigue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662F57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195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0.832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25C7FD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196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0.369-1.879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55E8F9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197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jc w:val="left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0.658</w:t>
            </w:r>
          </w:p>
        </w:tc>
      </w:tr>
      <w:tr w14:paraId="07B125CB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EE25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198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</w:t>
            </w: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hTPO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15D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199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2.783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7FF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200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1.210-6.401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CA0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201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jc w:val="left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0.016</w:t>
            </w:r>
          </w:p>
        </w:tc>
      </w:tr>
      <w:tr w14:paraId="38E42949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3F0683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202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ANA-positive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2ECEF1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203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1.323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76114E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204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0.485-3.610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6E3A58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205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jc w:val="left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0.585</w:t>
            </w:r>
          </w:p>
        </w:tc>
      </w:tr>
      <w:tr w14:paraId="61E72615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364A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206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Bone marrow megakaryocyte count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2247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207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1.000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A11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208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0.997-1.003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1C31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209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jc w:val="left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0.962</w:t>
            </w:r>
          </w:p>
        </w:tc>
      </w:tr>
      <w:tr w14:paraId="42DC10F3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3D1CD7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210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Underlying diseases, n(%)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789DDA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211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0D22EE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212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578B99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213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jc w:val="left"/>
                  <w:textAlignment w:val="auto"/>
                </w:pPr>
              </w:pPrChange>
            </w:pPr>
          </w:p>
        </w:tc>
      </w:tr>
      <w:tr w14:paraId="3132673C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522253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214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- Hypertension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431972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215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1.828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3971ED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216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0.712-4.693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02FCED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217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jc w:val="left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0.210</w:t>
            </w:r>
          </w:p>
        </w:tc>
      </w:tr>
      <w:tr w14:paraId="051C292D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466827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218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- Diabetes mellitus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02FCCB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219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0.910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5DC2DE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220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0.312-2.660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5DD844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221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jc w:val="left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0.863</w:t>
            </w:r>
          </w:p>
        </w:tc>
      </w:tr>
      <w:tr w14:paraId="314CD7DF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54B3A0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222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- Coronary heart disease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13FB29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223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1.231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477A8D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224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0.326-4.651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380381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225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jc w:val="left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0.759</w:t>
            </w:r>
          </w:p>
        </w:tc>
      </w:tr>
      <w:tr w14:paraId="77B80BD8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5FC77A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226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- Cerebrovascular disease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70503F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227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0.570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774869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228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0.168-1.938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4B3257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229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jc w:val="left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0.368</w:t>
            </w:r>
          </w:p>
        </w:tc>
      </w:tr>
      <w:tr w14:paraId="20ACEB37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D099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230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Addition therapy for ITP, n(%)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5820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231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7B4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232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F30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233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jc w:val="left"/>
                  <w:textAlignment w:val="auto"/>
                </w:pPr>
              </w:pPrChange>
            </w:pPr>
          </w:p>
        </w:tc>
      </w:tr>
      <w:tr w14:paraId="4AB90D0B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4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7249B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234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- IVIg</w:t>
            </w:r>
          </w:p>
        </w:tc>
        <w:tc>
          <w:tcPr>
            <w:tcW w:w="173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9BCCC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235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1.974</w:t>
            </w:r>
          </w:p>
        </w:tc>
        <w:tc>
          <w:tcPr>
            <w:tcW w:w="233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3F838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236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0.577-6.758</w:t>
            </w:r>
          </w:p>
        </w:tc>
        <w:tc>
          <w:tcPr>
            <w:tcW w:w="1375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7D4EE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237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jc w:val="left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0.279</w:t>
            </w:r>
          </w:p>
        </w:tc>
      </w:tr>
    </w:tbl>
    <w:p w14:paraId="474CA458">
      <w:pPr>
        <w:spacing w:line="480" w:lineRule="auto"/>
        <w:rPr>
          <w:rFonts w:hint="default" w:ascii="Times New Roman" w:hAnsi="Times New Roman" w:eastAsia="宋体" w:cs="Times New Roman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pPrChange w:id="238" w:author="刘佳琪" w:date="2026-07-28T21:58:11Z">
          <w:pPr/>
        </w:pPrChange>
      </w:pPr>
      <w:r>
        <w:rPr>
          <w:rFonts w:hint="default" w:ascii="Times New Roman" w:hAnsi="Times New Roman" w:eastAsia="宋体" w:cs="Times New Roman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br w:type="page"/>
      </w:r>
    </w:p>
    <w:p w14:paraId="729ECD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eastAsia="宋体" w:cs="Times New Roman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pPrChange w:id="239" w:author="刘佳琪" w:date="2026-07-28T21:58:11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auto"/>
            <w:textAlignment w:val="auto"/>
          </w:pPr>
        </w:pPrChange>
      </w:pPr>
      <w:r>
        <w:rPr>
          <w:rFonts w:hint="default" w:ascii="Times New Roman" w:hAnsi="Times New Roman" w:eastAsia="宋体" w:cs="Times New Roman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Supplementary Table 4. The 6-month and 12-month SR between initial CR and initial R groups</w:t>
      </w:r>
    </w:p>
    <w:tbl>
      <w:tblPr>
        <w:tblStyle w:val="6"/>
        <w:tblW w:w="0" w:type="auto"/>
        <w:tblInd w:w="135" w:type="dxa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65"/>
        <w:gridCol w:w="1564"/>
        <w:gridCol w:w="1807"/>
        <w:gridCol w:w="1306"/>
      </w:tblGrid>
      <w:tr w14:paraId="5C8DA07B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56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048AB8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240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</w:p>
        </w:tc>
        <w:tc>
          <w:tcPr>
            <w:tcW w:w="156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6F3258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241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Initial CR</w:t>
            </w:r>
          </w:p>
          <w:p w14:paraId="43B71E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242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(n = 59)</w:t>
            </w:r>
          </w:p>
        </w:tc>
        <w:tc>
          <w:tcPr>
            <w:tcW w:w="180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2A810D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eastAsia" w:ascii="Times New Roman" w:hAnsi="Times New Roman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pPrChange w:id="243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eastAsia" w:ascii="Times New Roman" w:hAnsi="Times New Roman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Initial R</w:t>
            </w:r>
          </w:p>
          <w:p w14:paraId="5796EC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244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(n =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34</w:t>
            </w: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30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068CF3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i/>
                <w:i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245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P</w:t>
            </w:r>
          </w:p>
        </w:tc>
      </w:tr>
      <w:tr w14:paraId="0589BE18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356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4B9474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246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Initial 6-month SR (n, %)</w:t>
            </w:r>
          </w:p>
        </w:tc>
        <w:tc>
          <w:tcPr>
            <w:tcW w:w="156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0DAFDF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247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</w:p>
        </w:tc>
        <w:tc>
          <w:tcPr>
            <w:tcW w:w="1807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02CD87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248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</w:p>
        </w:tc>
        <w:tc>
          <w:tcPr>
            <w:tcW w:w="130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363AE7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249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</w:p>
        </w:tc>
      </w:tr>
      <w:tr w14:paraId="2F13ADD5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A03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250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ind w:firstLine="220" w:firstLineChars="100"/>
                  <w:textAlignment w:val="auto"/>
                </w:pPr>
              </w:pPrChange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bidi="ar"/>
              </w:rPr>
              <w:t>Corticosteroids plus rhTPO group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271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251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21 (56.8)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B39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252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6 (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37.5</w:t>
            </w: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9B77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253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eastAsia" w:ascii="Times New Roman" w:hAnsi="Times New Roman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0.198</w:t>
            </w:r>
          </w:p>
        </w:tc>
      </w:tr>
      <w:tr w14:paraId="7FEC00B0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2310CA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254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ind w:firstLine="220" w:firstLineChars="100"/>
                  <w:jc w:val="left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Corticosteroid monotherapy group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6582C4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255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10 (45.5)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514DB7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256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6 (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33.3</w:t>
            </w: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27B447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257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eastAsia" w:ascii="Times New Roman" w:hAnsi="Times New Roman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0.436</w:t>
            </w:r>
          </w:p>
        </w:tc>
      </w:tr>
      <w:tr w14:paraId="6C8EACF7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0CD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auto"/>
              <w:rPr>
                <w:rFonts w:hint="default" w:ascii="Times New Roman" w:hAnsi="Times New Roman" w:cs="Times New Roman"/>
                <w:sz w:val="22"/>
                <w:szCs w:val="22"/>
              </w:rPr>
              <w:pPrChange w:id="258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ind w:firstLine="220" w:firstLineChars="100"/>
                  <w:jc w:val="left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Both of two groups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6C3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259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31 (52.5)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4552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260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12 (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35.3</w:t>
            </w: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B2B3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261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eastAsia" w:ascii="Times New Roman" w:hAnsi="Times New Roman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0.108</w:t>
            </w:r>
          </w:p>
        </w:tc>
      </w:tr>
      <w:tr w14:paraId="5A4E7A85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7F0E4B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262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Initial 12-month SR (n, %)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66D8AB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263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6BAE3C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264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73E2E1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265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</w:p>
        </w:tc>
      </w:tr>
      <w:tr w14:paraId="264CD6BC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005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266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ind w:firstLine="220" w:firstLineChars="100"/>
                  <w:textAlignment w:val="auto"/>
                </w:pPr>
              </w:pPrChange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bidi="ar"/>
              </w:rPr>
              <w:t>Corticosteroids plus rhTPO group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35FD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267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19 (51.4)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734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268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5 (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31.3</w:t>
            </w: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659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269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eastAsia" w:ascii="Times New Roman" w:hAnsi="Times New Roman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0.177</w:t>
            </w:r>
          </w:p>
        </w:tc>
      </w:tr>
      <w:tr w14:paraId="5D1DE289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49E5CA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270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ind w:firstLine="220" w:firstLineChars="100"/>
                  <w:jc w:val="left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Corticosteroid monotherapy group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6DC95D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271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eastAsia" w:ascii="Times New Roman" w:hAnsi="Times New Roman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36.4</w:t>
            </w: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5592F2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272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eastAsia" w:ascii="Times New Roman" w:hAnsi="Times New Roman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27.8</w:t>
            </w: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50C2F7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273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eastAsia" w:ascii="Times New Roman" w:hAnsi="Times New Roman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0.564</w:t>
            </w:r>
          </w:p>
        </w:tc>
      </w:tr>
      <w:tr w14:paraId="1E7FEFEF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3565" w:type="dxa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1C1C6D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jc w:val="left"/>
              <w:textAlignment w:val="auto"/>
              <w:rPr>
                <w:rFonts w:hint="default" w:ascii="Times New Roman" w:hAnsi="Times New Roman" w:cs="Times New Roman"/>
                <w:sz w:val="22"/>
                <w:szCs w:val="22"/>
              </w:rPr>
              <w:pPrChange w:id="274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ind w:firstLine="220" w:firstLineChars="100"/>
                  <w:jc w:val="left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Both of two groups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3D845B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275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45.8</w:t>
            </w: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807" w:type="dxa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7B59ED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276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29.4</w:t>
            </w: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306" w:type="dxa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2FBE0C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277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eastAsia" w:ascii="Times New Roman" w:hAnsi="Times New Roman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0.121</w:t>
            </w:r>
          </w:p>
        </w:tc>
      </w:tr>
    </w:tbl>
    <w:p w14:paraId="51EE3126">
      <w:pPr>
        <w:spacing w:line="480" w:lineRule="auto"/>
        <w:rPr>
          <w:rFonts w:hint="default" w:ascii="Times New Roman" w:hAnsi="Times New Roman" w:eastAsia="宋体" w:cs="Times New Roman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pPrChange w:id="278" w:author="刘佳琪" w:date="2026-07-28T21:58:11Z">
          <w:pPr/>
        </w:pPrChange>
      </w:pPr>
      <w:r>
        <w:rPr>
          <w:rFonts w:hint="default" w:ascii="Times New Roman" w:hAnsi="Times New Roman" w:eastAsia="宋体" w:cs="Times New Roman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br w:type="page"/>
      </w:r>
    </w:p>
    <w:p w14:paraId="310BF7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eastAsia="宋体" w:cs="Times New Roman"/>
          <w:sz w:val="22"/>
          <w:szCs w:val="22"/>
        </w:rPr>
        <w:pPrChange w:id="279" w:author="刘佳琪" w:date="2026-07-28T21:58:11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auto"/>
            <w:textAlignment w:val="auto"/>
          </w:pPr>
        </w:pPrChange>
      </w:pPr>
      <w:r>
        <w:rPr>
          <w:rFonts w:hint="default" w:ascii="Times New Roman" w:hAnsi="Times New Roman" w:eastAsia="宋体" w:cs="Times New Roman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Supplementary Table 5. Adverse events of d</w:t>
      </w:r>
      <w:r>
        <w:rPr>
          <w:rFonts w:hint="default" w:ascii="Times New Roman" w:hAnsi="Times New Roman" w:cs="Times New Roman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examethasone</w:t>
      </w:r>
      <w:r>
        <w:rPr>
          <w:rFonts w:hint="default" w:ascii="Times New Roman" w:hAnsi="Times New Roman" w:eastAsia="宋体" w:cs="Times New Roman"/>
          <w:b/>
          <w:bCs/>
          <w:sz w:val="22"/>
          <w:szCs w:val="22"/>
          <w:lang w:bidi="ar"/>
        </w:rPr>
        <w:t xml:space="preserve"> subgroups after PSM</w:t>
      </w:r>
    </w:p>
    <w:tbl>
      <w:tblPr>
        <w:tblStyle w:val="6"/>
        <w:tblW w:w="8215" w:type="dxa"/>
        <w:tblInd w:w="13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5"/>
        <w:gridCol w:w="1652"/>
        <w:gridCol w:w="1769"/>
        <w:gridCol w:w="1354"/>
        <w:gridCol w:w="1285"/>
      </w:tblGrid>
      <w:tr w14:paraId="7A9774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5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444862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280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Adverse events, n</w:t>
            </w:r>
          </w:p>
        </w:tc>
        <w:tc>
          <w:tcPr>
            <w:tcW w:w="165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32981D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281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Dexamethasone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bidi="ar"/>
              </w:rPr>
              <w:t xml:space="preserve"> plus rhTPO</w:t>
            </w:r>
          </w:p>
          <w:p w14:paraId="573404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282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(n = 40)</w:t>
            </w:r>
          </w:p>
        </w:tc>
        <w:tc>
          <w:tcPr>
            <w:tcW w:w="176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11067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283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Dexamethasone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 monotherapy</w:t>
            </w:r>
          </w:p>
          <w:p w14:paraId="78A803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284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(n = 35)</w:t>
            </w:r>
          </w:p>
        </w:tc>
        <w:tc>
          <w:tcPr>
            <w:tcW w:w="135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5F04D7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285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jc w:val="left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P</w:t>
            </w:r>
          </w:p>
        </w:tc>
        <w:tc>
          <w:tcPr>
            <w:tcW w:w="12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3493D9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/>
                <w:i/>
                <w:iCs/>
                <w:color w:val="000000" w:themeColor="text1"/>
                <w:sz w:val="22"/>
                <w:szCs w:val="22"/>
                <w:highlight w:val="yellow"/>
                <w14:textFill>
                  <w14:solidFill>
                    <w14:schemeClr w14:val="tx1"/>
                  </w14:solidFill>
                </w14:textFill>
              </w:rPr>
              <w:pPrChange w:id="286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jc w:val="left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RR</w:t>
            </w:r>
          </w:p>
        </w:tc>
      </w:tr>
      <w:tr w14:paraId="58BC7C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5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DBE3F4"/>
            <w:vAlign w:val="center"/>
          </w:tcPr>
          <w:p w14:paraId="55A8CA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287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  <w:t>Total patients with adverse events (%)</w:t>
            </w:r>
          </w:p>
        </w:tc>
        <w:tc>
          <w:tcPr>
            <w:tcW w:w="165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DBE3F4"/>
            <w:vAlign w:val="center"/>
          </w:tcPr>
          <w:p w14:paraId="239736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288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10 (25.0)</w:t>
            </w:r>
          </w:p>
        </w:tc>
        <w:tc>
          <w:tcPr>
            <w:tcW w:w="176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DBE3F4"/>
            <w:vAlign w:val="center"/>
          </w:tcPr>
          <w:p w14:paraId="73221B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289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13 (37.1)</w:t>
            </w:r>
          </w:p>
        </w:tc>
        <w:tc>
          <w:tcPr>
            <w:tcW w:w="135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DBE3F4"/>
            <w:vAlign w:val="center"/>
          </w:tcPr>
          <w:p w14:paraId="1602D0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290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0.255</w:t>
            </w:r>
          </w:p>
        </w:tc>
        <w:tc>
          <w:tcPr>
            <w:tcW w:w="128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DBE3F4"/>
            <w:vAlign w:val="center"/>
          </w:tcPr>
          <w:p w14:paraId="0E6715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291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0.77</w:t>
            </w:r>
          </w:p>
        </w:tc>
      </w:tr>
      <w:tr w14:paraId="781A36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CD0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292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Weight gain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293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293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50E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294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128A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295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0.334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D44A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296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0.33</w:t>
            </w:r>
          </w:p>
        </w:tc>
      </w:tr>
      <w:tr w14:paraId="65DE2B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781755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297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Osteoporosis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59B2D9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298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414B30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299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6CF824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300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0.596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75DF3C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301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0.5</w:t>
            </w:r>
          </w:p>
        </w:tc>
      </w:tr>
      <w:tr w14:paraId="14A519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92D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302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Fatigue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39A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303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B88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304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53A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305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0.659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C00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306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0.67</w:t>
            </w:r>
          </w:p>
        </w:tc>
      </w:tr>
      <w:tr w14:paraId="438097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3AD20C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307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Infection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6F0328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308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209470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309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5D33BE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310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1.000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32D720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311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3A5031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E75F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312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New-onset hypertension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850F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313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312B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314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3B7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315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0.334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8894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316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0.33</w:t>
            </w:r>
          </w:p>
        </w:tc>
      </w:tr>
      <w:tr w14:paraId="08F407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21DEF7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317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New-onset hyperglycemia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1438BC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318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0ECF3C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319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2FC42D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320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0.659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42CA9D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321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0.67</w:t>
            </w:r>
          </w:p>
        </w:tc>
      </w:tr>
      <w:tr w14:paraId="62BA2C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867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322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Stomach upset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EB6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323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011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324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2EEB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325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0.214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1D1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326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17BFC9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0CFCE4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327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Arthralgia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37FBDB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328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5F9E05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329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1330F5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330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0.467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2C3070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331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1300F6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441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332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Dizziness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475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333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7B2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334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B90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335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1.000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AFB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336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7963D5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1051F5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337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</w:t>
            </w: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hrombotic events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0F9204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338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0A5904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339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41A204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340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1.000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436A56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341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6072ED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14A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342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bidi="ar"/>
              </w:rPr>
              <w:t>Intracranial hemorrhage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A6D3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343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7E2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344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7DB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345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3AA9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346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77770D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5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DBE3F4" w:themeFill="accent1" w:themeFillTint="32"/>
            <w:vAlign w:val="center"/>
          </w:tcPr>
          <w:p w14:paraId="35835D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347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Insomnia</w:t>
            </w:r>
          </w:p>
        </w:tc>
        <w:tc>
          <w:tcPr>
            <w:tcW w:w="165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DBE3F4" w:themeFill="accent1" w:themeFillTint="32"/>
            <w:vAlign w:val="center"/>
          </w:tcPr>
          <w:p w14:paraId="5B007D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348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76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DBE3F4" w:themeFill="accent1" w:themeFillTint="32"/>
            <w:vAlign w:val="center"/>
          </w:tcPr>
          <w:p w14:paraId="5D0B68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349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35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DBE3F4" w:themeFill="accent1" w:themeFillTint="32"/>
            <w:vAlign w:val="center"/>
          </w:tcPr>
          <w:p w14:paraId="2A10B2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350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DBE3F4" w:themeFill="accent1" w:themeFillTint="32"/>
            <w:vAlign w:val="center"/>
          </w:tcPr>
          <w:p w14:paraId="67F82F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351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</w:tbl>
    <w:p w14:paraId="12DA3E0A">
      <w:pPr>
        <w:spacing w:line="480" w:lineRule="auto"/>
        <w:rPr>
          <w:rFonts w:hint="default" w:ascii="Times New Roman" w:hAnsi="Times New Roman" w:eastAsia="宋体" w:cs="Times New Roman"/>
          <w:b/>
          <w:bCs/>
          <w:sz w:val="22"/>
          <w:szCs w:val="22"/>
        </w:rPr>
        <w:pPrChange w:id="352" w:author="刘佳琪" w:date="2026-07-28T21:58:11Z">
          <w:pPr/>
        </w:pPrChange>
      </w:pPr>
      <w:r>
        <w:rPr>
          <w:rFonts w:hint="default" w:ascii="Times New Roman" w:hAnsi="Times New Roman" w:eastAsia="宋体" w:cs="Times New Roman"/>
          <w:b/>
          <w:bCs/>
          <w:sz w:val="22"/>
          <w:szCs w:val="22"/>
        </w:rPr>
        <w:br w:type="page"/>
      </w:r>
    </w:p>
    <w:p w14:paraId="62F858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eastAsia="宋体" w:cs="Times New Roman"/>
          <w:b/>
          <w:bCs/>
          <w:sz w:val="22"/>
          <w:szCs w:val="22"/>
        </w:rPr>
        <w:pPrChange w:id="353" w:author="刘佳琪" w:date="2026-07-28T21:58:11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auto"/>
            <w:textAlignment w:val="auto"/>
          </w:pPr>
        </w:pPrChange>
      </w:pPr>
      <w:r>
        <w:rPr>
          <w:rFonts w:hint="default" w:ascii="Times New Roman" w:hAnsi="Times New Roman" w:eastAsia="宋体" w:cs="Times New Roman"/>
          <w:b/>
          <w:bCs/>
          <w:sz w:val="22"/>
          <w:szCs w:val="22"/>
        </w:rPr>
        <w:t>Supplementary Table 6. Comparison of treatment cycles between high-dose dexamethasone plus rhTPO group and high-dose dexamethasone monotherapy group</w:t>
      </w:r>
    </w:p>
    <w:tbl>
      <w:tblPr>
        <w:tblStyle w:val="6"/>
        <w:tblW w:w="0" w:type="auto"/>
        <w:tblInd w:w="13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2"/>
        <w:gridCol w:w="1892"/>
        <w:gridCol w:w="1900"/>
        <w:gridCol w:w="1171"/>
      </w:tblGrid>
      <w:tr w14:paraId="48CE2E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5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4F80CE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354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</w:p>
        </w:tc>
        <w:tc>
          <w:tcPr>
            <w:tcW w:w="18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7D44A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355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Dexamethasone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bidi="ar"/>
              </w:rPr>
              <w:t xml:space="preserve"> plus rhTPO</w:t>
            </w:r>
          </w:p>
          <w:p w14:paraId="4BFE5C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356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(n = 40)</w:t>
            </w:r>
          </w:p>
        </w:tc>
        <w:tc>
          <w:tcPr>
            <w:tcW w:w="19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4F3720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357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Dexamethasone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 monotherapy</w:t>
            </w:r>
          </w:p>
          <w:p w14:paraId="4445AE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358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(n = 35)</w:t>
            </w:r>
          </w:p>
        </w:tc>
        <w:tc>
          <w:tcPr>
            <w:tcW w:w="117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2E1957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359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jc w:val="left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P</w:t>
            </w:r>
          </w:p>
        </w:tc>
      </w:tr>
      <w:tr w14:paraId="5A0443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5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621797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360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Dose (n, %)</w:t>
            </w:r>
          </w:p>
        </w:tc>
        <w:tc>
          <w:tcPr>
            <w:tcW w:w="189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5AFE06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361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</w:p>
        </w:tc>
        <w:tc>
          <w:tcPr>
            <w:tcW w:w="190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3083A6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362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</w:p>
        </w:tc>
        <w:tc>
          <w:tcPr>
            <w:tcW w:w="117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202739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363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</w:p>
        </w:tc>
      </w:tr>
      <w:tr w14:paraId="13761A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AFA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364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ind w:firstLine="220" w:firstLineChars="100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Dose reduction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F4FF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365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18 (45.0)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2A67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366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10 (28.6)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E99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367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0.142</w:t>
            </w:r>
          </w:p>
        </w:tc>
      </w:tr>
      <w:tr w14:paraId="1E2D88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298F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pPrChange w:id="368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  10mg/d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A203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369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32D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370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434C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371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30824D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EE67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372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  15mg/d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50F3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373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04E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374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C05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375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1E475D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81A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376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  20mg/d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2BD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377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50E9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378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887C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379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2C713B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49C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380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  30mg/d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C1C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381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4AA0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382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038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383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5552B7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2DB747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20" w:firstLineChars="100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384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ind w:firstLine="220" w:firstLineChars="100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High-dose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3C1E47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385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54E278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386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vAlign w:val="center"/>
          </w:tcPr>
          <w:p w14:paraId="190173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387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</w:p>
        </w:tc>
      </w:tr>
      <w:tr w14:paraId="708A2D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A4F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440" w:firstLineChars="200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388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ind w:firstLine="440" w:firstLineChars="200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 cycle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44F2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389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21 (95.5)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C34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390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17 (68.0)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502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391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0.025</w:t>
            </w:r>
          </w:p>
        </w:tc>
      </w:tr>
      <w:tr w14:paraId="0DC8C0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52" w:type="dxa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2B3AF1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440" w:firstLineChars="200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392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ind w:firstLine="440" w:firstLineChars="200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 cycles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6F3CD9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393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 (4.5)</w:t>
            </w:r>
          </w:p>
        </w:tc>
        <w:tc>
          <w:tcPr>
            <w:tcW w:w="1900" w:type="dxa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65ED95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394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8 (32.0)</w:t>
            </w:r>
          </w:p>
        </w:tc>
        <w:tc>
          <w:tcPr>
            <w:tcW w:w="1171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5D97B8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pPrChange w:id="395" w:author="刘佳琪" w:date="2026-07-28T21:58:1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80" w:lineRule="auto"/>
                  <w:textAlignment w:val="auto"/>
                </w:pPr>
              </w:pPrChange>
            </w:pPr>
          </w:p>
        </w:tc>
      </w:tr>
    </w:tbl>
    <w:p w14:paraId="018402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2"/>
          <w:szCs w:val="22"/>
        </w:rPr>
        <w:pPrChange w:id="396" w:author="刘佳琪" w:date="2026-07-28T21:58:11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auto"/>
            <w:textAlignment w:val="auto"/>
          </w:pPr>
        </w:pPrChange>
      </w:pP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C358A2E2-A5A3-48AA-B216-2E9FFE63DEE6}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  <w:embedRegular r:id="rId2" w:fontKey="{6CEA7FAB-5BDA-45DF-83AD-FB121BFB41AD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8A0F237C-2E5C-42A6-8FC7-26EA04AA136B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4" w:fontKey="{57215C5A-43D4-4157-883B-FEC938A9EE0A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5" w:fontKey="{7F147923-CB86-48D3-A58C-EBF7A2CCA396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6" w:fontKey="{41514ACB-B13A-4073-B06F-08F3F46ACAF7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7" w:fontKey="{727C9E50-2A61-489A-AFAB-2462F2635AF0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刘佳琪">
    <w15:presenceInfo w15:providerId="WPS Office" w15:userId="785024918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TrueTypeFonts/>
  <w:embedSystemFonts/>
  <w:bordersDoNotSurroundHeader w:val="1"/>
  <w:bordersDoNotSurroundFooter w:val="1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1B5"/>
    <w:rsid w:val="002114A7"/>
    <w:rsid w:val="006E58C6"/>
    <w:rsid w:val="007C4B96"/>
    <w:rsid w:val="008154CA"/>
    <w:rsid w:val="008C31B5"/>
    <w:rsid w:val="009C3024"/>
    <w:rsid w:val="00C73270"/>
    <w:rsid w:val="00C80161"/>
    <w:rsid w:val="00E3028E"/>
    <w:rsid w:val="00F21FFA"/>
    <w:rsid w:val="05A770CD"/>
    <w:rsid w:val="0A8941FF"/>
    <w:rsid w:val="0F6D4AC6"/>
    <w:rsid w:val="16184CED"/>
    <w:rsid w:val="1EE224E1"/>
    <w:rsid w:val="226D039B"/>
    <w:rsid w:val="23835281"/>
    <w:rsid w:val="269B43D4"/>
    <w:rsid w:val="2C394205"/>
    <w:rsid w:val="2FB973C5"/>
    <w:rsid w:val="30CD7D78"/>
    <w:rsid w:val="3186331D"/>
    <w:rsid w:val="45673549"/>
    <w:rsid w:val="4DCC36B2"/>
    <w:rsid w:val="510058AF"/>
    <w:rsid w:val="5CA526D3"/>
    <w:rsid w:val="5DF83E0F"/>
    <w:rsid w:val="61FF4D8E"/>
    <w:rsid w:val="7D681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qFormat/>
    <w:uiPriority w:val="0"/>
    <w:pPr>
      <w:jc w:val="left"/>
    </w:p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annotation subject"/>
    <w:basedOn w:val="2"/>
    <w:next w:val="2"/>
    <w:link w:val="12"/>
    <w:qFormat/>
    <w:uiPriority w:val="0"/>
    <w:rPr>
      <w:b/>
      <w:bCs/>
    </w:rPr>
  </w:style>
  <w:style w:type="character" w:styleId="8">
    <w:name w:val="annotation reference"/>
    <w:basedOn w:val="7"/>
    <w:qFormat/>
    <w:uiPriority w:val="0"/>
    <w:rPr>
      <w:sz w:val="21"/>
      <w:szCs w:val="21"/>
    </w:rPr>
  </w:style>
  <w:style w:type="character" w:customStyle="1" w:styleId="9">
    <w:name w:val="页眉 字符"/>
    <w:basedOn w:val="7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0"/>
    <w:rPr>
      <w:kern w:val="2"/>
      <w:sz w:val="18"/>
      <w:szCs w:val="18"/>
    </w:rPr>
  </w:style>
  <w:style w:type="character" w:customStyle="1" w:styleId="11">
    <w:name w:val="批注文字 字符"/>
    <w:basedOn w:val="7"/>
    <w:link w:val="2"/>
    <w:qFormat/>
    <w:uiPriority w:val="0"/>
    <w:rPr>
      <w:kern w:val="2"/>
      <w:sz w:val="21"/>
      <w:szCs w:val="24"/>
    </w:rPr>
  </w:style>
  <w:style w:type="character" w:customStyle="1" w:styleId="12">
    <w:name w:val="批注主题 字符"/>
    <w:basedOn w:val="11"/>
    <w:link w:val="5"/>
    <w:qFormat/>
    <w:uiPriority w:val="0"/>
    <w:rPr>
      <w:b/>
      <w:bCs/>
      <w:kern w:val="2"/>
      <w:sz w:val="21"/>
      <w:szCs w:val="24"/>
    </w:rPr>
  </w:style>
  <w:style w:type="paragraph" w:customStyle="1" w:styleId="13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381</Words>
  <Characters>1750</Characters>
  <Lines>84</Lines>
  <Paragraphs>42</Paragraphs>
  <TotalTime>153</TotalTime>
  <ScaleCrop>false</ScaleCrop>
  <LinksUpToDate>false</LinksUpToDate>
  <CharactersWithSpaces>1933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2026-05-20T05:29:00Z</dcterms:created>
  <dc:creator>刘佳琪</dc:creator>
  <cp:lastModifiedBy>刘佳琪</cp:lastModifiedBy>
  <dcterms:modified xsi:type="dcterms:W3CDTF">2026-07-28T13:58:35Z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eyJoZGlkIjoiODViY2JkMjU3NGYzZTEwMzZmMGFkZWViYmNkYWU3NDIiLCJ1c2VySWQiOiIxNzQyMTc0OTQ4In0=</vt:lpwstr>
  </property>
  <property fmtid="{D5CDD505-2E9C-101B-9397-08002B2CF9AE}" pid="4" name="ICV">
    <vt:lpwstr>7A303F6077BD4B37992FAC3F6864B912_13</vt:lpwstr>
  </property>
</Properties>
</file>