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7410"/>
        <w:gridCol w:w="3363"/>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7410"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3363"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0949"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3363" w:type="dxa"/>
            <w:shd w:val="clear" w:color="auto" w:fill="C6D9F0" w:themeFill="text2" w:themeFillTint="33"/>
          </w:tcPr>
          <w:p w14:paraId="0AC158EA">
            <w:pPr>
              <w:spacing w:line="240" w:lineRule="auto"/>
              <w:rPr>
                <w:rFonts w:ascii="Calibri" w:hAnsi="Calibri" w:eastAsia="Calibri" w:cs="Calibri"/>
                <w:b/>
                <w:color w:val="000000"/>
                <w:sz w:val="22"/>
                <w:szCs w:val="22"/>
                <w:lang w:val="en-GB"/>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7410"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3363" w:type="dxa"/>
          </w:tcPr>
          <w:p w14:paraId="682CEBA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w:t>
            </w:r>
            <w:r>
              <w:rPr>
                <w:rFonts w:ascii="Calibri" w:hAnsi="Calibri" w:eastAsia="Calibri" w:cs="Calibri"/>
                <w:color w:val="000000"/>
                <w:sz w:val="22"/>
                <w:szCs w:val="22"/>
                <w:lang w:val="en-GB"/>
              </w:rPr>
              <w:t>itle page</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7410"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3363" w:type="dxa"/>
          </w:tcPr>
          <w:p w14:paraId="078952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Abstract</w:t>
            </w: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949"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3363" w:type="dxa"/>
            <w:shd w:val="clear" w:color="auto" w:fill="C6D9F0" w:themeFill="text2" w:themeFillTint="33"/>
          </w:tcPr>
          <w:p w14:paraId="6C7112DB">
            <w:pPr>
              <w:spacing w:line="240" w:lineRule="auto"/>
              <w:rPr>
                <w:rFonts w:ascii="Calibri" w:hAnsi="Calibri" w:eastAsia="Calibri" w:cs="Calibri"/>
                <w:b/>
                <w:color w:val="000000"/>
                <w:sz w:val="22"/>
                <w:szCs w:val="22"/>
                <w:lang w:val="en-GB"/>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7410"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3363" w:type="dxa"/>
          </w:tcPr>
          <w:p w14:paraId="5384896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Abstract – Trial Registration; Methods – Ethics and registration</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7410"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3363" w:type="dxa"/>
          </w:tcPr>
          <w:p w14:paraId="628ED57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Ethics and registration (available from corresponding author upon request)</w:t>
            </w: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7410"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3363" w:type="dxa"/>
          </w:tcPr>
          <w:p w14:paraId="48E4F70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Declarations – Availability of data and materials</w:t>
            </w: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7410"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3363" w:type="dxa"/>
          </w:tcPr>
          <w:p w14:paraId="20B1CBD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Declarations – Funding</w:t>
            </w: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7410"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3363" w:type="dxa"/>
          </w:tcPr>
          <w:p w14:paraId="2C85AC6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Declarations – Competing Interests</w:t>
            </w: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949"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3363"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7410"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3363" w:type="dxa"/>
          </w:tcPr>
          <w:p w14:paraId="3333AA5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Introduction (paragraphs 1-2)</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7410"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3363" w:type="dxa"/>
          </w:tcPr>
          <w:p w14:paraId="70B2DB0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Introduction (paragraph 3)</w:t>
            </w:r>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949"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3363"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7410"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3363" w:type="dxa"/>
          </w:tcPr>
          <w:p w14:paraId="736CE8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Patients were involved as participants in the trial. All enrolled patients underwent randomization and received the allocated intervention. Patient recruitment was coordinated by the research team (Zhilan Tong). Patients were not involved in the design of the trial, outcome assessment, or dissemination of results. Written informed consent was obtained from all patients prior to enrolment.</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7410"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3363" w:type="dxa"/>
          </w:tcPr>
          <w:p w14:paraId="22562F9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(parallel group, 1:1 ratio, superiority)</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7410"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3363" w:type="dxa"/>
          </w:tcPr>
          <w:p w14:paraId="58F0C5A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No changes (stated in Methods – Randomization and blinding)</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7410"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3363" w:type="dxa"/>
          </w:tcPr>
          <w:p w14:paraId="266DD3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(Guangdong Provincial Hospital of Chinese Medicine, China)</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7410"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3363" w:type="dxa"/>
          </w:tcPr>
          <w:p w14:paraId="3128EB9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(inclusion and exclusion criteria)</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7410"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3363" w:type="dxa"/>
          </w:tcPr>
          <w:p w14:paraId="6D568B9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Not applicable (all operators were anesthesiologists from the same training system)</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7410"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3363" w:type="dxa"/>
          </w:tcPr>
          <w:p w14:paraId="3D06E33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Intervention Description; Methods – Cannulation Technique; Figure 2; Video 1</w:t>
            </w: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7410"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3363" w:type="dxa"/>
          </w:tcPr>
          <w:p w14:paraId="6FE0043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Outcome Measures</w:t>
            </w: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7410"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3363" w:type="dxa"/>
          </w:tcPr>
          <w:p w14:paraId="5D66BF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Outcome Measures; Results – Safety and Complications</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7410"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3363" w:type="dxa"/>
          </w:tcPr>
          <w:p w14:paraId="180AD32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Statistical Analysis</w:t>
            </w: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7410"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3363" w:type="dxa"/>
          </w:tcPr>
          <w:p w14:paraId="74EBB04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Not applicable (no interim analyses)</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7410"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3363" w:type="dxa"/>
          </w:tcPr>
          <w:p w14:paraId="036862A2">
            <w:pPr>
              <w:spacing w:line="240" w:lineRule="auto"/>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7410"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3363" w:type="dxa"/>
          </w:tcPr>
          <w:p w14:paraId="5046887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(computer-generated)</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7410"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3363" w:type="dxa"/>
          </w:tcPr>
          <w:p w14:paraId="6BFED7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(simple 1:1 randomisation, no stratification)</w:t>
            </w: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7410"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3363" w:type="dxa"/>
          </w:tcPr>
          <w:p w14:paraId="61EC8B0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(sequentially numbered, opaque, sealed envelopes)</w:t>
            </w: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7410"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3363" w:type="dxa"/>
          </w:tcPr>
          <w:p w14:paraId="6554DB1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(envelopes opened just before procedure by operating anesthesiologist)</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7410"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3363" w:type="dxa"/>
          </w:tcPr>
          <w:p w14:paraId="5326CB7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(patients blinded; operators unblinded; outcome assessors and statistician blinded)</w:t>
            </w: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7410"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3363" w:type="dxa"/>
          </w:tcPr>
          <w:p w14:paraId="795AB5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(patients unaware of allocation; operators unavoidably aware due to device differences)</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7410"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3363" w:type="dxa"/>
          </w:tcPr>
          <w:p w14:paraId="1C79083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Statistical Analysis</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7410"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3363" w:type="dxa"/>
          </w:tcPr>
          <w:p w14:paraId="6622E3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Statistical Analysis (intention-to-treat analysis)</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7410"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3363" w:type="dxa"/>
          </w:tcPr>
          <w:p w14:paraId="295B56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Statistical Analysis (</w:t>
            </w:r>
            <w:r>
              <w:rPr>
                <w:rFonts w:hint="eastAsia" w:ascii="Calibri" w:hAnsi="Calibri" w:eastAsia="Calibri" w:cs="Calibri"/>
                <w:color w:val="000000"/>
                <w:sz w:val="22"/>
                <w:szCs w:val="22"/>
                <w:lang w:val="en-US" w:eastAsia="zh-CN"/>
              </w:rPr>
              <w:t>6</w:t>
            </w:r>
            <w:r>
              <w:rPr>
                <w:rFonts w:ascii="Calibri" w:hAnsi="Calibri" w:eastAsia="Calibri" w:cs="Calibri"/>
                <w:color w:val="000000"/>
                <w:sz w:val="22"/>
                <w:szCs w:val="22"/>
                <w:lang w:val="en-GB"/>
              </w:rPr>
              <w:t xml:space="preserve"> missing data; 198 completed the study)</w:t>
            </w: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7410"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3363" w:type="dxa"/>
          </w:tcPr>
          <w:p w14:paraId="710D1F8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Statistical Analysis; Results – Subgroup Analysis (BMI ≥ 25 subgroup was prespecified)</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949"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3363"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7410"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3363" w:type="dxa"/>
          </w:tcPr>
          <w:p w14:paraId="5DEF8EC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Results – Participant Characteristics; Figure 1</w:t>
            </w: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7410"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3363" w:type="dxa"/>
          </w:tcPr>
          <w:p w14:paraId="71AA61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Figure 1</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7410"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3363" w:type="dxa"/>
          </w:tcPr>
          <w:p w14:paraId="0798090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Randomization and blinding (June 2024 to July 2025)</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7410"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3363" w:type="dxa"/>
          </w:tcPr>
          <w:p w14:paraId="105B15A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Not applicable (trial completed as planned)</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7410"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3363" w:type="dxa"/>
          </w:tcPr>
          <w:p w14:paraId="3364115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 Cannulation Technique (all procedures performed by trained anesthesiologists)</w:t>
            </w: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7410"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3363" w:type="dxa"/>
          </w:tcPr>
          <w:p w14:paraId="0A4B9B4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Not assessed (standard perioperative care provided to both groups)</w:t>
            </w:r>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7410"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3363" w:type="dxa"/>
          </w:tcPr>
          <w:p w14:paraId="01C9A6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Table 1</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7410"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3363" w:type="dxa"/>
          </w:tcPr>
          <w:p w14:paraId="50DA64D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Results – Primary Outcomes; Results – Secondary Outcomes; Table 2</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7410"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3363" w:type="dxa"/>
          </w:tcPr>
          <w:p w14:paraId="72B82CF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Results – Safety and Complications</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7410"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3363" w:type="dxa"/>
          </w:tcPr>
          <w:p w14:paraId="3457C6C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Results – Subgroup Analysis (BMI ≥ 25 subgroup)</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0949"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3363"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7410"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3363" w:type="dxa"/>
          </w:tcPr>
          <w:p w14:paraId="028813E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Discussion</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7410"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3363" w:type="dxa"/>
          </w:tcPr>
          <w:p w14:paraId="16436A34">
            <w:pPr>
              <w:spacing w:line="240" w:lineRule="auto"/>
              <w:rPr>
                <w:rFonts w:ascii="Calibri" w:hAnsi="Calibri" w:eastAsia="Calibri" w:cs="Calibri"/>
                <w:color w:val="000000"/>
                <w:sz w:val="22"/>
                <w:szCs w:val="22"/>
                <w:lang w:val="en-GB"/>
              </w:rPr>
            </w:pPr>
            <w:bookmarkStart w:id="0" w:name="_GoBack"/>
            <w:r>
              <w:rPr>
                <w:rFonts w:ascii="Calibri" w:hAnsi="Calibri" w:eastAsia="Calibri" w:cs="Calibri"/>
                <w:color w:val="000000"/>
                <w:sz w:val="22"/>
                <w:szCs w:val="22"/>
                <w:lang w:val="en-GB"/>
              </w:rPr>
              <w:t>Discussion – Limitations</w:t>
            </w:r>
            <w:bookmarkEnd w:id="0"/>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34A95CF4"/>
    <w:rsid w:val="75B57B2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5"/>
    <w:unhideWhenUsed/>
    <w:uiPriority w:val="99"/>
    <w:pPr>
      <w:spacing w:line="240" w:lineRule="auto"/>
    </w:pPr>
    <w:rPr>
      <w:sz w:val="20"/>
      <w:szCs w:val="20"/>
    </w:rPr>
  </w:style>
  <w:style w:type="paragraph" w:styleId="9">
    <w:name w:val="Balloon Text"/>
    <w:basedOn w:val="1"/>
    <w:link w:val="33"/>
    <w:semiHidden/>
    <w:unhideWhenUsed/>
    <w:uiPriority w:val="99"/>
    <w:pPr>
      <w:spacing w:line="240" w:lineRule="auto"/>
    </w:pPr>
    <w:rPr>
      <w:rFonts w:ascii="Segoe UI" w:hAnsi="Segoe UI" w:cs="Segoe UI"/>
      <w:sz w:val="18"/>
      <w:szCs w:val="18"/>
    </w:rPr>
  </w:style>
  <w:style w:type="paragraph" w:styleId="10">
    <w:name w:val="footer"/>
    <w:basedOn w:val="1"/>
    <w:link w:val="36"/>
    <w:unhideWhenUsed/>
    <w:qFormat/>
    <w:uiPriority w:val="99"/>
    <w:pPr>
      <w:tabs>
        <w:tab w:val="center" w:pos="4513"/>
        <w:tab w:val="right" w:pos="9026"/>
      </w:tabs>
      <w:spacing w:line="240" w:lineRule="auto"/>
    </w:pPr>
  </w:style>
  <w:style w:type="paragraph" w:styleId="11">
    <w:name w:val="header"/>
    <w:basedOn w:val="1"/>
    <w:link w:val="35"/>
    <w:unhideWhenUsed/>
    <w:qFormat/>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qFormat/>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uiPriority w:val="99"/>
    <w:rPr>
      <w:b/>
      <w:bCs/>
    </w:rPr>
  </w:style>
  <w:style w:type="table" w:styleId="17">
    <w:name w:val="Table Grid"/>
    <w:basedOn w:val="16"/>
    <w:qFormat/>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0">
    <w:name w:val="Hyperlink"/>
    <w:uiPriority w:val="0"/>
    <w:rPr>
      <w:color w:val="CC0000"/>
      <w:u w:val="single"/>
    </w:rPr>
  </w:style>
  <w:style w:type="character" w:styleId="21">
    <w:name w:val="annotation reference"/>
    <w:basedOn w:val="18"/>
    <w:semiHidden/>
    <w:unhideWhenUsed/>
    <w:uiPriority w:val="99"/>
    <w:rPr>
      <w:sz w:val="16"/>
      <w:szCs w:val="16"/>
    </w:rPr>
  </w:style>
  <w:style w:type="table" w:customStyle="1" w:styleId="22">
    <w:name w:val="_Style 11"/>
    <w:basedOn w:val="16"/>
    <w:qFormat/>
    <w:uiPriority w:val="0"/>
    <w:pPr>
      <w:spacing w:line="240" w:lineRule="auto"/>
    </w:pPr>
  </w:style>
  <w:style w:type="table" w:customStyle="1" w:styleId="23">
    <w:name w:val="_Style 12"/>
    <w:basedOn w:val="16"/>
    <w:uiPriority w:val="0"/>
    <w:tblPr>
      <w:tblCellMar>
        <w:left w:w="115" w:type="dxa"/>
        <w:right w:w="115" w:type="dxa"/>
      </w:tblCellMar>
    </w:tblPr>
  </w:style>
  <w:style w:type="table" w:customStyle="1" w:styleId="24">
    <w:name w:val="_Style 13"/>
    <w:basedOn w:val="16"/>
    <w:uiPriority w:val="0"/>
    <w:tblPr>
      <w:tblCellMar>
        <w:left w:w="115" w:type="dxa"/>
        <w:right w:w="115" w:type="dxa"/>
      </w:tblCellMar>
    </w:tblPr>
  </w:style>
  <w:style w:type="character" w:customStyle="1" w:styleId="25">
    <w:name w:val="Comment Text Char"/>
    <w:basedOn w:val="18"/>
    <w:link w:val="8"/>
    <w:uiPriority w:val="99"/>
    <w:rPr>
      <w:sz w:val="20"/>
      <w:szCs w:val="20"/>
    </w:rPr>
  </w:style>
  <w:style w:type="character" w:customStyle="1" w:styleId="26">
    <w:name w:val="Comment Subject Char"/>
    <w:basedOn w:val="25"/>
    <w:link w:val="15"/>
    <w:semiHidden/>
    <w:qFormat/>
    <w:uiPriority w:val="99"/>
    <w:rPr>
      <w:b/>
      <w:bCs/>
      <w:sz w:val="20"/>
      <w:szCs w:val="20"/>
    </w:rPr>
  </w:style>
  <w:style w:type="paragraph" w:customStyle="1" w:styleId="27">
    <w:name w:val="EndNote Bibliography Title"/>
    <w:basedOn w:val="1"/>
    <w:link w:val="28"/>
    <w:uiPriority w:val="0"/>
    <w:pPr>
      <w:jc w:val="center"/>
    </w:pPr>
    <w:rPr>
      <w:lang w:val="en-GB"/>
    </w:rPr>
  </w:style>
  <w:style w:type="character" w:customStyle="1" w:styleId="28">
    <w:name w:val="EndNote Bibliography Title Char"/>
    <w:basedOn w:val="18"/>
    <w:link w:val="27"/>
    <w:uiPriority w:val="0"/>
    <w:rPr>
      <w:lang w:val="en-GB"/>
    </w:rPr>
  </w:style>
  <w:style w:type="paragraph" w:customStyle="1" w:styleId="29">
    <w:name w:val="EndNote Bibliography"/>
    <w:basedOn w:val="1"/>
    <w:link w:val="30"/>
    <w:uiPriority w:val="0"/>
    <w:pPr>
      <w:spacing w:line="240" w:lineRule="auto"/>
    </w:pPr>
    <w:rPr>
      <w:lang w:val="en-GB"/>
    </w:rPr>
  </w:style>
  <w:style w:type="character" w:customStyle="1" w:styleId="30">
    <w:name w:val="EndNote Bibliography Char"/>
    <w:basedOn w:val="18"/>
    <w:link w:val="29"/>
    <w:qFormat/>
    <w:uiPriority w:val="0"/>
    <w:rPr>
      <w:lang w:val="en-GB"/>
    </w:rPr>
  </w:style>
  <w:style w:type="character" w:customStyle="1" w:styleId="31">
    <w:name w:val="Unresolved Mention"/>
    <w:basedOn w:val="18"/>
    <w:semiHidden/>
    <w:unhideWhenUsed/>
    <w:uiPriority w:val="99"/>
    <w:rPr>
      <w:color w:val="605E5C"/>
      <w:shd w:val="clear" w:color="auto" w:fill="E1DFDD"/>
    </w:rPr>
  </w:style>
  <w:style w:type="character" w:customStyle="1" w:styleId="32">
    <w:name w:val="cf01"/>
    <w:basedOn w:val="18"/>
    <w:uiPriority w:val="0"/>
    <w:rPr>
      <w:rFonts w:hint="default" w:ascii="Segoe UI" w:hAnsi="Segoe UI" w:cs="Segoe UI"/>
      <w:sz w:val="18"/>
      <w:szCs w:val="18"/>
    </w:rPr>
  </w:style>
  <w:style w:type="character" w:customStyle="1" w:styleId="33">
    <w:name w:val="Balloon Text Char"/>
    <w:basedOn w:val="18"/>
    <w:link w:val="9"/>
    <w:semiHidden/>
    <w:qFormat/>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qFormat/>
    <w:uiPriority w:val="99"/>
  </w:style>
  <w:style w:type="character" w:customStyle="1" w:styleId="36">
    <w:name w:val="Footer Char"/>
    <w:basedOn w:val="18"/>
    <w:link w:val="10"/>
    <w:qFormat/>
    <w:uiPriority w:val="99"/>
  </w:style>
  <w:style w:type="paragraph" w:customStyle="1" w:styleId="37">
    <w:name w:val="Revision"/>
    <w:hidden/>
    <w:semiHidden/>
    <w:qFormat/>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qFormat/>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5</Pages>
  <Words>893</Words>
  <Characters>5600</Characters>
  <Lines>48</Lines>
  <Paragraphs>13</Paragraphs>
  <TotalTime>6</TotalTime>
  <ScaleCrop>false</ScaleCrop>
  <LinksUpToDate>false</LinksUpToDate>
  <CharactersWithSpaces>6373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小飞猪</cp:lastModifiedBy>
  <cp:lastPrinted>2024-03-26T08:52:00Z</cp:lastPrinted>
  <dcterms:modified xsi:type="dcterms:W3CDTF">2026-09-02T01:46:13Z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8A2DA45421914B3E90B33530AB0EDA02_13</vt:lpwstr>
  </property>
  <property fmtid="{D5CDD505-2E9C-101B-9397-08002B2CF9AE}" pid="4" name="KSOTemplateDocerSaveRecord">
    <vt:lpwstr>eyJoZGlkIjoiMWU1YzU3YTcxMTk0Mzg3NDM1MTU5NjJhMDM1NjYyNTIiLCJ1c2VySWQiOiIyNDA4MzI2NzIifQ==</vt:lpwstr>
  </property>
</Properties>
</file>