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BFA99" w14:textId="79AF3D6C" w:rsidR="00CB5396" w:rsidRPr="00CB5396" w:rsidRDefault="00CB5396" w:rsidP="00CB5396">
      <w:pPr>
        <w:jc w:val="both"/>
        <w:rPr>
          <w:rFonts w:ascii="Cambria" w:hAnsi="Cambria"/>
          <w:lang w:val="en-IN"/>
        </w:rPr>
      </w:pPr>
      <w:r w:rsidRPr="00CB5396">
        <w:rPr>
          <w:rFonts w:ascii="Cambria" w:hAnsi="Cambria"/>
          <w:b/>
          <w:bCs/>
          <w:lang w:val="en-IN"/>
        </w:rPr>
        <w:t xml:space="preserve">Supplementary materials for </w:t>
      </w:r>
      <w:r w:rsidR="002E793C">
        <w:rPr>
          <w:rFonts w:ascii="Cambria" w:hAnsi="Cambria"/>
          <w:b/>
          <w:bCs/>
          <w:lang w:val="en-IN"/>
        </w:rPr>
        <w:t>Q</w:t>
      </w:r>
      <w:r w:rsidRPr="00CB5396">
        <w:rPr>
          <w:rFonts w:ascii="Cambria" w:hAnsi="Cambria"/>
          <w:b/>
          <w:bCs/>
          <w:lang w:val="en-IN"/>
        </w:rPr>
        <w:t>uantization-locked attractors and deterministic stabilization of localized wave packets in discrete nonlinear systems</w:t>
      </w:r>
    </w:p>
    <w:p w14:paraId="4469A52F" w14:textId="77777777" w:rsidR="00CB5396" w:rsidRPr="00CB5396" w:rsidRDefault="00CB5396" w:rsidP="00CB5396">
      <w:pPr>
        <w:jc w:val="both"/>
        <w:rPr>
          <w:rFonts w:ascii="Cambria" w:hAnsi="Cambria"/>
          <w:lang w:val="en-IN"/>
        </w:rPr>
      </w:pPr>
    </w:p>
    <w:p w14:paraId="0F2ABA8C" w14:textId="77777777" w:rsidR="00CB5396" w:rsidRPr="00DB0ED7" w:rsidRDefault="00CB5396" w:rsidP="00CB5396">
      <w:pPr>
        <w:spacing w:after="0" w:line="276" w:lineRule="auto"/>
        <w:jc w:val="both"/>
        <w:rPr>
          <w:rFonts w:ascii="Cambria" w:hAnsi="Cambria" w:cs="Times New Roman"/>
        </w:rPr>
      </w:pPr>
      <w:r w:rsidRPr="00DB0ED7">
        <w:rPr>
          <w:rFonts w:ascii="Cambria" w:hAnsi="Cambria" w:cs="Times New Roman"/>
        </w:rPr>
        <w:t>Soumen Karmakar</w:t>
      </w:r>
      <m:oMath>
        <m:sPre>
          <m:sPrePr>
            <m:ctrlPr>
              <w:rPr>
                <w:rFonts w:ascii="Cambria Math" w:hAnsi="Cambria Math" w:cs="Times New Roman"/>
              </w:rPr>
            </m:ctrlPr>
          </m:sPrePr>
          <m:sub>
            <m:r>
              <w:rPr>
                <w:rFonts w:ascii="Cambria Math" w:hAnsi="Cambria Math" w:cs="Times New Roman"/>
              </w:rPr>
              <m:t>​</m:t>
            </m:r>
          </m:sub>
          <m:sup>
            <m:r>
              <w:rPr>
                <w:rFonts w:ascii="Cambria Math" w:hAnsi="Cambria Math" w:cs="Times New Roman"/>
              </w:rPr>
              <m:t>1, a</m:t>
            </m:r>
          </m:sup>
          <m:e>
            <m:r>
              <w:rPr>
                <w:rFonts w:ascii="Cambria Math" w:hAnsi="Cambria Math" w:cs="Times New Roman"/>
              </w:rPr>
              <m:t>​</m:t>
            </m:r>
          </m:e>
        </m:sPre>
      </m:oMath>
      <w:r w:rsidRPr="00DB0ED7">
        <w:rPr>
          <w:rFonts w:ascii="Cambria" w:eastAsiaTheme="minorEastAsia" w:hAnsi="Cambria" w:cs="Times New Roman"/>
        </w:rPr>
        <w:t>, Ram Krishna Sarkar</w:t>
      </w:r>
      <m:oMath>
        <m:sPre>
          <m:sPrePr>
            <m:ctrlPr>
              <w:rPr>
                <w:rFonts w:ascii="Cambria Math" w:eastAsiaTheme="minorEastAsia" w:hAnsi="Cambria Math" w:cs="Times New Roman"/>
              </w:rPr>
            </m:ctrlPr>
          </m:sPrePr>
          <m:sub>
            <m:r>
              <w:rPr>
                <w:rFonts w:ascii="Cambria Math" w:eastAsiaTheme="minorEastAsia" w:hAnsi="Cambria Math" w:cs="Times New Roman"/>
              </w:rPr>
              <m:t>​</m:t>
            </m:r>
          </m:sub>
          <m:sup>
            <m:r>
              <w:rPr>
                <w:rFonts w:ascii="Cambria Math" w:eastAsiaTheme="minorEastAsia" w:hAnsi="Cambria Math" w:cs="Times New Roman"/>
              </w:rPr>
              <m:t>1,b</m:t>
            </m:r>
          </m:sup>
          <m:e>
            <m:r>
              <w:rPr>
                <w:rFonts w:ascii="Cambria Math" w:eastAsiaTheme="minorEastAsia" w:hAnsi="Cambria Math" w:cs="Times New Roman"/>
              </w:rPr>
              <m:t>​</m:t>
            </m:r>
          </m:e>
        </m:sPre>
      </m:oMath>
    </w:p>
    <w:p w14:paraId="7543510B" w14:textId="77777777" w:rsidR="00CB5396" w:rsidRDefault="00CB5396" w:rsidP="00CB5396">
      <w:pPr>
        <w:spacing w:after="0" w:line="276" w:lineRule="auto"/>
        <w:jc w:val="both"/>
        <w:rPr>
          <w:rFonts w:ascii="Cambria" w:hAnsi="Cambria" w:cs="Times New Roman"/>
        </w:rPr>
      </w:pPr>
    </w:p>
    <w:p w14:paraId="3288F813" w14:textId="77777777" w:rsidR="00CB5396" w:rsidRDefault="00CB5396" w:rsidP="00CB5396">
      <w:pPr>
        <w:spacing w:after="0" w:line="276" w:lineRule="auto"/>
        <w:jc w:val="both"/>
        <w:rPr>
          <w:rFonts w:ascii="Cambria" w:hAnsi="Cambria" w:cs="Times New Roman"/>
        </w:rPr>
      </w:pPr>
      <w:r>
        <w:rPr>
          <w:rFonts w:ascii="Cambria" w:hAnsi="Cambria" w:cs="Times New Roman"/>
          <w:noProof/>
        </w:rPr>
        <w:drawing>
          <wp:inline distT="0" distB="0" distL="0" distR="0" wp14:anchorId="2804785F" wp14:editId="4E8AABA7">
            <wp:extent cx="136026" cy="136026"/>
            <wp:effectExtent l="0" t="0" r="0" b="0"/>
            <wp:docPr id="1051543616" name="Graphic 1"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43616" name="Graphic 1051543616" descr="Envelope outline"/>
                    <pic:cNvPicPr/>
                  </pic:nvPicPr>
                  <pic:blipFill>
                    <a:blip r:embed="rId7">
                      <a:extLst>
                        <a:ext uri="{96DAC541-7B7A-43D3-8B79-37D633B846F1}">
                          <asvg:svgBlip xmlns:asvg="http://schemas.microsoft.com/office/drawing/2016/SVG/main" r:embed="rId8"/>
                        </a:ext>
                      </a:extLst>
                    </a:blip>
                    <a:stretch>
                      <a:fillRect/>
                    </a:stretch>
                  </pic:blipFill>
                  <pic:spPr>
                    <a:xfrm flipV="1">
                      <a:off x="0" y="0"/>
                      <a:ext cx="136026" cy="136026"/>
                    </a:xfrm>
                    <a:prstGeom prst="rect">
                      <a:avLst/>
                    </a:prstGeom>
                  </pic:spPr>
                </pic:pic>
              </a:graphicData>
            </a:graphic>
          </wp:inline>
        </w:drawing>
      </w:r>
      <w:r>
        <w:rPr>
          <w:rFonts w:ascii="Cambria" w:hAnsi="Cambria" w:cs="Times New Roman"/>
        </w:rPr>
        <w:t xml:space="preserve"> Soumen Karmakar</w:t>
      </w:r>
    </w:p>
    <w:p w14:paraId="4BA1CC17" w14:textId="77777777" w:rsidR="00CB5396" w:rsidRDefault="00CB5396" w:rsidP="00CB5396">
      <w:pPr>
        <w:spacing w:after="0" w:line="276" w:lineRule="auto"/>
        <w:jc w:val="both"/>
        <w:rPr>
          <w:rFonts w:ascii="Cambria" w:hAnsi="Cambria" w:cs="Times New Roman"/>
        </w:rPr>
      </w:pPr>
      <w:hyperlink r:id="rId9" w:history="1">
        <w:r w:rsidRPr="00DB0ED7">
          <w:rPr>
            <w:rStyle w:val="Hyperlink"/>
            <w:rFonts w:ascii="Cambria" w:hAnsi="Cambria" w:cs="Times New Roman"/>
            <w:u w:val="none"/>
          </w:rPr>
          <w:t>skarmakar@bitmesra.ac.in</w:t>
        </w:r>
      </w:hyperlink>
      <w:r w:rsidRPr="00DB0ED7">
        <w:rPr>
          <w:rFonts w:ascii="Cambria" w:hAnsi="Cambria" w:cs="Times New Roman"/>
        </w:rPr>
        <w:t xml:space="preserve"> </w:t>
      </w:r>
    </w:p>
    <w:p w14:paraId="191F6A5F" w14:textId="77777777" w:rsidR="00CB5396" w:rsidRDefault="00CB5396" w:rsidP="00CB5396">
      <w:pPr>
        <w:spacing w:after="0" w:line="276" w:lineRule="auto"/>
        <w:jc w:val="both"/>
        <w:rPr>
          <w:rFonts w:ascii="Cambria" w:hAnsi="Cambria" w:cs="Times New Roman"/>
        </w:rPr>
      </w:pPr>
    </w:p>
    <w:p w14:paraId="65407415" w14:textId="77777777" w:rsidR="00CB5396" w:rsidRDefault="00CB5396" w:rsidP="00CB5396">
      <w:pPr>
        <w:spacing w:after="0" w:line="276" w:lineRule="auto"/>
        <w:jc w:val="both"/>
        <w:rPr>
          <w:rFonts w:ascii="Cambria" w:hAnsi="Cambria" w:cs="Times New Roman"/>
        </w:rPr>
      </w:pPr>
      <w:r>
        <w:rPr>
          <w:rFonts w:ascii="Cambria" w:hAnsi="Cambria" w:cs="Times New Roman"/>
        </w:rPr>
        <w:t>Ram Krishna Sarkar</w:t>
      </w:r>
    </w:p>
    <w:p w14:paraId="74B244F5" w14:textId="77777777" w:rsidR="00CB5396" w:rsidRPr="001917A6" w:rsidRDefault="00CB5396" w:rsidP="00CB5396">
      <w:pPr>
        <w:spacing w:after="0" w:line="276" w:lineRule="auto"/>
        <w:jc w:val="both"/>
        <w:rPr>
          <w:rFonts w:ascii="Cambria" w:hAnsi="Cambria" w:cs="Times New Roman"/>
        </w:rPr>
      </w:pPr>
      <w:hyperlink r:id="rId10" w:history="1">
        <w:r w:rsidRPr="001917A6">
          <w:rPr>
            <w:rStyle w:val="Hyperlink"/>
            <w:rFonts w:ascii="Cambria" w:hAnsi="Cambria" w:cs="Times New Roman"/>
            <w:u w:val="none"/>
          </w:rPr>
          <w:t>rksarkar@bitmesra.ac.in</w:t>
        </w:r>
      </w:hyperlink>
      <w:r w:rsidRPr="001917A6">
        <w:rPr>
          <w:rFonts w:ascii="Cambria" w:hAnsi="Cambria" w:cs="Times New Roman"/>
        </w:rPr>
        <w:t xml:space="preserve"> </w:t>
      </w:r>
    </w:p>
    <w:p w14:paraId="760C6A74" w14:textId="77777777" w:rsidR="00CB5396" w:rsidRDefault="00CB5396" w:rsidP="00CB5396">
      <w:pPr>
        <w:spacing w:after="0" w:line="276" w:lineRule="auto"/>
        <w:jc w:val="both"/>
        <w:rPr>
          <w:rFonts w:ascii="Cambria" w:hAnsi="Cambria" w:cs="Times New Roman"/>
        </w:rPr>
      </w:pPr>
    </w:p>
    <w:p w14:paraId="555CE34B" w14:textId="77777777" w:rsidR="00CB5396" w:rsidRDefault="00CB5396" w:rsidP="00CB5396">
      <w:pPr>
        <w:spacing w:after="0" w:line="276" w:lineRule="auto"/>
        <w:jc w:val="both"/>
        <w:rPr>
          <w:rFonts w:ascii="Cambria" w:hAnsi="Cambria"/>
        </w:rPr>
      </w:pPr>
      <w:r w:rsidRPr="00DB0ED7">
        <w:rPr>
          <w:rFonts w:ascii="Cambria" w:hAnsi="Cambria" w:cs="Times New Roman"/>
        </w:rPr>
        <w:t xml:space="preserve">ORCID ID: </w:t>
      </w:r>
      <w:r w:rsidRPr="00DB0ED7">
        <w:rPr>
          <w:rFonts w:ascii="Cambria" w:hAnsi="Cambria" w:cs="Times New Roman"/>
          <w:vertAlign w:val="superscript"/>
        </w:rPr>
        <w:t>a</w:t>
      </w:r>
      <w:r w:rsidRPr="00DB0ED7">
        <w:rPr>
          <w:rFonts w:ascii="Cambria" w:hAnsi="Cambria" w:cs="Times New Roman"/>
        </w:rPr>
        <w:t xml:space="preserve"> </w:t>
      </w:r>
      <w:hyperlink r:id="rId11" w:history="1">
        <w:r w:rsidRPr="00DB0ED7">
          <w:rPr>
            <w:rStyle w:val="Hyperlink"/>
            <w:rFonts w:ascii="Cambria" w:hAnsi="Cambria" w:cs="Times New Roman"/>
            <w:bCs/>
            <w:u w:val="none"/>
          </w:rPr>
          <w:t>https://orcid.org/0000-0002-3303-1933</w:t>
        </w:r>
      </w:hyperlink>
      <w:r w:rsidRPr="00DB0ED7">
        <w:rPr>
          <w:rFonts w:ascii="Cambria" w:hAnsi="Cambria" w:cs="Times New Roman"/>
          <w:color w:val="000000" w:themeColor="text1"/>
        </w:rPr>
        <w:t xml:space="preserve"> , </w:t>
      </w:r>
      <w:r w:rsidRPr="00DB0ED7">
        <w:rPr>
          <w:rFonts w:ascii="Cambria" w:hAnsi="Cambria" w:cs="Times New Roman"/>
          <w:color w:val="000000" w:themeColor="text1"/>
          <w:vertAlign w:val="superscript"/>
        </w:rPr>
        <w:t>b</w:t>
      </w:r>
      <w:r w:rsidRPr="00DB0ED7">
        <w:rPr>
          <w:rFonts w:ascii="Cambria" w:hAnsi="Cambria" w:cs="Times New Roman"/>
          <w:color w:val="000000" w:themeColor="text1"/>
        </w:rPr>
        <w:t xml:space="preserve"> </w:t>
      </w:r>
      <w:hyperlink r:id="rId12" w:history="1">
        <w:r w:rsidRPr="00DB0ED7">
          <w:rPr>
            <w:rStyle w:val="Hyperlink"/>
            <w:rFonts w:ascii="Cambria" w:hAnsi="Cambria" w:cs="Times New Roman"/>
            <w:bCs/>
            <w:u w:val="none"/>
          </w:rPr>
          <w:t>https://orcid.org/0000-0003-2071-9963</w:t>
        </w:r>
      </w:hyperlink>
    </w:p>
    <w:p w14:paraId="67889786" w14:textId="77777777" w:rsidR="00CB5396" w:rsidRDefault="00CB5396" w:rsidP="00CB5396">
      <w:pPr>
        <w:spacing w:after="0" w:line="276" w:lineRule="auto"/>
        <w:jc w:val="both"/>
        <w:rPr>
          <w:rFonts w:ascii="Cambria" w:hAnsi="Cambria"/>
        </w:rPr>
      </w:pPr>
    </w:p>
    <w:p w14:paraId="19D3C97C" w14:textId="7E29E35E" w:rsidR="00CB5396" w:rsidRDefault="00000000" w:rsidP="00CB5396">
      <w:pPr>
        <w:spacing w:line="276" w:lineRule="auto"/>
        <w:jc w:val="both"/>
        <w:rPr>
          <w:rFonts w:ascii="Cambria" w:hAnsi="Cambria" w:cs="Times New Roman"/>
        </w:rPr>
      </w:pPr>
      <m:oMath>
        <m:sPre>
          <m:sPrePr>
            <m:ctrlPr>
              <w:rPr>
                <w:rFonts w:ascii="Cambria Math" w:hAnsi="Cambria Math" w:cs="Times New Roman"/>
              </w:rPr>
            </m:ctrlPr>
          </m:sPrePr>
          <m:sub>
            <m:r>
              <w:rPr>
                <w:rFonts w:ascii="Cambria Math" w:hAnsi="Cambria Math" w:cs="Times New Roman"/>
              </w:rPr>
              <m:t>​</m:t>
            </m:r>
          </m:sub>
          <m:sup>
            <m:r>
              <w:rPr>
                <w:rFonts w:ascii="Cambria Math" w:hAnsi="Cambria Math" w:cs="Times New Roman"/>
              </w:rPr>
              <m:t>1</m:t>
            </m:r>
          </m:sup>
          <m:e>
            <m:r>
              <w:rPr>
                <w:rFonts w:ascii="Cambria Math" w:hAnsi="Cambria Math" w:cs="Times New Roman"/>
              </w:rPr>
              <m:t>​</m:t>
            </m:r>
          </m:e>
        </m:sPre>
      </m:oMath>
      <w:r w:rsidR="00CB5396" w:rsidRPr="00DB0ED7">
        <w:rPr>
          <w:rFonts w:ascii="Cambria" w:hAnsi="Cambria" w:cs="Times New Roman"/>
        </w:rPr>
        <w:t>Department of Physics, Birla Institute of Technology, Mesra, Off Campus-Deoghar, Jasidih-814142, Deoghar, Jharkhand, India</w:t>
      </w:r>
    </w:p>
    <w:p w14:paraId="72E66A38" w14:textId="77777777" w:rsidR="00CB5396" w:rsidRPr="00CB5396" w:rsidRDefault="00CB5396" w:rsidP="00CB5396">
      <w:pPr>
        <w:spacing w:line="276" w:lineRule="auto"/>
        <w:jc w:val="both"/>
        <w:rPr>
          <w:rFonts w:ascii="Cambria" w:hAnsi="Cambria"/>
          <w:lang w:val="en-IN"/>
        </w:rPr>
      </w:pPr>
    </w:p>
    <w:p w14:paraId="6CE5540A" w14:textId="77777777" w:rsidR="00CB5396" w:rsidRPr="00CB5396" w:rsidRDefault="00CB5396" w:rsidP="00CB5396">
      <w:pPr>
        <w:jc w:val="both"/>
        <w:rPr>
          <w:rFonts w:ascii="Cambria" w:hAnsi="Cambria"/>
          <w:lang w:val="en-IN"/>
        </w:rPr>
      </w:pPr>
      <w:r w:rsidRPr="00CB5396">
        <w:rPr>
          <w:rFonts w:ascii="Cambria" w:hAnsi="Cambria"/>
          <w:b/>
          <w:bCs/>
          <w:lang w:val="en-IN"/>
        </w:rPr>
        <w:t>Supplementary Note 1: Algorithm for the global exhaustive search</w:t>
      </w:r>
    </w:p>
    <w:p w14:paraId="34D5F41A" w14:textId="77777777" w:rsidR="00CB5396" w:rsidRPr="00CB5396" w:rsidRDefault="00CB5396" w:rsidP="00CB5396">
      <w:pPr>
        <w:jc w:val="both"/>
        <w:rPr>
          <w:rFonts w:ascii="Cambria" w:hAnsi="Cambria"/>
          <w:lang w:val="en-IN"/>
        </w:rPr>
      </w:pPr>
    </w:p>
    <w:p w14:paraId="0F0255A7" w14:textId="77777777" w:rsidR="00CB5396" w:rsidRPr="00CB5396" w:rsidRDefault="00CB5396" w:rsidP="00CB5396">
      <w:pPr>
        <w:jc w:val="both"/>
        <w:rPr>
          <w:rFonts w:ascii="Cambria" w:hAnsi="Cambria"/>
          <w:lang w:val="en-IN"/>
        </w:rPr>
      </w:pPr>
      <w:r w:rsidRPr="00CB5396">
        <w:rPr>
          <w:rFonts w:ascii="Cambria" w:hAnsi="Cambria"/>
          <w:lang w:val="en-IN"/>
        </w:rPr>
        <w:t>This algorithm identifies the quantized coordinates where the dark vortex achieves a quantization-locked state within a digitized laboratory environment. For generating the selection routines, we utilize the following equivalent symbols and notations.</w:t>
      </w:r>
    </w:p>
    <w:p w14:paraId="679C90BA" w14:textId="77777777" w:rsidR="00CB5396" w:rsidRPr="00CB5396" w:rsidRDefault="00CB5396" w:rsidP="00CB5396">
      <w:pPr>
        <w:jc w:val="both"/>
        <w:rPr>
          <w:rFonts w:ascii="Cambria" w:hAnsi="Cambria"/>
          <w:lang w:val="en-IN"/>
        </w:rPr>
      </w:pPr>
    </w:p>
    <w:p w14:paraId="7C691E16" w14:textId="6F160937" w:rsidR="00CB5396" w:rsidRPr="00CB5396" w:rsidRDefault="00000000" w:rsidP="00CB5396">
      <w:pPr>
        <w:jc w:val="both"/>
        <w:rPr>
          <w:rFonts w:ascii="Cambria" w:hAnsi="Cambria"/>
          <w:lang w:val="en-IN"/>
        </w:rPr>
      </w:pPr>
      <m:oMathPara>
        <m:oMath>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phys</m:t>
              </m:r>
            </m:sub>
          </m:sSub>
          <m:r>
            <w:rPr>
              <w:rFonts w:ascii="Cambria Math" w:hAnsi="Cambria Math"/>
              <w:lang w:val="en-IN"/>
            </w:rPr>
            <m:t>≡x,</m:t>
          </m:r>
          <m:r>
            <w:rPr>
              <w:rFonts w:ascii="Cambria Math" w:hAnsi="Cambria Math"/>
              <w:i/>
              <w:lang w:val="en-IN"/>
            </w:rPr>
            <m:t> </m:t>
          </m:r>
          <m:sSub>
            <m:sSubPr>
              <m:ctrlPr>
                <w:rPr>
                  <w:rFonts w:ascii="Cambria Math" w:hAnsi="Cambria Math"/>
                  <w:lang w:val="en-IN"/>
                </w:rPr>
              </m:ctrlPr>
            </m:sSubPr>
            <m:e>
              <m:r>
                <w:rPr>
                  <w:rFonts w:ascii="Cambria Math" w:hAnsi="Cambria Math"/>
                  <w:lang w:val="en-IN"/>
                </w:rPr>
                <m:t>r</m:t>
              </m:r>
            </m:e>
            <m:sub>
              <m:r>
                <w:rPr>
                  <w:rFonts w:ascii="Cambria Math" w:hAnsi="Cambria Math"/>
                  <w:lang w:val="en-IN"/>
                </w:rPr>
                <m:t>phys</m:t>
              </m:r>
            </m:sub>
          </m:sSub>
          <m:r>
            <w:rPr>
              <w:rFonts w:ascii="Cambria Math" w:hAnsi="Cambria Math"/>
              <w:lang w:val="en-IN"/>
            </w:rPr>
            <m:t>≡y,</m:t>
          </m:r>
          <m:r>
            <w:rPr>
              <w:rFonts w:ascii="Cambria Math" w:hAnsi="Cambria Math"/>
              <w:i/>
              <w:lang w:val="en-IN"/>
            </w:rPr>
            <m:t> </m:t>
          </m:r>
          <m:sSub>
            <m:sSubPr>
              <m:ctrlPr>
                <w:rPr>
                  <w:rFonts w:ascii="Cambria Math" w:hAnsi="Cambria Math"/>
                  <w:lang w:val="en-IN"/>
                </w:rPr>
              </m:ctrlPr>
            </m:sSubPr>
            <m:e>
              <m:r>
                <w:rPr>
                  <w:rFonts w:ascii="Cambria Math" w:hAnsi="Cambria Math"/>
                  <w:lang w:val="en-IN"/>
                </w:rPr>
                <m:t>K</m:t>
              </m:r>
            </m:e>
            <m:sub>
              <m:r>
                <w:rPr>
                  <w:rFonts w:ascii="Cambria Math" w:hAnsi="Cambria Math"/>
                  <w:lang w:val="en-IN"/>
                </w:rPr>
                <m:t>inv</m:t>
              </m:r>
            </m:sub>
          </m:sSub>
          <m:r>
            <w:rPr>
              <w:rFonts w:ascii="Cambria Math" w:hAnsi="Cambria Math"/>
              <w:lang w:val="en-IN"/>
            </w:rPr>
            <m:t>≡</m:t>
          </m:r>
          <m:sSub>
            <m:sSubPr>
              <m:ctrlPr>
                <w:rPr>
                  <w:rFonts w:ascii="Cambria Math" w:hAnsi="Cambria Math"/>
                  <w:lang w:val="en-IN"/>
                </w:rPr>
              </m:ctrlPr>
            </m:sSubPr>
            <m:e>
              <m:r>
                <w:rPr>
                  <w:rFonts w:ascii="Cambria Math" w:hAnsi="Cambria Math"/>
                  <w:lang w:val="en-IN"/>
                </w:rPr>
                <m:t>C</m:t>
              </m:r>
            </m:e>
            <m:sub>
              <m:r>
                <w:rPr>
                  <w:rFonts w:ascii="Cambria Math" w:hAnsi="Cambria Math"/>
                  <w:lang w:val="en-IN"/>
                </w:rPr>
                <m:t>1</m:t>
              </m:r>
            </m:sub>
          </m:sSub>
          <m:r>
            <w:rPr>
              <w:rFonts w:ascii="Cambria Math" w:hAnsi="Cambria Math"/>
              <w:lang w:val="en-IN"/>
            </w:rPr>
            <m:t>,</m:t>
          </m:r>
          <m:r>
            <w:rPr>
              <w:rFonts w:ascii="Cambria Math" w:hAnsi="Cambria Math"/>
              <w:i/>
              <w:lang w:val="en-IN"/>
            </w:rPr>
            <m:t> </m:t>
          </m:r>
          <m:sSub>
            <m:sSubPr>
              <m:ctrlPr>
                <w:rPr>
                  <w:rFonts w:ascii="Cambria Math" w:hAnsi="Cambria Math"/>
                  <w:lang w:val="en-IN"/>
                </w:rPr>
              </m:ctrlPr>
            </m:sSubPr>
            <m:e>
              <m:r>
                <w:rPr>
                  <w:rFonts w:ascii="Cambria Math" w:hAnsi="Cambria Math"/>
                  <w:lang w:val="en-IN"/>
                </w:rPr>
                <m:t>ϵ</m:t>
              </m:r>
            </m:e>
            <m:sub>
              <m:r>
                <w:rPr>
                  <w:rFonts w:ascii="Cambria Math" w:hAnsi="Cambria Math"/>
                  <w:lang w:val="en-IN"/>
                </w:rPr>
                <m:t>quant</m:t>
              </m:r>
            </m:sub>
          </m:sSub>
          <m:r>
            <w:rPr>
              <w:rFonts w:ascii="Cambria Math" w:hAnsi="Cambria Math"/>
              <w:lang w:val="en-IN"/>
            </w:rPr>
            <m:t>≡e,</m:t>
          </m:r>
          <m:r>
            <w:rPr>
              <w:rFonts w:ascii="Cambria Math" w:hAnsi="Cambria Math"/>
              <w:i/>
              <w:lang w:val="en-IN"/>
            </w:rPr>
            <m:t> </m:t>
          </m:r>
          <m:r>
            <w:rPr>
              <w:rFonts w:ascii="Cambria Math" w:hAnsi="Cambria Math"/>
              <w:lang w:val="en-IN"/>
            </w:rPr>
            <m:t>|</m:t>
          </m:r>
          <m:sSub>
            <m:sSubPr>
              <m:ctrlPr>
                <w:rPr>
                  <w:rFonts w:ascii="Cambria Math" w:hAnsi="Cambria Math"/>
                  <w:lang w:val="en-IN"/>
                </w:rPr>
              </m:ctrlPr>
            </m:sSubPr>
            <m:e>
              <m:r>
                <w:rPr>
                  <w:rFonts w:ascii="Cambria Math" w:hAnsi="Cambria Math"/>
                  <w:lang w:val="en-IN"/>
                </w:rPr>
                <m:t>ϵ</m:t>
              </m:r>
            </m:e>
            <m:sub>
              <m:r>
                <w:rPr>
                  <w:rFonts w:ascii="Cambria Math" w:hAnsi="Cambria Math"/>
                  <w:lang w:val="en-IN"/>
                </w:rPr>
                <m:t>quant</m:t>
              </m:r>
            </m:sub>
          </m:sSub>
          <m:r>
            <w:rPr>
              <w:rFonts w:ascii="Cambria Math" w:hAnsi="Cambria Math"/>
              <w:lang w:val="en-IN"/>
            </w:rPr>
            <m:t>|≡</m:t>
          </m:r>
          <m:sSub>
            <m:sSubPr>
              <m:ctrlPr>
                <w:rPr>
                  <w:rFonts w:ascii="Cambria Math" w:hAnsi="Cambria Math"/>
                  <w:lang w:val="en-IN"/>
                </w:rPr>
              </m:ctrlPr>
            </m:sSubPr>
            <m:e>
              <m:r>
                <w:rPr>
                  <w:rFonts w:ascii="Cambria Math" w:hAnsi="Cambria Math"/>
                  <w:lang w:val="en-IN"/>
                </w:rPr>
                <m:t>e</m:t>
              </m:r>
            </m:e>
            <m:sub>
              <m:r>
                <w:rPr>
                  <w:rFonts w:ascii="Cambria Math" w:hAnsi="Cambria Math"/>
                  <w:lang w:val="en-IN"/>
                </w:rPr>
                <m:t>1</m:t>
              </m:r>
            </m:sub>
          </m:sSub>
          <m:r>
            <w:rPr>
              <w:rFonts w:ascii="Cambria Math" w:hAnsi="Cambria Math"/>
              <w:lang w:val="en-IN"/>
            </w:rPr>
            <m:t>,</m:t>
          </m:r>
          <m:r>
            <w:rPr>
              <w:rFonts w:ascii="Cambria Math" w:hAnsi="Cambria Math"/>
              <w:i/>
              <w:lang w:val="en-IN"/>
            </w:rPr>
            <m:t> </m:t>
          </m:r>
          <m:sSub>
            <m:sSubPr>
              <m:ctrlPr>
                <w:rPr>
                  <w:rFonts w:ascii="Cambria Math" w:hAnsi="Cambria Math"/>
                  <w:lang w:val="en-IN"/>
                </w:rPr>
              </m:ctrlPr>
            </m:sSubPr>
            <m:e>
              <m:r>
                <w:rPr>
                  <w:rFonts w:ascii="Cambria Math" w:hAnsi="Cambria Math"/>
                  <w:lang w:val="en-IN"/>
                </w:rPr>
                <m:t>Z</m:t>
              </m:r>
            </m:e>
            <m:sub>
              <m:r>
                <w:rPr>
                  <w:rFonts w:ascii="Cambria Math" w:hAnsi="Cambria Math"/>
                  <w:lang w:val="en-IN"/>
                </w:rPr>
                <m:t>max</m:t>
              </m:r>
            </m:sub>
          </m:sSub>
          <m:r>
            <w:rPr>
              <w:rFonts w:ascii="Cambria Math" w:hAnsi="Cambria Math"/>
              <w:lang w:val="en-IN"/>
            </w:rPr>
            <m:t>≡z</m:t>
          </m:r>
        </m:oMath>
      </m:oMathPara>
    </w:p>
    <w:p w14:paraId="67B42F1F" w14:textId="24E4097C" w:rsidR="00CB5396" w:rsidRPr="00CB5396" w:rsidRDefault="00CB5396" w:rsidP="00CB5396">
      <w:pPr>
        <w:jc w:val="both"/>
        <w:rPr>
          <w:rFonts w:ascii="Cambria" w:hAnsi="Cambria"/>
          <w:lang w:val="en-IN"/>
        </w:rPr>
      </w:pPr>
      <w:r w:rsidRPr="00CB5396">
        <w:rPr>
          <w:rFonts w:ascii="Cambria" w:hAnsi="Cambria"/>
          <w:lang w:val="en-IN"/>
        </w:rPr>
        <w:t xml:space="preserve">The term </w:t>
      </w:r>
      <m:oMath>
        <m:r>
          <w:rPr>
            <w:rFonts w:ascii="Cambria Math" w:hAnsi="Cambria Math"/>
            <w:lang w:val="en-IN"/>
          </w:rPr>
          <m:t>x</m:t>
        </m:r>
      </m:oMath>
      <w:r w:rsidRPr="00CB5396">
        <w:rPr>
          <w:rFonts w:ascii="Cambria" w:hAnsi="Cambria"/>
          <w:lang w:val="en-IN"/>
        </w:rPr>
        <w:t xml:space="preserve"> represents the physical intensity, </w:t>
      </w:r>
      <m:oMath>
        <m:r>
          <w:rPr>
            <w:rFonts w:ascii="Cambria Math" w:hAnsi="Cambria Math"/>
            <w:lang w:val="en-IN"/>
          </w:rPr>
          <m:t>y</m:t>
        </m:r>
      </m:oMath>
      <w:r w:rsidRPr="00CB5396">
        <w:rPr>
          <w:rFonts w:ascii="Cambria" w:hAnsi="Cambria"/>
          <w:lang w:val="en-IN"/>
        </w:rPr>
        <w:t xml:space="preserve"> represents the physical core radius, </w:t>
      </w:r>
      <m:oMath>
        <m:sSub>
          <m:sSubPr>
            <m:ctrlPr>
              <w:rPr>
                <w:rFonts w:ascii="Cambria Math" w:hAnsi="Cambria Math"/>
                <w:lang w:val="en-IN"/>
              </w:rPr>
            </m:ctrlPr>
          </m:sSubPr>
          <m:e>
            <m:r>
              <w:rPr>
                <w:rFonts w:ascii="Cambria Math" w:hAnsi="Cambria Math"/>
                <w:lang w:val="en-IN"/>
              </w:rPr>
              <m:t>C</m:t>
            </m:r>
          </m:e>
          <m:sub>
            <m:r>
              <w:rPr>
                <w:rFonts w:ascii="Cambria Math" w:hAnsi="Cambria Math"/>
                <w:lang w:val="en-IN"/>
              </w:rPr>
              <m:t>1</m:t>
            </m:r>
          </m:sub>
        </m:sSub>
      </m:oMath>
      <w:r w:rsidRPr="00CB5396">
        <w:rPr>
          <w:rFonts w:ascii="Cambria" w:hAnsi="Cambria"/>
          <w:lang w:val="en-IN"/>
        </w:rPr>
        <w:t xml:space="preserve"> is the geometric tracking invariant, </w:t>
      </w:r>
      <m:oMath>
        <m:r>
          <w:rPr>
            <w:rFonts w:ascii="Cambria Math" w:hAnsi="Cambria Math"/>
            <w:lang w:val="en-IN"/>
          </w:rPr>
          <m:t>e</m:t>
        </m:r>
      </m:oMath>
      <w:r w:rsidRPr="00CB5396">
        <w:rPr>
          <w:rFonts w:ascii="Cambria" w:hAnsi="Cambria"/>
          <w:lang w:val="en-IN"/>
        </w:rPr>
        <w:t xml:space="preserve"> represents the signed quantization gap, </w:t>
      </w:r>
      <m:oMath>
        <m:sSub>
          <m:sSubPr>
            <m:ctrlPr>
              <w:rPr>
                <w:rFonts w:ascii="Cambria Math" w:hAnsi="Cambria Math"/>
                <w:lang w:val="en-IN"/>
              </w:rPr>
            </m:ctrlPr>
          </m:sSubPr>
          <m:e>
            <m:r>
              <w:rPr>
                <w:rFonts w:ascii="Cambria Math" w:hAnsi="Cambria Math"/>
                <w:lang w:val="en-IN"/>
              </w:rPr>
              <m:t>e</m:t>
            </m:r>
          </m:e>
          <m:sub>
            <m:r>
              <w:rPr>
                <w:rFonts w:ascii="Cambria Math" w:hAnsi="Cambria Math"/>
                <w:lang w:val="en-IN"/>
              </w:rPr>
              <m:t>1</m:t>
            </m:r>
          </m:sub>
        </m:sSub>
      </m:oMath>
      <w:r w:rsidRPr="00CB5396">
        <w:rPr>
          <w:rFonts w:ascii="Cambria" w:hAnsi="Cambria"/>
          <w:lang w:val="en-IN"/>
        </w:rPr>
        <w:t xml:space="preserve"> is the absolute magnitude of the quantization gap, and </w:t>
      </w:r>
      <m:oMath>
        <m:r>
          <w:rPr>
            <w:rFonts w:ascii="Cambria Math" w:hAnsi="Cambria Math"/>
            <w:lang w:val="en-IN"/>
          </w:rPr>
          <m:t>z</m:t>
        </m:r>
      </m:oMath>
      <w:r w:rsidRPr="00CB5396">
        <w:rPr>
          <w:rFonts w:ascii="Cambria" w:hAnsi="Cambria"/>
          <w:lang w:val="en-IN"/>
        </w:rPr>
        <w:t xml:space="preserve"> denotes the maximum stable propagation distance.</w:t>
      </w:r>
    </w:p>
    <w:p w14:paraId="06809F4B" w14:textId="77777777" w:rsidR="00CB5396" w:rsidRPr="00CB5396" w:rsidRDefault="00CB5396" w:rsidP="00CB5396">
      <w:pPr>
        <w:jc w:val="both"/>
        <w:rPr>
          <w:rFonts w:ascii="Cambria" w:hAnsi="Cambria"/>
          <w:lang w:val="en-IN"/>
        </w:rPr>
      </w:pPr>
    </w:p>
    <w:p w14:paraId="0F6BAA5C" w14:textId="77777777" w:rsidR="00CB5396" w:rsidRPr="00CB5396" w:rsidRDefault="00CB5396" w:rsidP="00CB5396">
      <w:pPr>
        <w:jc w:val="both"/>
        <w:rPr>
          <w:rFonts w:ascii="Cambria" w:hAnsi="Cambria"/>
          <w:lang w:val="en-IN"/>
        </w:rPr>
      </w:pPr>
      <w:r w:rsidRPr="00CB5396">
        <w:rPr>
          <w:rFonts w:ascii="Cambria" w:hAnsi="Cambria"/>
          <w:b/>
          <w:bCs/>
          <w:lang w:val="en-IN"/>
        </w:rPr>
        <w:t>Numerical algorithm</w:t>
      </w:r>
    </w:p>
    <w:p w14:paraId="3073420C" w14:textId="77777777" w:rsidR="00CB5396" w:rsidRPr="00CB5396" w:rsidRDefault="00CB5396" w:rsidP="00CB5396">
      <w:pPr>
        <w:jc w:val="both"/>
        <w:rPr>
          <w:rFonts w:ascii="Cambria" w:hAnsi="Cambria"/>
          <w:lang w:val="en-IN"/>
        </w:rPr>
      </w:pPr>
    </w:p>
    <w:p w14:paraId="50B989CB" w14:textId="77777777" w:rsidR="00CB5396" w:rsidRPr="00CB5396" w:rsidRDefault="00CB5396" w:rsidP="00CB5396">
      <w:pPr>
        <w:jc w:val="both"/>
        <w:rPr>
          <w:rFonts w:ascii="Cambria" w:hAnsi="Cambria"/>
          <w:lang w:val="en-IN"/>
        </w:rPr>
      </w:pPr>
      <w:r w:rsidRPr="00CB5396">
        <w:rPr>
          <w:rFonts w:ascii="Cambria" w:hAnsi="Cambria"/>
          <w:lang w:val="en-IN"/>
        </w:rPr>
        <w:t>The numerical algorithm proceeds through 4 distinct operational phases to isolate the quantization-locked states. In the initialization phase, the environment configures the core structural constants where the tracking invariant equals 2.93067688873 μm² and the scaling factor equals 0.34121810011 μm</w:t>
      </w:r>
      <w:r w:rsidRPr="00CB5396">
        <w:rPr>
          <w:rFonts w:ascii="Cambria" w:hAnsi="Cambria" w:cs="Cambria Math"/>
          <w:lang w:val="en-IN"/>
        </w:rPr>
        <w:t>⁻</w:t>
      </w:r>
      <w:r w:rsidRPr="00CB5396">
        <w:rPr>
          <w:rFonts w:ascii="Cambria" w:hAnsi="Cambria" w:cs="Aptos"/>
          <w:lang w:val="en-IN"/>
        </w:rPr>
        <w:t>²</w:t>
      </w:r>
      <w:r w:rsidRPr="00CB5396">
        <w:rPr>
          <w:rFonts w:ascii="Cambria" w:hAnsi="Cambria"/>
          <w:lang w:val="en-IN"/>
        </w:rPr>
        <w:t xml:space="preserve">, establishing a baseline precision threshold of 15 digits. In the execution phase, an iterative sweep carries out a systematic evaluation of the physical radius across a domain bounded between 60.8 </w:t>
      </w:r>
      <w:proofErr w:type="spellStart"/>
      <w:r w:rsidRPr="00CB5396">
        <w:rPr>
          <w:rFonts w:ascii="Cambria" w:hAnsi="Cambria" w:cs="Aptos"/>
          <w:lang w:val="en-IN"/>
        </w:rPr>
        <w:t>μ</w:t>
      </w:r>
      <w:r w:rsidRPr="00CB5396">
        <w:rPr>
          <w:rFonts w:ascii="Cambria" w:hAnsi="Cambria"/>
          <w:lang w:val="en-IN"/>
        </w:rPr>
        <w:t>m</w:t>
      </w:r>
      <w:proofErr w:type="spellEnd"/>
      <w:r w:rsidRPr="00CB5396">
        <w:rPr>
          <w:rFonts w:ascii="Cambria" w:hAnsi="Cambria"/>
          <w:lang w:val="en-IN"/>
        </w:rPr>
        <w:t xml:space="preserve"> and 920.4 </w:t>
      </w:r>
      <w:proofErr w:type="spellStart"/>
      <w:r w:rsidRPr="00CB5396">
        <w:rPr>
          <w:rFonts w:ascii="Cambria" w:hAnsi="Cambria"/>
          <w:lang w:val="en-IN"/>
        </w:rPr>
        <w:t>μm</w:t>
      </w:r>
      <w:proofErr w:type="spellEnd"/>
      <w:r w:rsidRPr="00CB5396">
        <w:rPr>
          <w:rFonts w:ascii="Cambria" w:hAnsi="Cambria"/>
          <w:lang w:val="en-IN"/>
        </w:rPr>
        <w:t xml:space="preserve"> with a rigid spatial increment of 0.1 </w:t>
      </w:r>
      <w:proofErr w:type="spellStart"/>
      <w:r w:rsidRPr="00CB5396">
        <w:rPr>
          <w:rFonts w:ascii="Cambria" w:hAnsi="Cambria"/>
          <w:lang w:val="en-IN"/>
        </w:rPr>
        <w:t>μm</w:t>
      </w:r>
      <w:proofErr w:type="spellEnd"/>
      <w:r w:rsidRPr="00CB5396">
        <w:rPr>
          <w:rFonts w:ascii="Cambria" w:hAnsi="Cambria"/>
          <w:lang w:val="en-IN"/>
        </w:rPr>
        <w:t xml:space="preserve">. For each discrete radial step, the routine determines the corresponding ideal continuous intensity, rounds this value to exactly 3 significant digits to simulate real-world digital control limits, and evaluates the absolute magnitude of the resulting signed quantization gap. In the evaluation phase, the maximum stable propagation distance is calculated by taking the square root of the quotient of 0.2 divided by the absolute gap error, logging each coordinate set into a </w:t>
      </w:r>
      <w:r w:rsidRPr="00CB5396">
        <w:rPr>
          <w:rFonts w:ascii="Cambria" w:hAnsi="Cambria"/>
          <w:lang w:val="en-IN"/>
        </w:rPr>
        <w:lastRenderedPageBreak/>
        <w:t>master data array. In the sorting phase, the compiled array undergoes an ascending sorting operation sorted strictly by the magnitude of the quantization gap, extracting the top rows to define the structural hierarchy of discrete equilibrium ranks.</w:t>
      </w:r>
    </w:p>
    <w:p w14:paraId="78E81CDD" w14:textId="77777777" w:rsidR="00CB5396" w:rsidRPr="00CB5396" w:rsidRDefault="00CB5396" w:rsidP="00CB5396">
      <w:pPr>
        <w:jc w:val="both"/>
        <w:rPr>
          <w:rFonts w:ascii="Cambria" w:hAnsi="Cambria"/>
          <w:lang w:val="en-IN"/>
        </w:rPr>
      </w:pPr>
    </w:p>
    <w:p w14:paraId="7BA84E9B" w14:textId="77777777" w:rsidR="00CB5396" w:rsidRPr="00CB5396" w:rsidRDefault="00CB5396" w:rsidP="00CB5396">
      <w:pPr>
        <w:jc w:val="both"/>
        <w:rPr>
          <w:rFonts w:ascii="Cambria" w:hAnsi="Cambria"/>
          <w:lang w:val="en-IN"/>
        </w:rPr>
      </w:pPr>
      <w:r w:rsidRPr="00CB5396">
        <w:rPr>
          <w:rFonts w:ascii="Cambria" w:hAnsi="Cambria"/>
          <w:b/>
          <w:bCs/>
          <w:lang w:val="en-IN"/>
        </w:rPr>
        <w:t>Supplementary Note 2: Numerical convergence test and integration algorithm</w:t>
      </w:r>
    </w:p>
    <w:p w14:paraId="02DC881F" w14:textId="77777777" w:rsidR="00CB5396" w:rsidRPr="00CB5396" w:rsidRDefault="00CB5396" w:rsidP="00CB5396">
      <w:pPr>
        <w:jc w:val="both"/>
        <w:rPr>
          <w:rFonts w:ascii="Cambria" w:hAnsi="Cambria"/>
          <w:lang w:val="en-IN"/>
        </w:rPr>
      </w:pPr>
    </w:p>
    <w:p w14:paraId="615ED1D2" w14:textId="77777777" w:rsidR="00CB5396" w:rsidRPr="00CB5396" w:rsidRDefault="00CB5396" w:rsidP="00CB5396">
      <w:pPr>
        <w:jc w:val="both"/>
        <w:rPr>
          <w:rFonts w:ascii="Cambria" w:hAnsi="Cambria"/>
          <w:lang w:val="en-IN"/>
        </w:rPr>
      </w:pPr>
      <w:r w:rsidRPr="00CB5396">
        <w:rPr>
          <w:rFonts w:ascii="Cambria" w:hAnsi="Cambria"/>
          <w:lang w:val="en-IN"/>
        </w:rPr>
        <w:t>The spatial evolution is simulated by converting the governing second-order ordinary differential equation into a coupled system of 2 first-order equations. The numerical integration is performed using a classical fourth-order Runge-</w:t>
      </w:r>
      <w:proofErr w:type="spellStart"/>
      <w:r w:rsidRPr="00CB5396">
        <w:rPr>
          <w:rFonts w:ascii="Cambria" w:hAnsi="Cambria"/>
          <w:lang w:val="en-IN"/>
        </w:rPr>
        <w:t>Kutta</w:t>
      </w:r>
      <w:proofErr w:type="spellEnd"/>
      <w:r w:rsidRPr="00CB5396">
        <w:rPr>
          <w:rFonts w:ascii="Cambria" w:hAnsi="Cambria"/>
          <w:lang w:val="en-IN"/>
        </w:rPr>
        <w:t xml:space="preserve"> scheme. To ensure that the calculation is independent of the grid size, a systematic grid-refinement convergence protocol is implemented. The initial step size is iteratively halved by doubling the total number of mesh intervals in each successive iteration. The terminal value of the dimensionless beam width parameter at the exit plane of the 411.3 mm CS₂ cell is compared against the value from the previous iteration [1]. Convergence is achieved when the absolute difference between 2 consecutive iterations falls below the strict threshold of 12 decimal places.</w:t>
      </w:r>
    </w:p>
    <w:p w14:paraId="0DA446DA" w14:textId="77777777" w:rsidR="00CB5396" w:rsidRPr="00CB5396" w:rsidRDefault="00CB5396" w:rsidP="00CB5396">
      <w:pPr>
        <w:jc w:val="both"/>
        <w:rPr>
          <w:rFonts w:ascii="Cambria" w:hAnsi="Cambria"/>
          <w:lang w:val="en-IN"/>
        </w:rPr>
      </w:pPr>
    </w:p>
    <w:p w14:paraId="723ED057" w14:textId="77777777" w:rsidR="00CB5396" w:rsidRPr="00CB5396" w:rsidRDefault="00CB5396" w:rsidP="00CB5396">
      <w:pPr>
        <w:jc w:val="both"/>
        <w:rPr>
          <w:rFonts w:ascii="Cambria" w:hAnsi="Cambria"/>
          <w:lang w:val="en-IN"/>
        </w:rPr>
      </w:pPr>
      <w:r w:rsidRPr="00CB5396">
        <w:rPr>
          <w:rFonts w:ascii="Cambria" w:hAnsi="Cambria"/>
          <w:lang w:val="en-IN"/>
        </w:rPr>
        <w:t>The execution sequence begins by setting the initial conditions at the entry plane, where the dimensionless beam width is unity and its spatial derivative is zero. The interaction length is defined by the physical boundaries of the medium [1], and the step size is determined by dividing this length by the current mesh count. For each spatial increment, 4 independent derivative stages are computed sequentially to project the variables across the interval using a weighted average. At the terminal boundary of the propagation domain, the newly computed width is evaluated against the prior baseline. If the precision criterion is satisfied, the validated parameters are logged and the refinement loop is exited; otherwise, the grid density is doubled and the integration resets.</w:t>
      </w:r>
    </w:p>
    <w:p w14:paraId="6ECB8DD1" w14:textId="77777777" w:rsidR="00CB5396" w:rsidRPr="00CB5396" w:rsidRDefault="00CB5396" w:rsidP="00CB5396">
      <w:pPr>
        <w:jc w:val="both"/>
        <w:rPr>
          <w:rFonts w:ascii="Cambria" w:hAnsi="Cambria"/>
          <w:lang w:val="en-IN"/>
        </w:rPr>
      </w:pPr>
    </w:p>
    <w:p w14:paraId="120C80A4" w14:textId="77777777" w:rsidR="00CB5396" w:rsidRPr="00CB5396" w:rsidRDefault="00CB5396" w:rsidP="00CB5396">
      <w:pPr>
        <w:jc w:val="both"/>
        <w:rPr>
          <w:rFonts w:ascii="Cambria" w:hAnsi="Cambria"/>
          <w:lang w:val="en-IN"/>
        </w:rPr>
      </w:pPr>
      <w:r w:rsidRPr="00CB5396">
        <w:rPr>
          <w:rFonts w:ascii="Cambria" w:hAnsi="Cambria"/>
          <w:b/>
          <w:bCs/>
          <w:lang w:val="en-IN"/>
        </w:rPr>
        <w:t>Results of the numerical validation</w:t>
      </w:r>
    </w:p>
    <w:p w14:paraId="04AFD4D8" w14:textId="77777777" w:rsidR="00CB5396" w:rsidRPr="00CB5396" w:rsidRDefault="00CB5396" w:rsidP="00CB5396">
      <w:pPr>
        <w:jc w:val="both"/>
        <w:rPr>
          <w:rFonts w:ascii="Cambria" w:hAnsi="Cambria"/>
          <w:lang w:val="en-IN"/>
        </w:rPr>
      </w:pPr>
    </w:p>
    <w:p w14:paraId="68851DF6" w14:textId="77777777" w:rsidR="00CB5396" w:rsidRPr="00CB5396" w:rsidRDefault="00CB5396" w:rsidP="00CB5396">
      <w:pPr>
        <w:jc w:val="both"/>
        <w:rPr>
          <w:rFonts w:ascii="Cambria" w:hAnsi="Cambria"/>
          <w:lang w:val="en-IN"/>
        </w:rPr>
      </w:pPr>
      <w:r w:rsidRPr="00CB5396">
        <w:rPr>
          <w:rFonts w:ascii="Cambria" w:hAnsi="Cambria"/>
          <w:lang w:val="en-IN"/>
        </w:rPr>
        <w:t xml:space="preserve">Initiating convergence iterations for 12-digit precision yields a stable progression. At 1000 discrete integration steps, the exit beam width parameter equals 1.000000000008458. </w:t>
      </w:r>
      <w:proofErr w:type="gramStart"/>
      <w:r w:rsidRPr="00CB5396">
        <w:rPr>
          <w:rFonts w:ascii="Cambria" w:hAnsi="Cambria"/>
          <w:lang w:val="en-IN"/>
        </w:rPr>
        <w:t>At</w:t>
      </w:r>
      <w:proofErr w:type="gramEnd"/>
      <w:r w:rsidRPr="00CB5396">
        <w:rPr>
          <w:rFonts w:ascii="Cambria" w:hAnsi="Cambria"/>
          <w:lang w:val="en-IN"/>
        </w:rPr>
        <w:t xml:space="preserve"> 2000 discrete integration steps, the exit beam width parameter reaches 1.000000000008459. Numerical convergence is successfully achieved within the specified threshold, confirming the validated exit plane beam width parameter as exactly 1.000000000008459.</w:t>
      </w:r>
    </w:p>
    <w:p w14:paraId="55DB48BF" w14:textId="77777777" w:rsidR="00CB5396" w:rsidRPr="00CB5396" w:rsidRDefault="00CB5396" w:rsidP="00CB5396">
      <w:pPr>
        <w:jc w:val="both"/>
        <w:rPr>
          <w:rFonts w:ascii="Cambria" w:hAnsi="Cambria"/>
          <w:lang w:val="en-IN"/>
        </w:rPr>
      </w:pPr>
    </w:p>
    <w:p w14:paraId="5882B42E" w14:textId="77777777" w:rsidR="00CB5396" w:rsidRPr="00CB5396" w:rsidRDefault="00CB5396" w:rsidP="00CB5396">
      <w:pPr>
        <w:jc w:val="both"/>
        <w:rPr>
          <w:rFonts w:ascii="Cambria" w:hAnsi="Cambria"/>
          <w:lang w:val="en-IN"/>
        </w:rPr>
      </w:pPr>
      <w:r w:rsidRPr="00CB5396">
        <w:rPr>
          <w:rFonts w:ascii="Cambria" w:hAnsi="Cambria"/>
          <w:b/>
          <w:bCs/>
          <w:lang w:val="en-IN"/>
        </w:rPr>
        <w:t>Supplementary Note 3: Derivation of peak physical intensity limits and dielectric safety margins</w:t>
      </w:r>
    </w:p>
    <w:p w14:paraId="29473F06" w14:textId="77777777" w:rsidR="00CB5396" w:rsidRPr="00CB5396" w:rsidRDefault="00CB5396" w:rsidP="00CB5396">
      <w:pPr>
        <w:jc w:val="both"/>
        <w:rPr>
          <w:rFonts w:ascii="Cambria" w:hAnsi="Cambria"/>
          <w:lang w:val="en-IN"/>
        </w:rPr>
      </w:pPr>
    </w:p>
    <w:p w14:paraId="2D499BC1" w14:textId="77777777" w:rsidR="00CB5396" w:rsidRPr="00CB5396" w:rsidRDefault="00CB5396" w:rsidP="00CB5396">
      <w:pPr>
        <w:jc w:val="both"/>
        <w:rPr>
          <w:rFonts w:ascii="Cambria" w:hAnsi="Cambria"/>
          <w:lang w:val="en-IN"/>
        </w:rPr>
      </w:pPr>
      <w:r w:rsidRPr="00CB5396">
        <w:rPr>
          <w:rFonts w:ascii="Cambria" w:hAnsi="Cambria"/>
          <w:lang w:val="en-IN"/>
        </w:rPr>
        <w:t>The cross-sectional intensity distribution of the fundamental Laguerre-Gaussian vortex mode at the input plane is parameterized by the localized physical variables as follows.</w:t>
      </w:r>
    </w:p>
    <w:p w14:paraId="7BE8F508" w14:textId="77777777" w:rsidR="00CB5396" w:rsidRPr="00CB5396" w:rsidRDefault="00CB5396" w:rsidP="00CB5396">
      <w:pPr>
        <w:jc w:val="both"/>
        <w:rPr>
          <w:rFonts w:ascii="Cambria" w:hAnsi="Cambria"/>
          <w:lang w:val="en-IN"/>
        </w:rPr>
      </w:pPr>
    </w:p>
    <w:p w14:paraId="330D1D68" w14:textId="0C190025" w:rsidR="00CB5396" w:rsidRPr="00CB5396" w:rsidRDefault="00CB5396" w:rsidP="00CB5396">
      <w:pPr>
        <w:jc w:val="both"/>
        <w:rPr>
          <w:rFonts w:ascii="Cambria" w:hAnsi="Cambria"/>
          <w:lang w:val="en-IN"/>
        </w:rPr>
      </w:pPr>
      <m:oMathPara>
        <m:oMath>
          <m:r>
            <w:rPr>
              <w:rFonts w:ascii="Cambria Math" w:hAnsi="Cambria Math"/>
              <w:lang w:val="en-IN"/>
            </w:rPr>
            <m:t>I</m:t>
          </m:r>
          <m:d>
            <m:dPr>
              <m:ctrlPr>
                <w:rPr>
                  <w:rFonts w:ascii="Cambria Math" w:hAnsi="Cambria Math"/>
                  <w:lang w:val="en-IN"/>
                </w:rPr>
              </m:ctrlPr>
            </m:dPr>
            <m:e>
              <m:r>
                <w:rPr>
                  <w:rFonts w:ascii="Cambria Math" w:hAnsi="Cambria Math"/>
                  <w:lang w:val="en-IN"/>
                </w:rPr>
                <m:t>r,0</m:t>
              </m:r>
            </m:e>
          </m:d>
          <m:r>
            <w:rPr>
              <w:rFonts w:ascii="Cambria Math" w:hAnsi="Cambria Math"/>
              <w:lang w:val="en-IN"/>
            </w:rPr>
            <m:t>=</m:t>
          </m:r>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phys</m:t>
              </m:r>
            </m:sub>
          </m:sSub>
          <m:d>
            <m:dPr>
              <m:ctrlPr>
                <w:rPr>
                  <w:rFonts w:ascii="Cambria Math" w:hAnsi="Cambria Math"/>
                  <w:lang w:val="en-IN"/>
                </w:rPr>
              </m:ctrlPr>
            </m:dPr>
            <m:e>
              <m:f>
                <m:fPr>
                  <m:ctrlPr>
                    <w:rPr>
                      <w:rFonts w:ascii="Cambria Math" w:hAnsi="Cambria Math"/>
                      <w:lang w:val="en-IN"/>
                    </w:rPr>
                  </m:ctrlPr>
                </m:fPr>
                <m:num>
                  <m:sSup>
                    <m:sSupPr>
                      <m:ctrlPr>
                        <w:rPr>
                          <w:rFonts w:ascii="Cambria Math" w:hAnsi="Cambria Math"/>
                          <w:lang w:val="en-IN"/>
                        </w:rPr>
                      </m:ctrlPr>
                    </m:sSupPr>
                    <m:e>
                      <m:r>
                        <w:rPr>
                          <w:rFonts w:ascii="Cambria Math" w:hAnsi="Cambria Math"/>
                          <w:lang w:val="en-IN"/>
                        </w:rPr>
                        <m:t>r</m:t>
                      </m:r>
                    </m:e>
                    <m:sup>
                      <m:r>
                        <w:rPr>
                          <w:rFonts w:ascii="Cambria Math" w:hAnsi="Cambria Math"/>
                          <w:lang w:val="en-IN"/>
                        </w:rPr>
                        <m:t>2</m:t>
                      </m:r>
                    </m:sup>
                  </m:sSup>
                </m:num>
                <m:den>
                  <m:sSubSup>
                    <m:sSubSupPr>
                      <m:ctrlPr>
                        <w:rPr>
                          <w:rFonts w:ascii="Cambria Math" w:hAnsi="Cambria Math"/>
                          <w:lang w:val="en-IN"/>
                        </w:rPr>
                      </m:ctrlPr>
                    </m:sSubSupPr>
                    <m:e>
                      <m:r>
                        <w:rPr>
                          <w:rFonts w:ascii="Cambria Math" w:hAnsi="Cambria Math"/>
                          <w:lang w:val="en-IN"/>
                        </w:rPr>
                        <m:t>r</m:t>
                      </m:r>
                    </m:e>
                    <m:sub>
                      <m:r>
                        <w:rPr>
                          <w:rFonts w:ascii="Cambria Math" w:hAnsi="Cambria Math"/>
                          <w:lang w:val="en-IN"/>
                        </w:rPr>
                        <m:t>phys</m:t>
                      </m:r>
                    </m:sub>
                    <m:sup>
                      <m:r>
                        <w:rPr>
                          <w:rFonts w:ascii="Cambria Math" w:hAnsi="Cambria Math"/>
                          <w:lang w:val="en-IN"/>
                        </w:rPr>
                        <m:t>2</m:t>
                      </m:r>
                    </m:sup>
                  </m:sSubSup>
                </m:den>
              </m:f>
            </m:e>
          </m:d>
          <m:func>
            <m:funcPr>
              <m:ctrlPr>
                <w:rPr>
                  <w:rFonts w:ascii="Cambria Math" w:hAnsi="Cambria Math"/>
                  <w:lang w:val="en-IN"/>
                </w:rPr>
              </m:ctrlPr>
            </m:funcPr>
            <m:fName>
              <m:r>
                <m:rPr>
                  <m:sty m:val="p"/>
                </m:rPr>
                <w:rPr>
                  <w:rFonts w:ascii="Cambria Math" w:hAnsi="Cambria Math"/>
                  <w:lang w:val="en-IN"/>
                </w:rPr>
                <m:t>exp</m:t>
              </m:r>
            </m:fName>
            <m:e>
              <m:d>
                <m:dPr>
                  <m:ctrlPr>
                    <w:rPr>
                      <w:rFonts w:ascii="Cambria Math" w:hAnsi="Cambria Math"/>
                      <w:lang w:val="en-IN"/>
                    </w:rPr>
                  </m:ctrlPr>
                </m:dPr>
                <m:e>
                  <m:r>
                    <w:rPr>
                      <w:rFonts w:ascii="Cambria Math" w:hAnsi="Cambria Math"/>
                      <w:lang w:val="en-IN"/>
                    </w:rPr>
                    <m:t>-</m:t>
                  </m:r>
                  <m:f>
                    <m:fPr>
                      <m:ctrlPr>
                        <w:rPr>
                          <w:rFonts w:ascii="Cambria Math" w:hAnsi="Cambria Math"/>
                          <w:lang w:val="en-IN"/>
                        </w:rPr>
                      </m:ctrlPr>
                    </m:fPr>
                    <m:num>
                      <m:sSup>
                        <m:sSupPr>
                          <m:ctrlPr>
                            <w:rPr>
                              <w:rFonts w:ascii="Cambria Math" w:hAnsi="Cambria Math"/>
                              <w:lang w:val="en-IN"/>
                            </w:rPr>
                          </m:ctrlPr>
                        </m:sSupPr>
                        <m:e>
                          <m:r>
                            <w:rPr>
                              <w:rFonts w:ascii="Cambria Math" w:hAnsi="Cambria Math"/>
                              <w:lang w:val="en-IN"/>
                            </w:rPr>
                            <m:t>r</m:t>
                          </m:r>
                        </m:e>
                        <m:sup>
                          <m:r>
                            <w:rPr>
                              <w:rFonts w:ascii="Cambria Math" w:hAnsi="Cambria Math"/>
                              <w:lang w:val="en-IN"/>
                            </w:rPr>
                            <m:t>2</m:t>
                          </m:r>
                        </m:sup>
                      </m:sSup>
                    </m:num>
                    <m:den>
                      <m:sSubSup>
                        <m:sSubSupPr>
                          <m:ctrlPr>
                            <w:rPr>
                              <w:rFonts w:ascii="Cambria Math" w:hAnsi="Cambria Math"/>
                              <w:lang w:val="en-IN"/>
                            </w:rPr>
                          </m:ctrlPr>
                        </m:sSubSupPr>
                        <m:e>
                          <m:r>
                            <w:rPr>
                              <w:rFonts w:ascii="Cambria Math" w:hAnsi="Cambria Math"/>
                              <w:lang w:val="en-IN"/>
                            </w:rPr>
                            <m:t>r</m:t>
                          </m:r>
                        </m:e>
                        <m:sub>
                          <m:r>
                            <w:rPr>
                              <w:rFonts w:ascii="Cambria Math" w:hAnsi="Cambria Math"/>
                              <w:lang w:val="en-IN"/>
                            </w:rPr>
                            <m:t>phys</m:t>
                          </m:r>
                        </m:sub>
                        <m:sup>
                          <m:r>
                            <w:rPr>
                              <w:rFonts w:ascii="Cambria Math" w:hAnsi="Cambria Math"/>
                              <w:lang w:val="en-IN"/>
                            </w:rPr>
                            <m:t>2</m:t>
                          </m:r>
                        </m:sup>
                      </m:sSubSup>
                    </m:den>
                  </m:f>
                </m:e>
              </m:d>
            </m:e>
          </m:func>
          <m:r>
            <w:rPr>
              <w:rFonts w:ascii="Cambria Math" w:hAnsi="Cambria Math"/>
              <w:i/>
              <w:lang w:val="en-IN"/>
            </w:rPr>
            <m:t> </m:t>
          </m:r>
          <m:d>
            <m:dPr>
              <m:ctrlPr>
                <w:rPr>
                  <w:rFonts w:ascii="Cambria Math" w:hAnsi="Cambria Math"/>
                  <w:lang w:val="en-IN"/>
                </w:rPr>
              </m:ctrlPr>
            </m:dPr>
            <m:e>
              <m:r>
                <w:rPr>
                  <w:rFonts w:ascii="Cambria Math" w:hAnsi="Cambria Math"/>
                  <w:lang w:val="en-IN"/>
                </w:rPr>
                <m:t>S1</m:t>
              </m:r>
            </m:e>
          </m:d>
        </m:oMath>
      </m:oMathPara>
    </w:p>
    <w:p w14:paraId="192DEF08" w14:textId="137E86BE" w:rsidR="00CB5396" w:rsidRPr="00CB5396" w:rsidRDefault="00CB5396" w:rsidP="00CB5396">
      <w:pPr>
        <w:jc w:val="both"/>
        <w:rPr>
          <w:rFonts w:ascii="Cambria" w:hAnsi="Cambria"/>
          <w:lang w:val="en-IN"/>
        </w:rPr>
      </w:pPr>
      <w:r w:rsidRPr="00CB5396">
        <w:rPr>
          <w:rFonts w:ascii="Cambria" w:hAnsi="Cambria"/>
          <w:lang w:val="en-IN"/>
        </w:rPr>
        <w:t xml:space="preserve">In this distribution, </w:t>
      </w:r>
      <m:oMath>
        <m:r>
          <w:rPr>
            <w:rFonts w:ascii="Cambria Math" w:hAnsi="Cambria Math"/>
            <w:lang w:val="en-IN"/>
          </w:rPr>
          <m:t>r</m:t>
        </m:r>
      </m:oMath>
      <w:r w:rsidRPr="00CB5396">
        <w:rPr>
          <w:rFonts w:ascii="Cambria" w:hAnsi="Cambria"/>
          <w:lang w:val="en-IN"/>
        </w:rPr>
        <w:t xml:space="preserve"> represents the radial coordinate and </w:t>
      </w:r>
      <m:oMath>
        <m:r>
          <w:rPr>
            <w:rFonts w:ascii="Cambria Math" w:hAnsi="Cambria Math"/>
            <w:lang w:val="en-IN"/>
          </w:rPr>
          <m:t>I</m:t>
        </m:r>
        <m:d>
          <m:dPr>
            <m:ctrlPr>
              <w:rPr>
                <w:rFonts w:ascii="Cambria Math" w:hAnsi="Cambria Math"/>
                <w:lang w:val="en-IN"/>
              </w:rPr>
            </m:ctrlPr>
          </m:dPr>
          <m:e>
            <m:r>
              <w:rPr>
                <w:rFonts w:ascii="Cambria Math" w:hAnsi="Cambria Math"/>
                <w:lang w:val="en-IN"/>
              </w:rPr>
              <m:t>r,0</m:t>
            </m:r>
          </m:e>
        </m:d>
      </m:oMath>
      <w:r w:rsidRPr="00CB5396">
        <w:rPr>
          <w:rFonts w:ascii="Cambria" w:hAnsi="Cambria"/>
          <w:lang w:val="en-IN"/>
        </w:rPr>
        <w:t xml:space="preserve"> is the initial optical intensity profile. An extremum analysis of this spatial profile with respect to the radial coordinate dictates that the maximum local intensity occurs precisely at the core boundary where the radial coordinate equals the physical core radius. Evaluating the distribution at this coordinate yields the geometrically attenuated peak value, where </w:t>
      </w:r>
      <m:oMath>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peak</m:t>
            </m:r>
          </m:sub>
        </m:sSub>
        <m:r>
          <w:rPr>
            <w:rFonts w:ascii="Cambria Math" w:hAnsi="Cambria Math"/>
            <w:lang w:val="en-IN"/>
          </w:rPr>
          <m:t>=</m:t>
        </m:r>
        <m:sSup>
          <m:sSupPr>
            <m:ctrlPr>
              <w:rPr>
                <w:rFonts w:ascii="Cambria Math" w:hAnsi="Cambria Math"/>
                <w:lang w:val="en-IN"/>
              </w:rPr>
            </m:ctrlPr>
          </m:sSupPr>
          <m:e>
            <m:r>
              <w:rPr>
                <w:rFonts w:ascii="Cambria Math" w:hAnsi="Cambria Math"/>
                <w:lang w:val="en-IN"/>
              </w:rPr>
              <m:t>e</m:t>
            </m:r>
          </m:e>
          <m:sup>
            <m:r>
              <w:rPr>
                <w:rFonts w:ascii="Cambria Math" w:hAnsi="Cambria Math"/>
                <w:lang w:val="en-IN"/>
              </w:rPr>
              <m:t>-1</m:t>
            </m:r>
          </m:sup>
        </m:sSup>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phys</m:t>
            </m:r>
          </m:sub>
        </m:sSub>
        <m:r>
          <w:rPr>
            <w:rFonts w:ascii="Cambria Math" w:hAnsi="Cambria Math"/>
            <w:lang w:val="en-IN"/>
          </w:rPr>
          <m:t>≈0.37</m:t>
        </m:r>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phys</m:t>
            </m:r>
          </m:sub>
        </m:sSub>
      </m:oMath>
      <w:r w:rsidRPr="00CB5396">
        <w:rPr>
          <w:rFonts w:ascii="Cambria" w:hAnsi="Cambria"/>
          <w:lang w:val="en-IN"/>
        </w:rPr>
        <w:t>.</w:t>
      </w:r>
    </w:p>
    <w:p w14:paraId="1237CDFE" w14:textId="77777777" w:rsidR="00CB5396" w:rsidRPr="00CB5396" w:rsidRDefault="00CB5396" w:rsidP="00CB5396">
      <w:pPr>
        <w:jc w:val="both"/>
        <w:rPr>
          <w:rFonts w:ascii="Cambria" w:hAnsi="Cambria"/>
          <w:lang w:val="en-IN"/>
        </w:rPr>
      </w:pPr>
    </w:p>
    <w:p w14:paraId="01E632B7" w14:textId="1B901BAE" w:rsidR="00CB5396" w:rsidRPr="00CB5396" w:rsidRDefault="00CB5396" w:rsidP="00CB5396">
      <w:pPr>
        <w:jc w:val="both"/>
        <w:rPr>
          <w:rFonts w:ascii="Cambria" w:hAnsi="Cambria"/>
          <w:lang w:val="en-IN"/>
        </w:rPr>
      </w:pPr>
      <w:r w:rsidRPr="00CB5396">
        <w:rPr>
          <w:rFonts w:ascii="Cambria" w:hAnsi="Cambria"/>
          <w:lang w:val="en-IN"/>
        </w:rPr>
        <w:t xml:space="preserve">The localized physical intensity parameter is constrained by the continuous geometric invariant through the inverse-square relation, where </w:t>
      </w:r>
      <m:oMath>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phys</m:t>
            </m:r>
          </m:sub>
        </m:sSub>
        <m:r>
          <w:rPr>
            <w:rFonts w:ascii="Cambria Math" w:hAnsi="Cambria Math"/>
            <w:lang w:val="en-IN"/>
          </w:rPr>
          <m:t>=</m:t>
        </m:r>
        <m:sSub>
          <m:sSubPr>
            <m:ctrlPr>
              <w:rPr>
                <w:rFonts w:ascii="Cambria Math" w:hAnsi="Cambria Math"/>
                <w:lang w:val="en-IN"/>
              </w:rPr>
            </m:ctrlPr>
          </m:sSubPr>
          <m:e>
            <m:r>
              <w:rPr>
                <w:rFonts w:ascii="Cambria Math" w:hAnsi="Cambria Math"/>
                <w:lang w:val="en-IN"/>
              </w:rPr>
              <m:t>K</m:t>
            </m:r>
          </m:e>
          <m:sub>
            <m:r>
              <w:rPr>
                <w:rFonts w:ascii="Cambria Math" w:hAnsi="Cambria Math"/>
                <w:lang w:val="en-IN"/>
              </w:rPr>
              <m:t>inv</m:t>
            </m:r>
          </m:sub>
        </m:sSub>
        <m:sSubSup>
          <m:sSubSupPr>
            <m:ctrlPr>
              <w:rPr>
                <w:rFonts w:ascii="Cambria Math" w:hAnsi="Cambria Math"/>
                <w:lang w:val="en-IN"/>
              </w:rPr>
            </m:ctrlPr>
          </m:sSubSupPr>
          <m:e>
            <m:r>
              <w:rPr>
                <w:rFonts w:ascii="Cambria Math" w:hAnsi="Cambria Math"/>
                <w:lang w:val="en-IN"/>
              </w:rPr>
              <m:t>r</m:t>
            </m:r>
          </m:e>
          <m:sub>
            <m:r>
              <w:rPr>
                <w:rFonts w:ascii="Cambria Math" w:hAnsi="Cambria Math"/>
                <w:lang w:val="en-IN"/>
              </w:rPr>
              <m:t>phys</m:t>
            </m:r>
          </m:sub>
          <m:sup>
            <m:r>
              <w:rPr>
                <w:rFonts w:ascii="Cambria Math" w:hAnsi="Cambria Math"/>
                <w:lang w:val="en-IN"/>
              </w:rPr>
              <m:t>-2</m:t>
            </m:r>
          </m:sup>
        </m:sSubSup>
      </m:oMath>
      <w:r w:rsidRPr="00CB5396">
        <w:rPr>
          <w:rFonts w:ascii="Cambria" w:hAnsi="Cambria"/>
          <w:lang w:val="en-IN"/>
        </w:rPr>
        <w:t xml:space="preserve">. Consequently, the absolute maximum intensity parameter is reached at the paraxial confinement threshold where the physical core radius is minimized to its lower limit. Incorporating the material saturation intensity, denoted as </w:t>
      </w:r>
      <m:oMath>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sat</m:t>
            </m:r>
          </m:sub>
        </m:sSub>
      </m:oMath>
      <w:r w:rsidRPr="00CB5396">
        <w:rPr>
          <w:rFonts w:ascii="Cambria" w:hAnsi="Cambria"/>
          <w:lang w:val="en-IN"/>
        </w:rPr>
        <w:t>, to scale the dimensionless profile into a physical power density yields the ultimate ceiling for the peak local intensity [2].</w:t>
      </w:r>
    </w:p>
    <w:p w14:paraId="773434C0" w14:textId="77777777" w:rsidR="00CB5396" w:rsidRPr="00CB5396" w:rsidRDefault="00CB5396" w:rsidP="00CB5396">
      <w:pPr>
        <w:jc w:val="both"/>
        <w:rPr>
          <w:rFonts w:ascii="Cambria" w:hAnsi="Cambria"/>
          <w:lang w:val="en-IN"/>
        </w:rPr>
      </w:pPr>
    </w:p>
    <w:p w14:paraId="28D89247" w14:textId="694D2EB7" w:rsidR="00CB5396" w:rsidRPr="00CB5396" w:rsidRDefault="00000000" w:rsidP="00CB5396">
      <w:pPr>
        <w:jc w:val="both"/>
        <w:rPr>
          <w:rFonts w:ascii="Cambria" w:hAnsi="Cambria"/>
          <w:lang w:val="en-IN"/>
        </w:rPr>
      </w:pPr>
      <m:oMathPara>
        <m:oMath>
          <m:sSub>
            <m:sSubPr>
              <m:ctrlPr>
                <w:rPr>
                  <w:rFonts w:ascii="Cambria Math" w:hAnsi="Cambria Math"/>
                  <w:lang w:val="en-IN"/>
                </w:rPr>
              </m:ctrlPr>
            </m:sSubPr>
            <m:e>
              <m:d>
                <m:dPr>
                  <m:ctrlPr>
                    <w:rPr>
                      <w:rFonts w:ascii="Cambria Math" w:hAnsi="Cambria Math"/>
                      <w:lang w:val="en-IN"/>
                    </w:rPr>
                  </m:ctrlPr>
                </m:dPr>
                <m:e>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peak</m:t>
                      </m:r>
                    </m:sub>
                  </m:sSub>
                </m:e>
              </m:d>
            </m:e>
            <m:sub>
              <m:r>
                <w:rPr>
                  <w:rFonts w:ascii="Cambria Math" w:hAnsi="Cambria Math"/>
                  <w:lang w:val="en-IN"/>
                </w:rPr>
                <m:t>max</m:t>
              </m:r>
            </m:sub>
          </m:sSub>
          <m:r>
            <w:rPr>
              <w:rFonts w:ascii="Cambria Math" w:hAnsi="Cambria Math"/>
              <w:lang w:val="en-IN"/>
            </w:rPr>
            <m:t>=</m:t>
          </m:r>
          <m:sSup>
            <m:sSupPr>
              <m:ctrlPr>
                <w:rPr>
                  <w:rFonts w:ascii="Cambria Math" w:hAnsi="Cambria Math"/>
                  <w:lang w:val="en-IN"/>
                </w:rPr>
              </m:ctrlPr>
            </m:sSupPr>
            <m:e>
              <m:r>
                <w:rPr>
                  <w:rFonts w:ascii="Cambria Math" w:hAnsi="Cambria Math"/>
                  <w:lang w:val="en-IN"/>
                </w:rPr>
                <m:t>e</m:t>
              </m:r>
            </m:e>
            <m:sup>
              <m:r>
                <w:rPr>
                  <w:rFonts w:ascii="Cambria Math" w:hAnsi="Cambria Math"/>
                  <w:lang w:val="en-IN"/>
                </w:rPr>
                <m:t>-1</m:t>
              </m:r>
            </m:sup>
          </m:sSup>
          <m:sSub>
            <m:sSubPr>
              <m:ctrlPr>
                <w:rPr>
                  <w:rFonts w:ascii="Cambria Math" w:hAnsi="Cambria Math"/>
                  <w:lang w:val="en-IN"/>
                </w:rPr>
              </m:ctrlPr>
            </m:sSubPr>
            <m:e>
              <m:r>
                <w:rPr>
                  <w:rFonts w:ascii="Cambria Math" w:hAnsi="Cambria Math"/>
                  <w:lang w:val="en-IN"/>
                </w:rPr>
                <m:t>I</m:t>
              </m:r>
            </m:e>
            <m:sub>
              <m:r>
                <w:rPr>
                  <w:rFonts w:ascii="Cambria Math" w:hAnsi="Cambria Math"/>
                  <w:lang w:val="en-IN"/>
                </w:rPr>
                <m:t>sat</m:t>
              </m:r>
            </m:sub>
          </m:sSub>
          <m:f>
            <m:fPr>
              <m:ctrlPr>
                <w:rPr>
                  <w:rFonts w:ascii="Cambria Math" w:hAnsi="Cambria Math"/>
                  <w:lang w:val="en-IN"/>
                </w:rPr>
              </m:ctrlPr>
            </m:fPr>
            <m:num>
              <m:sSub>
                <m:sSubPr>
                  <m:ctrlPr>
                    <w:rPr>
                      <w:rFonts w:ascii="Cambria Math" w:hAnsi="Cambria Math"/>
                      <w:lang w:val="en-IN"/>
                    </w:rPr>
                  </m:ctrlPr>
                </m:sSubPr>
                <m:e>
                  <m:r>
                    <w:rPr>
                      <w:rFonts w:ascii="Cambria Math" w:hAnsi="Cambria Math"/>
                      <w:lang w:val="en-IN"/>
                    </w:rPr>
                    <m:t>K</m:t>
                  </m:r>
                </m:e>
                <m:sub>
                  <m:r>
                    <w:rPr>
                      <w:rFonts w:ascii="Cambria Math" w:hAnsi="Cambria Math"/>
                      <w:lang w:val="en-IN"/>
                    </w:rPr>
                    <m:t>inv</m:t>
                  </m:r>
                </m:sub>
              </m:sSub>
            </m:num>
            <m:den>
              <m:sSubSup>
                <m:sSubSupPr>
                  <m:ctrlPr>
                    <w:rPr>
                      <w:rFonts w:ascii="Cambria Math" w:hAnsi="Cambria Math"/>
                      <w:lang w:val="en-IN"/>
                    </w:rPr>
                  </m:ctrlPr>
                </m:sSubSupPr>
                <m:e>
                  <m:d>
                    <m:dPr>
                      <m:ctrlPr>
                        <w:rPr>
                          <w:rFonts w:ascii="Cambria Math" w:hAnsi="Cambria Math"/>
                          <w:lang w:val="en-IN"/>
                        </w:rPr>
                      </m:ctrlPr>
                    </m:dPr>
                    <m:e>
                      <m:sSub>
                        <m:sSubPr>
                          <m:ctrlPr>
                            <w:rPr>
                              <w:rFonts w:ascii="Cambria Math" w:hAnsi="Cambria Math"/>
                              <w:lang w:val="en-IN"/>
                            </w:rPr>
                          </m:ctrlPr>
                        </m:sSubPr>
                        <m:e>
                          <m:r>
                            <w:rPr>
                              <w:rFonts w:ascii="Cambria Math" w:hAnsi="Cambria Math"/>
                              <w:lang w:val="en-IN"/>
                            </w:rPr>
                            <m:t>r</m:t>
                          </m:r>
                        </m:e>
                        <m:sub>
                          <m:r>
                            <w:rPr>
                              <w:rFonts w:ascii="Cambria Math" w:hAnsi="Cambria Math"/>
                              <w:lang w:val="en-IN"/>
                            </w:rPr>
                            <m:t>phys</m:t>
                          </m:r>
                        </m:sub>
                      </m:sSub>
                    </m:e>
                  </m:d>
                </m:e>
                <m:sub>
                  <m:r>
                    <w:rPr>
                      <w:rFonts w:ascii="Cambria Math" w:hAnsi="Cambria Math"/>
                      <w:lang w:val="en-IN"/>
                    </w:rPr>
                    <m:t>min</m:t>
                  </m:r>
                </m:sub>
                <m:sup>
                  <m:r>
                    <w:rPr>
                      <w:rFonts w:ascii="Cambria Math" w:hAnsi="Cambria Math"/>
                      <w:lang w:val="en-IN"/>
                    </w:rPr>
                    <m:t>2</m:t>
                  </m:r>
                </m:sup>
              </m:sSubSup>
            </m:den>
          </m:f>
          <m:r>
            <w:rPr>
              <w:rFonts w:ascii="Cambria Math" w:hAnsi="Cambria Math"/>
              <w:i/>
              <w:lang w:val="en-IN"/>
            </w:rPr>
            <m:t> </m:t>
          </m:r>
          <m:d>
            <m:dPr>
              <m:ctrlPr>
                <w:rPr>
                  <w:rFonts w:ascii="Cambria Math" w:hAnsi="Cambria Math"/>
                  <w:lang w:val="en-IN"/>
                </w:rPr>
              </m:ctrlPr>
            </m:dPr>
            <m:e>
              <m:r>
                <w:rPr>
                  <w:rFonts w:ascii="Cambria Math" w:hAnsi="Cambria Math"/>
                  <w:lang w:val="en-IN"/>
                </w:rPr>
                <m:t>S2</m:t>
              </m:r>
            </m:e>
          </m:d>
        </m:oMath>
      </m:oMathPara>
    </w:p>
    <w:p w14:paraId="1770872F" w14:textId="77777777" w:rsidR="00CB5396" w:rsidRPr="00CB5396" w:rsidRDefault="00CB5396" w:rsidP="00CB5396">
      <w:pPr>
        <w:jc w:val="both"/>
        <w:rPr>
          <w:rFonts w:ascii="Cambria" w:hAnsi="Cambria"/>
          <w:lang w:val="en-IN"/>
        </w:rPr>
      </w:pPr>
      <w:r w:rsidRPr="00CB5396">
        <w:rPr>
          <w:rFonts w:ascii="Cambria" w:hAnsi="Cambria"/>
          <w:lang w:val="en-IN"/>
        </w:rPr>
        <w:t xml:space="preserve">Substituting the validated system parameters, where the invariant is 2.93067688873 μm², the absolute minimum radius is 60.8 </w:t>
      </w:r>
      <w:proofErr w:type="spellStart"/>
      <w:r w:rsidRPr="00CB5396">
        <w:rPr>
          <w:rFonts w:ascii="Cambria" w:hAnsi="Cambria"/>
          <w:lang w:val="en-IN"/>
        </w:rPr>
        <w:t>μm</w:t>
      </w:r>
      <w:proofErr w:type="spellEnd"/>
      <w:r w:rsidRPr="00CB5396">
        <w:rPr>
          <w:rFonts w:ascii="Cambria" w:hAnsi="Cambria"/>
          <w:lang w:val="en-IN"/>
        </w:rPr>
        <w:t>, and the orientational saturation intensity is 10⁷ W/cm², evaluates the local power density ceiling as approximately 2.93 kW/cm².</w:t>
      </w:r>
    </w:p>
    <w:p w14:paraId="52FEE44C" w14:textId="77777777" w:rsidR="00CB5396" w:rsidRPr="00CB5396" w:rsidRDefault="00CB5396" w:rsidP="00CB5396">
      <w:pPr>
        <w:jc w:val="both"/>
        <w:rPr>
          <w:rFonts w:ascii="Cambria" w:hAnsi="Cambria"/>
          <w:lang w:val="en-IN"/>
        </w:rPr>
      </w:pPr>
    </w:p>
    <w:p w14:paraId="178929BA" w14:textId="77777777" w:rsidR="00CB5396" w:rsidRPr="00CB5396" w:rsidRDefault="00CB5396" w:rsidP="00CB5396">
      <w:pPr>
        <w:jc w:val="both"/>
        <w:rPr>
          <w:rFonts w:ascii="Cambria" w:hAnsi="Cambria"/>
          <w:lang w:val="en-IN"/>
        </w:rPr>
      </w:pPr>
      <w:r w:rsidRPr="00CB5396">
        <w:rPr>
          <w:rFonts w:ascii="Cambria" w:hAnsi="Cambria"/>
          <w:b/>
          <w:bCs/>
          <w:lang w:val="en-IN"/>
        </w:rPr>
        <w:t>References</w:t>
      </w:r>
    </w:p>
    <w:p w14:paraId="0412908D" w14:textId="77777777" w:rsidR="00CB5396" w:rsidRPr="00CB5396" w:rsidRDefault="00CB5396" w:rsidP="00CB5396">
      <w:pPr>
        <w:jc w:val="both"/>
        <w:rPr>
          <w:rFonts w:ascii="Cambria" w:hAnsi="Cambria"/>
          <w:lang w:val="en-IN"/>
        </w:rPr>
      </w:pPr>
    </w:p>
    <w:p w14:paraId="57402BBE" w14:textId="77777777" w:rsidR="00CB5396" w:rsidRPr="00CB5396" w:rsidRDefault="00CB5396" w:rsidP="00CB5396">
      <w:pPr>
        <w:jc w:val="both"/>
        <w:rPr>
          <w:rFonts w:ascii="Cambria" w:hAnsi="Cambria"/>
          <w:lang w:val="en-IN"/>
        </w:rPr>
      </w:pPr>
      <w:r w:rsidRPr="00CB5396">
        <w:rPr>
          <w:rFonts w:ascii="Cambria" w:hAnsi="Cambria"/>
          <w:lang w:val="en-IN"/>
        </w:rPr>
        <w:t xml:space="preserve">[1] Mohebi, M., Soileau, M.J., Van Stryland, E.W.: Nonlinear refractive index of CS2 at 10.6 µm. Opt. Lett. 13(9), 758-760 (1988). </w:t>
      </w:r>
      <w:hyperlink r:id="rId13" w:tgtFrame="_blank" w:history="1">
        <w:r w:rsidRPr="00CB5396">
          <w:rPr>
            <w:rStyle w:val="Hyperlink"/>
            <w:rFonts w:ascii="Cambria" w:hAnsi="Cambria"/>
            <w:lang w:val="en-IN"/>
          </w:rPr>
          <w:t>https://doi.org/10.1364/OL.13.000758</w:t>
        </w:r>
      </w:hyperlink>
    </w:p>
    <w:p w14:paraId="53DAEC8B" w14:textId="77777777" w:rsidR="00CB5396" w:rsidRPr="00CB5396" w:rsidRDefault="00CB5396" w:rsidP="00CB5396">
      <w:pPr>
        <w:jc w:val="both"/>
        <w:rPr>
          <w:rFonts w:ascii="Cambria" w:hAnsi="Cambria"/>
          <w:lang w:val="en-IN"/>
        </w:rPr>
      </w:pPr>
      <w:r w:rsidRPr="00CB5396">
        <w:rPr>
          <w:rFonts w:ascii="Cambria" w:hAnsi="Cambria"/>
          <w:lang w:val="en-IN"/>
        </w:rPr>
        <w:t xml:space="preserve">[2] Tikhonenko, V., Christou, J., Luther-Davies, B.: </w:t>
      </w:r>
      <w:proofErr w:type="spellStart"/>
      <w:r w:rsidRPr="00CB5396">
        <w:rPr>
          <w:rFonts w:ascii="Cambria" w:hAnsi="Cambria"/>
          <w:lang w:val="en-IN"/>
        </w:rPr>
        <w:t>Spiraling</w:t>
      </w:r>
      <w:proofErr w:type="spellEnd"/>
      <w:r w:rsidRPr="00CB5396">
        <w:rPr>
          <w:rFonts w:ascii="Cambria" w:hAnsi="Cambria"/>
          <w:lang w:val="en-IN"/>
        </w:rPr>
        <w:t xml:space="preserve"> bright spatial solitons formed by the breakup of an optical vortex beam in a saturable self-focusing medium. Phys. Rev. Lett. 76(15), 2698-2701 (1996). </w:t>
      </w:r>
      <w:hyperlink r:id="rId14" w:tgtFrame="_blank" w:history="1">
        <w:r w:rsidRPr="00CB5396">
          <w:rPr>
            <w:rStyle w:val="Hyperlink"/>
            <w:rFonts w:ascii="Cambria" w:hAnsi="Cambria"/>
            <w:lang w:val="en-IN"/>
          </w:rPr>
          <w:t>https://doi.org/10.1103/PhysRevLett.76.2698</w:t>
        </w:r>
      </w:hyperlink>
    </w:p>
    <w:p w14:paraId="7F0DBE02" w14:textId="10E04700" w:rsidR="00CB5396" w:rsidRPr="00CB5396" w:rsidRDefault="00CB5396" w:rsidP="00CB5396">
      <w:pPr>
        <w:jc w:val="both"/>
        <w:rPr>
          <w:rFonts w:ascii="Cambria" w:hAnsi="Cambria"/>
        </w:rPr>
      </w:pPr>
    </w:p>
    <w:sectPr w:rsidR="00CB5396" w:rsidRPr="00CB5396" w:rsidSect="0011499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8DBC6" w14:textId="77777777" w:rsidR="00C47420" w:rsidRDefault="00C47420" w:rsidP="00867B21">
      <w:pPr>
        <w:spacing w:after="0" w:line="240" w:lineRule="auto"/>
      </w:pPr>
      <w:r>
        <w:separator/>
      </w:r>
    </w:p>
  </w:endnote>
  <w:endnote w:type="continuationSeparator" w:id="0">
    <w:p w14:paraId="54359749" w14:textId="77777777" w:rsidR="00C47420" w:rsidRDefault="00C47420" w:rsidP="00867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931655"/>
      <w:docPartObj>
        <w:docPartGallery w:val="Page Numbers (Bottom of Page)"/>
        <w:docPartUnique/>
      </w:docPartObj>
    </w:sdtPr>
    <w:sdtEndPr>
      <w:rPr>
        <w:noProof/>
      </w:rPr>
    </w:sdtEndPr>
    <w:sdtContent>
      <w:p w14:paraId="55AF0316" w14:textId="0FF4745D" w:rsidR="00867B21" w:rsidRDefault="00867B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CF38E6" w14:textId="77777777" w:rsidR="00867B21" w:rsidRDefault="00867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1EE3" w14:textId="77777777" w:rsidR="00C47420" w:rsidRDefault="00C47420" w:rsidP="00867B21">
      <w:pPr>
        <w:spacing w:after="0" w:line="240" w:lineRule="auto"/>
      </w:pPr>
      <w:r>
        <w:separator/>
      </w:r>
    </w:p>
  </w:footnote>
  <w:footnote w:type="continuationSeparator" w:id="0">
    <w:p w14:paraId="17F4A23D" w14:textId="77777777" w:rsidR="00C47420" w:rsidRDefault="00C47420" w:rsidP="00867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13420"/>
    <w:multiLevelType w:val="multilevel"/>
    <w:tmpl w:val="DEC4A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3683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35"/>
    <w:rsid w:val="0011499B"/>
    <w:rsid w:val="0013220E"/>
    <w:rsid w:val="001836C2"/>
    <w:rsid w:val="001861AB"/>
    <w:rsid w:val="001B7570"/>
    <w:rsid w:val="002E793C"/>
    <w:rsid w:val="005E1246"/>
    <w:rsid w:val="0063053A"/>
    <w:rsid w:val="00662A08"/>
    <w:rsid w:val="007A68B9"/>
    <w:rsid w:val="008074B3"/>
    <w:rsid w:val="00867B21"/>
    <w:rsid w:val="00A345F4"/>
    <w:rsid w:val="00AD591C"/>
    <w:rsid w:val="00AF5AB2"/>
    <w:rsid w:val="00C47420"/>
    <w:rsid w:val="00CB5396"/>
    <w:rsid w:val="00CD4C2A"/>
    <w:rsid w:val="00DC64A3"/>
    <w:rsid w:val="00E3257B"/>
    <w:rsid w:val="00E65DB5"/>
    <w:rsid w:val="00E65E35"/>
    <w:rsid w:val="00EA4A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45E66"/>
  <w15:chartTrackingRefBased/>
  <w15:docId w15:val="{869C3C3A-0B45-4F7D-8E33-1236B0FF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E35"/>
    <w:rPr>
      <w:lang w:val="en-US"/>
    </w:rPr>
  </w:style>
  <w:style w:type="paragraph" w:styleId="Heading1">
    <w:name w:val="heading 1"/>
    <w:basedOn w:val="Normal"/>
    <w:next w:val="Normal"/>
    <w:link w:val="Heading1Char"/>
    <w:uiPriority w:val="9"/>
    <w:qFormat/>
    <w:rsid w:val="00E65E3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5E3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5E3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5E3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5E3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5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E35"/>
    <w:rPr>
      <w:rFonts w:asciiTheme="majorHAnsi" w:eastAsiaTheme="majorEastAsia" w:hAnsiTheme="majorHAnsi" w:cstheme="majorBidi"/>
      <w:color w:val="2E74B5" w:themeColor="accent1" w:themeShade="BF"/>
      <w:sz w:val="40"/>
      <w:szCs w:val="40"/>
      <w:lang w:val="en-US"/>
    </w:rPr>
  </w:style>
  <w:style w:type="character" w:customStyle="1" w:styleId="Heading2Char">
    <w:name w:val="Heading 2 Char"/>
    <w:basedOn w:val="DefaultParagraphFont"/>
    <w:link w:val="Heading2"/>
    <w:uiPriority w:val="9"/>
    <w:semiHidden/>
    <w:rsid w:val="00E65E35"/>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semiHidden/>
    <w:rsid w:val="00E65E35"/>
    <w:rPr>
      <w:rFonts w:eastAsiaTheme="majorEastAsia" w:cstheme="majorBidi"/>
      <w:color w:val="2E74B5" w:themeColor="accent1" w:themeShade="BF"/>
      <w:sz w:val="28"/>
      <w:szCs w:val="28"/>
      <w:lang w:val="en-US"/>
    </w:rPr>
  </w:style>
  <w:style w:type="character" w:customStyle="1" w:styleId="Heading4Char">
    <w:name w:val="Heading 4 Char"/>
    <w:basedOn w:val="DefaultParagraphFont"/>
    <w:link w:val="Heading4"/>
    <w:uiPriority w:val="9"/>
    <w:semiHidden/>
    <w:rsid w:val="00E65E35"/>
    <w:rPr>
      <w:rFonts w:eastAsiaTheme="majorEastAsia"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E65E35"/>
    <w:rPr>
      <w:rFonts w:eastAsiaTheme="majorEastAsia" w:cstheme="majorBidi"/>
      <w:color w:val="2E74B5" w:themeColor="accent1" w:themeShade="BF"/>
      <w:lang w:val="en-US"/>
    </w:rPr>
  </w:style>
  <w:style w:type="character" w:customStyle="1" w:styleId="Heading6Char">
    <w:name w:val="Heading 6 Char"/>
    <w:basedOn w:val="DefaultParagraphFont"/>
    <w:link w:val="Heading6"/>
    <w:uiPriority w:val="9"/>
    <w:semiHidden/>
    <w:rsid w:val="00E65E35"/>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65E35"/>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65E35"/>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65E35"/>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65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E35"/>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65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E35"/>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65E35"/>
    <w:pPr>
      <w:spacing w:before="160"/>
      <w:jc w:val="center"/>
    </w:pPr>
    <w:rPr>
      <w:i/>
      <w:iCs/>
      <w:color w:val="404040" w:themeColor="text1" w:themeTint="BF"/>
    </w:rPr>
  </w:style>
  <w:style w:type="character" w:customStyle="1" w:styleId="QuoteChar">
    <w:name w:val="Quote Char"/>
    <w:basedOn w:val="DefaultParagraphFont"/>
    <w:link w:val="Quote"/>
    <w:uiPriority w:val="29"/>
    <w:rsid w:val="00E65E35"/>
    <w:rPr>
      <w:i/>
      <w:iCs/>
      <w:color w:val="404040" w:themeColor="text1" w:themeTint="BF"/>
      <w:lang w:val="en-US"/>
    </w:rPr>
  </w:style>
  <w:style w:type="paragraph" w:styleId="ListParagraph">
    <w:name w:val="List Paragraph"/>
    <w:basedOn w:val="Normal"/>
    <w:uiPriority w:val="34"/>
    <w:qFormat/>
    <w:rsid w:val="00E65E35"/>
    <w:pPr>
      <w:ind w:left="720"/>
      <w:contextualSpacing/>
    </w:pPr>
  </w:style>
  <w:style w:type="character" w:styleId="IntenseEmphasis">
    <w:name w:val="Intense Emphasis"/>
    <w:basedOn w:val="DefaultParagraphFont"/>
    <w:uiPriority w:val="21"/>
    <w:qFormat/>
    <w:rsid w:val="00E65E35"/>
    <w:rPr>
      <w:i/>
      <w:iCs/>
      <w:color w:val="2E74B5" w:themeColor="accent1" w:themeShade="BF"/>
    </w:rPr>
  </w:style>
  <w:style w:type="paragraph" w:styleId="IntenseQuote">
    <w:name w:val="Intense Quote"/>
    <w:basedOn w:val="Normal"/>
    <w:next w:val="Normal"/>
    <w:link w:val="IntenseQuoteChar"/>
    <w:uiPriority w:val="30"/>
    <w:qFormat/>
    <w:rsid w:val="00E65E3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5E35"/>
    <w:rPr>
      <w:i/>
      <w:iCs/>
      <w:color w:val="2E74B5" w:themeColor="accent1" w:themeShade="BF"/>
      <w:lang w:val="en-US"/>
    </w:rPr>
  </w:style>
  <w:style w:type="character" w:styleId="IntenseReference">
    <w:name w:val="Intense Reference"/>
    <w:basedOn w:val="DefaultParagraphFont"/>
    <w:uiPriority w:val="32"/>
    <w:qFormat/>
    <w:rsid w:val="00E65E35"/>
    <w:rPr>
      <w:b/>
      <w:bCs/>
      <w:smallCaps/>
      <w:color w:val="2E74B5" w:themeColor="accent1" w:themeShade="BF"/>
      <w:spacing w:val="5"/>
    </w:rPr>
  </w:style>
  <w:style w:type="character" w:styleId="LineNumber">
    <w:name w:val="line number"/>
    <w:basedOn w:val="DefaultParagraphFont"/>
    <w:uiPriority w:val="99"/>
    <w:semiHidden/>
    <w:unhideWhenUsed/>
    <w:rsid w:val="00DC64A3"/>
  </w:style>
  <w:style w:type="character" w:styleId="Hyperlink">
    <w:name w:val="Hyperlink"/>
    <w:basedOn w:val="DefaultParagraphFont"/>
    <w:uiPriority w:val="99"/>
    <w:unhideWhenUsed/>
    <w:rsid w:val="00DC64A3"/>
    <w:rPr>
      <w:color w:val="0000FF"/>
      <w:u w:val="single"/>
    </w:rPr>
  </w:style>
  <w:style w:type="paragraph" w:styleId="Header">
    <w:name w:val="header"/>
    <w:basedOn w:val="Normal"/>
    <w:link w:val="HeaderChar"/>
    <w:uiPriority w:val="99"/>
    <w:unhideWhenUsed/>
    <w:rsid w:val="00867B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B21"/>
    <w:rPr>
      <w:lang w:val="en-US"/>
    </w:rPr>
  </w:style>
  <w:style w:type="paragraph" w:styleId="Footer">
    <w:name w:val="footer"/>
    <w:basedOn w:val="Normal"/>
    <w:link w:val="FooterChar"/>
    <w:uiPriority w:val="99"/>
    <w:unhideWhenUsed/>
    <w:rsid w:val="00867B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B21"/>
    <w:rPr>
      <w:lang w:val="en-US"/>
    </w:rPr>
  </w:style>
  <w:style w:type="character" w:styleId="UnresolvedMention">
    <w:name w:val="Unresolved Mention"/>
    <w:basedOn w:val="DefaultParagraphFont"/>
    <w:uiPriority w:val="99"/>
    <w:semiHidden/>
    <w:unhideWhenUsed/>
    <w:rsid w:val="00630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doi.org/10.1364/OL.13.00075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rcid.org/0000-0003-2071-996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303-193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ksarkar@bitmesra.ac.in" TargetMode="External"/><Relationship Id="rId4" Type="http://schemas.openxmlformats.org/officeDocument/2006/relationships/webSettings" Target="webSettings.xml"/><Relationship Id="rId9" Type="http://schemas.openxmlformats.org/officeDocument/2006/relationships/hyperlink" Target="mailto:skarmakar@bitmesra.ac.in" TargetMode="External"/><Relationship Id="rId14" Type="http://schemas.openxmlformats.org/officeDocument/2006/relationships/hyperlink" Target="https://doi.org/10.1103/PhysRevLett.76.26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Soumen Karmakar</dc:creator>
  <cp:keywords/>
  <dc:description/>
  <cp:lastModifiedBy>Dr. Soumen Karmakar</cp:lastModifiedBy>
  <cp:revision>6</cp:revision>
  <dcterms:created xsi:type="dcterms:W3CDTF">2026-08-07T12:18:00Z</dcterms:created>
  <dcterms:modified xsi:type="dcterms:W3CDTF">2026-08-07T19:18:00Z</dcterms:modified>
</cp:coreProperties>
</file>