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C56B0" w14:textId="77777777" w:rsidR="00D1432B" w:rsidRPr="002E2AF1" w:rsidRDefault="003860AC">
      <w:pPr>
        <w:rPr>
          <w:rFonts w:ascii="Arial" w:hAnsi="Arial" w:cs="Arial"/>
          <w:b/>
          <w:bCs/>
        </w:rPr>
      </w:pPr>
      <w:r w:rsidRPr="002E2AF1">
        <w:rPr>
          <w:rFonts w:ascii="Arial" w:hAnsi="Arial" w:cs="Arial"/>
          <w:b/>
          <w:bCs/>
          <w:color w:val="000000" w:themeColor="text1"/>
          <w:sz w:val="24"/>
        </w:rPr>
        <w:t xml:space="preserve">Targeting the USP14/Anillin Axis Enhances Radiosensitivity by Inactivating the </w:t>
      </w:r>
      <w:proofErr w:type="spellStart"/>
      <w:r w:rsidRPr="002E2AF1">
        <w:rPr>
          <w:rFonts w:ascii="Arial" w:hAnsi="Arial" w:cs="Arial"/>
          <w:b/>
          <w:bCs/>
          <w:color w:val="000000" w:themeColor="text1"/>
          <w:sz w:val="24"/>
        </w:rPr>
        <w:t>Wnt</w:t>
      </w:r>
      <w:proofErr w:type="spellEnd"/>
      <w:r w:rsidRPr="002E2AF1">
        <w:rPr>
          <w:rFonts w:ascii="Arial" w:hAnsi="Arial" w:cs="Arial"/>
          <w:b/>
          <w:bCs/>
          <w:color w:val="000000" w:themeColor="text1"/>
          <w:sz w:val="24"/>
        </w:rPr>
        <w:t xml:space="preserve">/β-Catenin Pathway in Esophageal Squamous </w:t>
      </w:r>
      <w:proofErr w:type="spellStart"/>
      <w:r w:rsidRPr="002E2AF1">
        <w:rPr>
          <w:rFonts w:ascii="Arial" w:hAnsi="Arial" w:cs="Arial"/>
          <w:b/>
          <w:bCs/>
          <w:color w:val="000000" w:themeColor="text1"/>
          <w:sz w:val="24"/>
        </w:rPr>
        <w:t>Carcinoma</w:t>
      </w:r>
      <w:r w:rsidR="00D1432B" w:rsidRPr="002E2AF1">
        <w:rPr>
          <w:rFonts w:ascii="Arial" w:hAnsi="Arial" w:cs="Arial"/>
          <w:b/>
          <w:bCs/>
        </w:rPr>
        <w:t>Supplementary</w:t>
      </w:r>
      <w:proofErr w:type="spellEnd"/>
      <w:r w:rsidR="00D1432B" w:rsidRPr="002E2AF1">
        <w:rPr>
          <w:rFonts w:ascii="Arial" w:hAnsi="Arial" w:cs="Arial"/>
          <w:b/>
          <w:bCs/>
        </w:rPr>
        <w:t xml:space="preserve"> Figures</w:t>
      </w:r>
    </w:p>
    <w:p w14:paraId="037660A1" w14:textId="77777777" w:rsidR="00FF2641" w:rsidRPr="002E2AF1" w:rsidRDefault="00E60457">
      <w:pPr>
        <w:rPr>
          <w:rFonts w:ascii="Arial" w:hAnsi="Arial" w:cs="Arial"/>
          <w:b/>
          <w:bCs/>
        </w:rPr>
      </w:pPr>
      <w:r w:rsidRPr="002E2AF1">
        <w:rPr>
          <w:rFonts w:ascii="Arial" w:hAnsi="Arial" w:cs="Arial"/>
          <w:b/>
          <w:bCs/>
          <w:noProof/>
        </w:rPr>
        <w:drawing>
          <wp:inline distT="0" distB="0" distL="0" distR="0" wp14:anchorId="717010FA" wp14:editId="7348417A">
            <wp:extent cx="5274310" cy="2000885"/>
            <wp:effectExtent l="0" t="0" r="2540" b="0"/>
            <wp:docPr id="14164834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83431" name="图片 14164834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000885"/>
                    </a:xfrm>
                    <a:prstGeom prst="rect">
                      <a:avLst/>
                    </a:prstGeom>
                  </pic:spPr>
                </pic:pic>
              </a:graphicData>
            </a:graphic>
          </wp:inline>
        </w:drawing>
      </w:r>
    </w:p>
    <w:p w14:paraId="6F65A6ED" w14:textId="77777777" w:rsidR="00E60457" w:rsidRPr="002E2AF1" w:rsidRDefault="00E60457">
      <w:pPr>
        <w:rPr>
          <w:rFonts w:ascii="Arial" w:hAnsi="Arial" w:cs="Arial"/>
        </w:rPr>
      </w:pPr>
      <w:r w:rsidRPr="002E2AF1">
        <w:rPr>
          <w:rFonts w:ascii="Arial" w:hAnsi="Arial" w:cs="Arial"/>
          <w:b/>
          <w:bCs/>
        </w:rPr>
        <w:t>Fig. S1.</w:t>
      </w:r>
      <w:r w:rsidR="004642E5" w:rsidRPr="002E2AF1">
        <w:rPr>
          <w:rFonts w:ascii="Arial" w:hAnsi="Arial" w:cs="Arial"/>
          <w:b/>
          <w:bCs/>
        </w:rPr>
        <w:t xml:space="preserve"> ANLN is highly expressed in most solid tumors and associated with poor prognosis.</w:t>
      </w:r>
      <w:r w:rsidR="004642E5" w:rsidRPr="002E2AF1">
        <w:rPr>
          <w:rFonts w:ascii="Arial" w:hAnsi="Arial" w:cs="Arial"/>
        </w:rPr>
        <w:t xml:space="preserve"> A) The mRNA expression of ANLN in tumor and normal tissue samples was examined by analyzing the TCGA database. BLCA: bladder urothelial carcinoma; BRCA: breast invasive carcinoma; CESC: cervical squamous cell carcinoma and endocervical adenocarcinoma; CHOL: cholangiocarcinoma; ESCA: esophageal carcinoma; LIHC: liver hepatocellular carcinoma; LUAD: lung adenocarcinoma; LUSC: lung squamous cell carcinoma; OV: ovarian serous cystadenocarcinoma; PAAD: pancreatic adenocarcinoma; STAD: stomach adenocarcinoma; THYM: thymoma; UC: uterine corpus endometrial carcinoma; UCS: uterine carcinosarcoma. Unpaired Wilcoxon Rank Sum and Signed Rank Tests were used, </w:t>
      </w:r>
      <w:r w:rsidR="00032688" w:rsidRPr="002E2AF1">
        <w:rPr>
          <w:rFonts w:ascii="Arial" w:hAnsi="Arial" w:cs="Arial"/>
        </w:rPr>
        <w:t>*p</w:t>
      </w:r>
      <w:r w:rsidR="004642E5" w:rsidRPr="002E2AF1">
        <w:rPr>
          <w:rFonts w:ascii="Arial" w:hAnsi="Arial" w:cs="Arial"/>
        </w:rPr>
        <w:t xml:space="preserve"> &lt; 0.05, **</w:t>
      </w:r>
      <w:r w:rsidR="00032688" w:rsidRPr="002E2AF1">
        <w:rPr>
          <w:rFonts w:ascii="Arial" w:hAnsi="Arial" w:cs="Arial"/>
        </w:rPr>
        <w:t>p</w:t>
      </w:r>
      <w:r w:rsidR="004642E5" w:rsidRPr="002E2AF1">
        <w:rPr>
          <w:rFonts w:ascii="Arial" w:hAnsi="Arial" w:cs="Arial"/>
        </w:rPr>
        <w:t xml:space="preserve"> &lt; 0.01, ***</w:t>
      </w:r>
      <w:r w:rsidR="00032688" w:rsidRPr="002E2AF1">
        <w:rPr>
          <w:rFonts w:ascii="Arial" w:hAnsi="Arial" w:cs="Arial"/>
        </w:rPr>
        <w:t>p</w:t>
      </w:r>
      <w:r w:rsidR="004642E5" w:rsidRPr="002E2AF1">
        <w:rPr>
          <w:rFonts w:ascii="Arial" w:hAnsi="Arial" w:cs="Arial"/>
        </w:rPr>
        <w:t>&lt; 0.001, and ****</w:t>
      </w:r>
      <w:r w:rsidR="00032688" w:rsidRPr="002E2AF1">
        <w:rPr>
          <w:rFonts w:ascii="Arial" w:hAnsi="Arial" w:cs="Arial"/>
        </w:rPr>
        <w:t>p</w:t>
      </w:r>
      <w:r w:rsidR="004642E5" w:rsidRPr="002E2AF1">
        <w:rPr>
          <w:rFonts w:ascii="Arial" w:hAnsi="Arial" w:cs="Arial"/>
        </w:rPr>
        <w:t xml:space="preserve"> &lt; 0.0001. B) Survival analysis of ANLN in the TCGA dataset.</w:t>
      </w:r>
    </w:p>
    <w:p w14:paraId="29C1B2E8" w14:textId="77777777" w:rsidR="003C04DC" w:rsidRPr="002E2AF1" w:rsidRDefault="003C04DC">
      <w:pPr>
        <w:rPr>
          <w:rFonts w:ascii="Arial" w:hAnsi="Arial" w:cs="Arial"/>
        </w:rPr>
      </w:pPr>
    </w:p>
    <w:p w14:paraId="06F93BD6" w14:textId="77777777" w:rsidR="003C04DC" w:rsidRPr="002E2AF1" w:rsidRDefault="003C04DC">
      <w:pPr>
        <w:rPr>
          <w:rFonts w:ascii="Arial" w:hAnsi="Arial" w:cs="Arial"/>
        </w:rPr>
      </w:pPr>
      <w:r w:rsidRPr="002E2AF1">
        <w:rPr>
          <w:rFonts w:ascii="Arial" w:hAnsi="Arial" w:cs="Arial"/>
          <w:noProof/>
        </w:rPr>
        <w:lastRenderedPageBreak/>
        <w:drawing>
          <wp:inline distT="0" distB="0" distL="0" distR="0" wp14:anchorId="3604CC7F" wp14:editId="7126029E">
            <wp:extent cx="5274310" cy="3904615"/>
            <wp:effectExtent l="0" t="0" r="2540" b="635"/>
            <wp:docPr id="17401640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64055" name="图片 17401640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04615"/>
                    </a:xfrm>
                    <a:prstGeom prst="rect">
                      <a:avLst/>
                    </a:prstGeom>
                  </pic:spPr>
                </pic:pic>
              </a:graphicData>
            </a:graphic>
          </wp:inline>
        </w:drawing>
      </w:r>
    </w:p>
    <w:p w14:paraId="22793425" w14:textId="77777777" w:rsidR="003C04DC" w:rsidRPr="002E2AF1" w:rsidRDefault="003C04DC" w:rsidP="00CB0390">
      <w:pPr>
        <w:rPr>
          <w:rFonts w:ascii="Arial" w:hAnsi="Arial" w:cs="Arial"/>
        </w:rPr>
      </w:pPr>
      <w:r w:rsidRPr="002E2AF1">
        <w:rPr>
          <w:rFonts w:ascii="Arial" w:hAnsi="Arial" w:cs="Arial"/>
          <w:b/>
          <w:bCs/>
        </w:rPr>
        <w:t xml:space="preserve">Fig. S2. </w:t>
      </w:r>
      <w:r w:rsidR="00CB0390" w:rsidRPr="002E2AF1">
        <w:rPr>
          <w:rFonts w:ascii="Arial" w:hAnsi="Arial" w:cs="Arial"/>
          <w:b/>
          <w:bCs/>
        </w:rPr>
        <w:t xml:space="preserve">Knockdown of ANLN inhibits the proliferation of ESCC cells. </w:t>
      </w:r>
      <w:r w:rsidR="00CB0390" w:rsidRPr="002E2AF1">
        <w:rPr>
          <w:rFonts w:ascii="Arial" w:hAnsi="Arial" w:cs="Arial"/>
        </w:rPr>
        <w:t>A) Western blot validation of ANLN expression in Kyse150 and Kyse410 cells transfected with small interfering RNA. B) Cell viability of ANLN</w:t>
      </w:r>
      <w:r w:rsidR="00CB0390" w:rsidRPr="002E2AF1">
        <w:rPr>
          <w:rFonts w:ascii="Cambria Math" w:hAnsi="Cambria Math" w:cs="Cambria Math"/>
        </w:rPr>
        <w:t>‑</w:t>
      </w:r>
      <w:r w:rsidR="00CB0390" w:rsidRPr="002E2AF1">
        <w:rPr>
          <w:rFonts w:ascii="Arial" w:hAnsi="Arial" w:cs="Arial"/>
        </w:rPr>
        <w:t>knockdown Kyse150 and Kyse410 cells at 48 h measured by CCK</w:t>
      </w:r>
      <w:r w:rsidR="00CB0390" w:rsidRPr="002E2AF1">
        <w:rPr>
          <w:rFonts w:ascii="Cambria Math" w:hAnsi="Cambria Math" w:cs="Cambria Math"/>
        </w:rPr>
        <w:t>‑</w:t>
      </w:r>
      <w:r w:rsidR="00CB0390" w:rsidRPr="002E2AF1">
        <w:rPr>
          <w:rFonts w:ascii="Arial" w:hAnsi="Arial" w:cs="Arial"/>
        </w:rPr>
        <w:t>8 assay. C, D) Colony formation assay was performed to assess the proliferative capacity of Kyse150 and Kyse410 cells following ANLN knockdown, and the number of colonies was quantified.</w:t>
      </w:r>
      <w:r w:rsidR="003018EC" w:rsidRPr="002E2AF1">
        <w:rPr>
          <w:rFonts w:ascii="Arial" w:hAnsi="Arial" w:cs="Arial"/>
          <w:color w:val="000000" w:themeColor="text1"/>
          <w:sz w:val="20"/>
          <w:szCs w:val="20"/>
          <w:shd w:val="clear" w:color="auto" w:fill="FFFFFF"/>
        </w:rPr>
        <w:t xml:space="preserve"> Mean (n = 3) ± SD. One</w:t>
      </w:r>
      <w:r w:rsidR="003018EC" w:rsidRPr="002E2AF1">
        <w:rPr>
          <w:rFonts w:ascii="Cambria Math" w:hAnsi="Cambria Math" w:cs="Cambria Math"/>
          <w:color w:val="000000" w:themeColor="text1"/>
          <w:sz w:val="20"/>
          <w:szCs w:val="20"/>
          <w:shd w:val="clear" w:color="auto" w:fill="FFFFFF"/>
        </w:rPr>
        <w:t>‑</w:t>
      </w:r>
      <w:r w:rsidR="003018EC" w:rsidRPr="002E2AF1">
        <w:rPr>
          <w:rFonts w:ascii="Arial" w:hAnsi="Arial" w:cs="Arial"/>
          <w:color w:val="000000" w:themeColor="text1"/>
          <w:sz w:val="20"/>
          <w:szCs w:val="20"/>
          <w:shd w:val="clear" w:color="auto" w:fill="FFFFFF"/>
        </w:rPr>
        <w:t>way ANOVA, ***p&lt;0.001, ****p &lt; 0.0001.</w:t>
      </w:r>
    </w:p>
    <w:p w14:paraId="1ED23A26" w14:textId="77777777" w:rsidR="00CB0390" w:rsidRPr="002E2AF1" w:rsidRDefault="00CB0390" w:rsidP="00CB0390">
      <w:pPr>
        <w:rPr>
          <w:rFonts w:ascii="Arial" w:hAnsi="Arial" w:cs="Arial"/>
        </w:rPr>
      </w:pPr>
    </w:p>
    <w:p w14:paraId="020D7AF5" w14:textId="77777777" w:rsidR="001226A5" w:rsidRPr="002E2AF1" w:rsidRDefault="001226A5" w:rsidP="00CB0390">
      <w:pPr>
        <w:rPr>
          <w:rFonts w:ascii="Arial" w:hAnsi="Arial" w:cs="Arial"/>
          <w:b/>
          <w:bCs/>
        </w:rPr>
      </w:pPr>
      <w:r w:rsidRPr="002E2AF1">
        <w:rPr>
          <w:rFonts w:ascii="Arial" w:hAnsi="Arial" w:cs="Arial"/>
          <w:b/>
          <w:bCs/>
          <w:noProof/>
        </w:rPr>
        <w:drawing>
          <wp:inline distT="0" distB="0" distL="0" distR="0" wp14:anchorId="5A3F6979" wp14:editId="4DBE2D62">
            <wp:extent cx="5274310" cy="2696845"/>
            <wp:effectExtent l="0" t="0" r="2540" b="8255"/>
            <wp:docPr id="14353222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22285" name="图片 14353222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696845"/>
                    </a:xfrm>
                    <a:prstGeom prst="rect">
                      <a:avLst/>
                    </a:prstGeom>
                  </pic:spPr>
                </pic:pic>
              </a:graphicData>
            </a:graphic>
          </wp:inline>
        </w:drawing>
      </w:r>
    </w:p>
    <w:p w14:paraId="5A32B07D" w14:textId="77777777" w:rsidR="001226A5" w:rsidRPr="002E2AF1" w:rsidRDefault="001226A5" w:rsidP="003018EC">
      <w:pPr>
        <w:rPr>
          <w:rFonts w:ascii="Arial" w:hAnsi="Arial" w:cs="Arial"/>
          <w:color w:val="000000" w:themeColor="text1"/>
          <w:sz w:val="20"/>
          <w:szCs w:val="20"/>
          <w:shd w:val="clear" w:color="auto" w:fill="FFFFFF"/>
        </w:rPr>
      </w:pPr>
      <w:r w:rsidRPr="002E2AF1">
        <w:rPr>
          <w:rFonts w:ascii="Arial" w:hAnsi="Arial" w:cs="Arial"/>
          <w:b/>
          <w:bCs/>
        </w:rPr>
        <w:lastRenderedPageBreak/>
        <w:t>Fig. S3.</w:t>
      </w:r>
      <w:r w:rsidR="003018EC" w:rsidRPr="002E2AF1">
        <w:rPr>
          <w:rFonts w:ascii="Arial" w:hAnsi="Arial" w:cs="Arial"/>
        </w:rPr>
        <w:t xml:space="preserve"> </w:t>
      </w:r>
      <w:r w:rsidR="003018EC" w:rsidRPr="002E2AF1">
        <w:rPr>
          <w:rFonts w:ascii="Arial" w:hAnsi="Arial" w:cs="Arial"/>
          <w:b/>
          <w:bCs/>
        </w:rPr>
        <w:t xml:space="preserve">Knockdown of ANLN combined with radiotherapy inhibits the in vitro metastasis of ESCC cells.  </w:t>
      </w:r>
      <w:r w:rsidR="003018EC" w:rsidRPr="002E2AF1">
        <w:rPr>
          <w:rFonts w:ascii="Arial" w:hAnsi="Arial" w:cs="Arial"/>
        </w:rPr>
        <w:t>A, B) Knockdown of ANLN combined with radiotherapy suppresses the migratory ability of Kyse150 and Kyse410 cells. C, D) Knockdown of ANLN combined with radiotherapy inhibits the invasive ability of Kyse150 and Kyse410 cells.</w:t>
      </w:r>
      <w:r w:rsidR="003018EC" w:rsidRPr="002E2AF1">
        <w:rPr>
          <w:rFonts w:ascii="Arial" w:hAnsi="Arial" w:cs="Arial"/>
          <w:color w:val="000000" w:themeColor="text1"/>
          <w:sz w:val="20"/>
          <w:szCs w:val="20"/>
          <w:shd w:val="clear" w:color="auto" w:fill="FFFFFF"/>
        </w:rPr>
        <w:t xml:space="preserve"> Mean (n = 5) ± SD. One</w:t>
      </w:r>
      <w:r w:rsidR="003018EC" w:rsidRPr="002E2AF1">
        <w:rPr>
          <w:rFonts w:ascii="Cambria Math" w:hAnsi="Cambria Math" w:cs="Cambria Math"/>
          <w:color w:val="000000" w:themeColor="text1"/>
          <w:sz w:val="20"/>
          <w:szCs w:val="20"/>
          <w:shd w:val="clear" w:color="auto" w:fill="FFFFFF"/>
        </w:rPr>
        <w:t>‑</w:t>
      </w:r>
      <w:r w:rsidR="003018EC" w:rsidRPr="002E2AF1">
        <w:rPr>
          <w:rFonts w:ascii="Arial" w:hAnsi="Arial" w:cs="Arial"/>
          <w:color w:val="000000" w:themeColor="text1"/>
          <w:sz w:val="20"/>
          <w:szCs w:val="20"/>
          <w:shd w:val="clear" w:color="auto" w:fill="FFFFFF"/>
        </w:rPr>
        <w:t>way ANOVA, ****p &lt; 0.0001.</w:t>
      </w:r>
    </w:p>
    <w:p w14:paraId="65A9A10C" w14:textId="77777777" w:rsidR="003018EC" w:rsidRPr="002E2AF1" w:rsidRDefault="003018EC" w:rsidP="003018EC">
      <w:pPr>
        <w:rPr>
          <w:rFonts w:ascii="Arial" w:hAnsi="Arial" w:cs="Arial"/>
          <w:color w:val="000000" w:themeColor="text1"/>
          <w:sz w:val="20"/>
          <w:szCs w:val="20"/>
          <w:shd w:val="clear" w:color="auto" w:fill="FFFFFF"/>
        </w:rPr>
      </w:pPr>
    </w:p>
    <w:p w14:paraId="379440F2" w14:textId="77777777" w:rsidR="003018EC" w:rsidRPr="002E2AF1" w:rsidRDefault="003E269B" w:rsidP="003018EC">
      <w:pPr>
        <w:rPr>
          <w:rFonts w:ascii="Arial" w:hAnsi="Arial" w:cs="Arial"/>
          <w:b/>
          <w:bCs/>
        </w:rPr>
      </w:pPr>
      <w:r w:rsidRPr="002E2AF1">
        <w:rPr>
          <w:rFonts w:ascii="Arial" w:hAnsi="Arial" w:cs="Arial"/>
          <w:b/>
          <w:bCs/>
          <w:noProof/>
        </w:rPr>
        <w:drawing>
          <wp:inline distT="0" distB="0" distL="0" distR="0" wp14:anchorId="13DFEE0F" wp14:editId="10BC66AE">
            <wp:extent cx="5274310" cy="3329940"/>
            <wp:effectExtent l="0" t="0" r="2540" b="3810"/>
            <wp:docPr id="11197202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20246" name="图片 11197202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29940"/>
                    </a:xfrm>
                    <a:prstGeom prst="rect">
                      <a:avLst/>
                    </a:prstGeom>
                  </pic:spPr>
                </pic:pic>
              </a:graphicData>
            </a:graphic>
          </wp:inline>
        </w:drawing>
      </w:r>
    </w:p>
    <w:p w14:paraId="4D8C59DB" w14:textId="77777777" w:rsidR="00032688" w:rsidRPr="002E2AF1" w:rsidRDefault="003E269B" w:rsidP="00032688">
      <w:pPr>
        <w:rPr>
          <w:rFonts w:ascii="Arial" w:hAnsi="Arial" w:cs="Arial"/>
          <w:b/>
          <w:bCs/>
        </w:rPr>
      </w:pPr>
      <w:r w:rsidRPr="002E2AF1">
        <w:rPr>
          <w:rFonts w:ascii="Arial" w:hAnsi="Arial" w:cs="Arial"/>
          <w:b/>
          <w:bCs/>
        </w:rPr>
        <w:t xml:space="preserve">Fig. S4 </w:t>
      </w:r>
      <w:r w:rsidR="00032688" w:rsidRPr="002E2AF1">
        <w:rPr>
          <w:rFonts w:ascii="Arial" w:hAnsi="Arial" w:cs="Arial"/>
          <w:b/>
          <w:bCs/>
        </w:rPr>
        <w:t xml:space="preserve">ANLN recruits USP14.  </w:t>
      </w:r>
    </w:p>
    <w:p w14:paraId="1C600D83" w14:textId="77777777" w:rsidR="003E269B" w:rsidRPr="002E2AF1" w:rsidRDefault="00032688" w:rsidP="00032688">
      <w:pPr>
        <w:rPr>
          <w:rFonts w:ascii="Arial" w:hAnsi="Arial" w:cs="Arial"/>
        </w:rPr>
      </w:pPr>
      <w:r w:rsidRPr="002E2AF1">
        <w:rPr>
          <w:rFonts w:ascii="Arial" w:hAnsi="Arial" w:cs="Arial"/>
        </w:rPr>
        <w:t>A) Co</w:t>
      </w:r>
      <w:r w:rsidRPr="002E2AF1">
        <w:rPr>
          <w:rFonts w:ascii="Cambria Math" w:hAnsi="Cambria Math" w:cs="Cambria Math"/>
        </w:rPr>
        <w:t>‑</w:t>
      </w:r>
      <w:r w:rsidRPr="002E2AF1">
        <w:rPr>
          <w:rFonts w:ascii="Arial" w:hAnsi="Arial" w:cs="Arial"/>
        </w:rPr>
        <w:t>immunoprecipitation followed by SDS</w:t>
      </w:r>
      <w:r w:rsidRPr="002E2AF1">
        <w:rPr>
          <w:rFonts w:ascii="Cambria Math" w:hAnsi="Cambria Math" w:cs="Cambria Math"/>
        </w:rPr>
        <w:t>‑</w:t>
      </w:r>
      <w:r w:rsidRPr="002E2AF1">
        <w:rPr>
          <w:rFonts w:ascii="Arial" w:hAnsi="Arial" w:cs="Arial"/>
        </w:rPr>
        <w:t xml:space="preserve">PAGE and silver staining of proteins was performed in irradiated Kyse150 cells. B) Mass spectrometry results identified USP14 as a potential binding partner of ANLN. C) After lentiviral overexpression of ANLN, the expression level of USP14 was detected by western blot, and protein expression was quantified. </w:t>
      </w:r>
      <w:r w:rsidRPr="002E2AF1">
        <w:rPr>
          <w:rFonts w:ascii="Arial" w:hAnsi="Arial" w:cs="Arial"/>
          <w:color w:val="000000" w:themeColor="text1"/>
          <w:sz w:val="20"/>
          <w:szCs w:val="20"/>
          <w:shd w:val="clear" w:color="auto" w:fill="FFFFFF"/>
        </w:rPr>
        <w:t>Mean (n = 2) ± SD. One</w:t>
      </w:r>
      <w:r w:rsidRPr="002E2AF1">
        <w:rPr>
          <w:rFonts w:ascii="Cambria Math" w:hAnsi="Cambria Math" w:cs="Cambria Math"/>
          <w:color w:val="000000" w:themeColor="text1"/>
          <w:sz w:val="20"/>
          <w:szCs w:val="20"/>
          <w:shd w:val="clear" w:color="auto" w:fill="FFFFFF"/>
        </w:rPr>
        <w:t>‑</w:t>
      </w:r>
      <w:r w:rsidRPr="002E2AF1">
        <w:rPr>
          <w:rFonts w:ascii="Arial" w:hAnsi="Arial" w:cs="Arial"/>
          <w:color w:val="000000" w:themeColor="text1"/>
          <w:sz w:val="20"/>
          <w:szCs w:val="20"/>
          <w:shd w:val="clear" w:color="auto" w:fill="FFFFFF"/>
        </w:rPr>
        <w:t>way ANOVA, **p&lt;0.01, ****p &lt; 0.0001.</w:t>
      </w:r>
      <w:r w:rsidRPr="002E2AF1">
        <w:rPr>
          <w:rFonts w:ascii="Arial" w:hAnsi="Arial" w:cs="Arial"/>
        </w:rPr>
        <w:t xml:space="preserve"> D) Molecular docking was performed between ANLN and USP14.</w:t>
      </w:r>
    </w:p>
    <w:p w14:paraId="2BF32419" w14:textId="77777777" w:rsidR="00032688" w:rsidRPr="002E2AF1" w:rsidRDefault="00032688" w:rsidP="00032688">
      <w:pPr>
        <w:rPr>
          <w:rFonts w:ascii="Arial" w:hAnsi="Arial" w:cs="Arial"/>
        </w:rPr>
      </w:pPr>
    </w:p>
    <w:p w14:paraId="29BC8DD4" w14:textId="77777777" w:rsidR="000666BE" w:rsidRPr="002E2AF1" w:rsidRDefault="000666BE">
      <w:pPr>
        <w:rPr>
          <w:rFonts w:ascii="Arial" w:hAnsi="Arial" w:cs="Arial"/>
          <w:b/>
          <w:bCs/>
        </w:rPr>
      </w:pPr>
      <w:r w:rsidRPr="002E2AF1">
        <w:rPr>
          <w:rFonts w:ascii="Arial" w:hAnsi="Arial" w:cs="Arial"/>
          <w:b/>
          <w:bCs/>
        </w:rPr>
        <w:t>Table S2. Mass spectrometry analysis of ANLN-associated proteins.</w:t>
      </w:r>
    </w:p>
    <w:tbl>
      <w:tblPr>
        <w:tblStyle w:val="ae"/>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1470"/>
        <w:gridCol w:w="1545"/>
        <w:gridCol w:w="1244"/>
        <w:gridCol w:w="2510"/>
      </w:tblGrid>
      <w:tr w:rsidR="00F30D71" w:rsidRPr="002E2AF1" w14:paraId="6BB82B31" w14:textId="77777777" w:rsidTr="000666BE">
        <w:trPr>
          <w:trHeight w:val="290"/>
          <w:jc w:val="center"/>
        </w:trPr>
        <w:tc>
          <w:tcPr>
            <w:tcW w:w="925" w:type="pct"/>
            <w:noWrap/>
            <w:hideMark/>
          </w:tcPr>
          <w:p w14:paraId="4199C114" w14:textId="77777777" w:rsidR="00F30D71" w:rsidRPr="002E2AF1" w:rsidRDefault="00F30D71" w:rsidP="003A08B5">
            <w:pPr>
              <w:jc w:val="center"/>
              <w:rPr>
                <w:rFonts w:ascii="Arial" w:hAnsi="Arial" w:cs="Arial"/>
                <w:b/>
                <w:bCs/>
              </w:rPr>
            </w:pPr>
            <w:r w:rsidRPr="002E2AF1">
              <w:rPr>
                <w:rFonts w:ascii="Arial" w:hAnsi="Arial" w:cs="Arial"/>
                <w:b/>
                <w:bCs/>
              </w:rPr>
              <w:t>Accession</w:t>
            </w:r>
          </w:p>
        </w:tc>
        <w:tc>
          <w:tcPr>
            <w:tcW w:w="885" w:type="pct"/>
            <w:noWrap/>
            <w:hideMark/>
          </w:tcPr>
          <w:p w14:paraId="4290E58C" w14:textId="77777777" w:rsidR="00F30D71" w:rsidRPr="002E2AF1" w:rsidRDefault="00F30D71" w:rsidP="003A08B5">
            <w:pPr>
              <w:jc w:val="center"/>
              <w:rPr>
                <w:rFonts w:ascii="Arial" w:hAnsi="Arial" w:cs="Arial"/>
                <w:b/>
                <w:bCs/>
              </w:rPr>
            </w:pPr>
            <w:r w:rsidRPr="002E2AF1">
              <w:rPr>
                <w:rFonts w:ascii="Arial" w:hAnsi="Arial" w:cs="Arial"/>
                <w:b/>
                <w:bCs/>
              </w:rPr>
              <w:t>Gene</w:t>
            </w:r>
          </w:p>
        </w:tc>
        <w:tc>
          <w:tcPr>
            <w:tcW w:w="930" w:type="pct"/>
            <w:noWrap/>
            <w:hideMark/>
          </w:tcPr>
          <w:p w14:paraId="4BC2F810" w14:textId="77777777" w:rsidR="00F30D71" w:rsidRPr="002E2AF1" w:rsidRDefault="00F30D71" w:rsidP="003A08B5">
            <w:pPr>
              <w:jc w:val="center"/>
              <w:rPr>
                <w:rFonts w:ascii="Arial" w:hAnsi="Arial" w:cs="Arial"/>
                <w:b/>
                <w:bCs/>
              </w:rPr>
            </w:pPr>
            <w:r w:rsidRPr="002E2AF1">
              <w:rPr>
                <w:rFonts w:ascii="Arial" w:hAnsi="Arial" w:cs="Arial"/>
                <w:b/>
                <w:bCs/>
              </w:rPr>
              <w:t># Peptides</w:t>
            </w:r>
          </w:p>
        </w:tc>
        <w:tc>
          <w:tcPr>
            <w:tcW w:w="749" w:type="pct"/>
            <w:noWrap/>
            <w:hideMark/>
          </w:tcPr>
          <w:p w14:paraId="11B34D3D" w14:textId="77777777" w:rsidR="00F30D71" w:rsidRPr="002E2AF1" w:rsidRDefault="00F30D71" w:rsidP="003A08B5">
            <w:pPr>
              <w:jc w:val="center"/>
              <w:rPr>
                <w:rFonts w:ascii="Arial" w:hAnsi="Arial" w:cs="Arial"/>
                <w:b/>
                <w:bCs/>
              </w:rPr>
            </w:pPr>
            <w:r w:rsidRPr="002E2AF1">
              <w:rPr>
                <w:rFonts w:ascii="Arial" w:hAnsi="Arial" w:cs="Arial"/>
                <w:b/>
                <w:bCs/>
              </w:rPr>
              <w:t># PSMs</w:t>
            </w:r>
          </w:p>
        </w:tc>
        <w:tc>
          <w:tcPr>
            <w:tcW w:w="1511" w:type="pct"/>
            <w:noWrap/>
            <w:hideMark/>
          </w:tcPr>
          <w:p w14:paraId="26A6E551" w14:textId="77777777" w:rsidR="00F30D71" w:rsidRPr="002E2AF1" w:rsidRDefault="00F30D71" w:rsidP="003A08B5">
            <w:pPr>
              <w:jc w:val="center"/>
              <w:rPr>
                <w:rFonts w:ascii="Arial" w:hAnsi="Arial" w:cs="Arial"/>
                <w:b/>
                <w:bCs/>
              </w:rPr>
            </w:pPr>
            <w:r w:rsidRPr="002E2AF1">
              <w:rPr>
                <w:rFonts w:ascii="Arial" w:hAnsi="Arial" w:cs="Arial"/>
                <w:b/>
                <w:bCs/>
              </w:rPr>
              <w:t># Unique</w:t>
            </w:r>
            <w:r w:rsidR="003A08B5" w:rsidRPr="002E2AF1">
              <w:rPr>
                <w:rFonts w:ascii="Arial" w:hAnsi="Arial" w:cs="Arial"/>
                <w:b/>
                <w:bCs/>
              </w:rPr>
              <w:t xml:space="preserve"> </w:t>
            </w:r>
            <w:r w:rsidRPr="002E2AF1">
              <w:rPr>
                <w:rFonts w:ascii="Arial" w:hAnsi="Arial" w:cs="Arial"/>
                <w:b/>
                <w:bCs/>
              </w:rPr>
              <w:t>Peptides</w:t>
            </w:r>
          </w:p>
        </w:tc>
      </w:tr>
      <w:tr w:rsidR="00F30D71" w:rsidRPr="002E2AF1" w14:paraId="6008DDEC" w14:textId="77777777" w:rsidTr="000666BE">
        <w:trPr>
          <w:trHeight w:val="290"/>
          <w:jc w:val="center"/>
        </w:trPr>
        <w:tc>
          <w:tcPr>
            <w:tcW w:w="925" w:type="pct"/>
            <w:noWrap/>
            <w:hideMark/>
          </w:tcPr>
          <w:p w14:paraId="135DDDAE"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P35222</w:t>
            </w:r>
          </w:p>
        </w:tc>
        <w:tc>
          <w:tcPr>
            <w:tcW w:w="885" w:type="pct"/>
            <w:noWrap/>
            <w:hideMark/>
          </w:tcPr>
          <w:p w14:paraId="130E1ED3"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CTNNB1</w:t>
            </w:r>
          </w:p>
        </w:tc>
        <w:tc>
          <w:tcPr>
            <w:tcW w:w="930" w:type="pct"/>
            <w:noWrap/>
            <w:hideMark/>
          </w:tcPr>
          <w:p w14:paraId="1FC14A7D"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19</w:t>
            </w:r>
          </w:p>
        </w:tc>
        <w:tc>
          <w:tcPr>
            <w:tcW w:w="749" w:type="pct"/>
            <w:noWrap/>
            <w:hideMark/>
          </w:tcPr>
          <w:p w14:paraId="55535BF9"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22</w:t>
            </w:r>
          </w:p>
        </w:tc>
        <w:tc>
          <w:tcPr>
            <w:tcW w:w="1511" w:type="pct"/>
            <w:noWrap/>
            <w:hideMark/>
          </w:tcPr>
          <w:p w14:paraId="79FC52FE"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16</w:t>
            </w:r>
          </w:p>
        </w:tc>
      </w:tr>
      <w:tr w:rsidR="00F30D71" w:rsidRPr="002E2AF1" w14:paraId="4BFF91EF" w14:textId="77777777" w:rsidTr="000666BE">
        <w:trPr>
          <w:trHeight w:val="290"/>
          <w:jc w:val="center"/>
        </w:trPr>
        <w:tc>
          <w:tcPr>
            <w:tcW w:w="925" w:type="pct"/>
            <w:noWrap/>
            <w:hideMark/>
          </w:tcPr>
          <w:p w14:paraId="4F36861E"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P54578</w:t>
            </w:r>
          </w:p>
        </w:tc>
        <w:tc>
          <w:tcPr>
            <w:tcW w:w="885" w:type="pct"/>
            <w:noWrap/>
            <w:hideMark/>
          </w:tcPr>
          <w:p w14:paraId="79C40F80"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USP14</w:t>
            </w:r>
          </w:p>
        </w:tc>
        <w:tc>
          <w:tcPr>
            <w:tcW w:w="930" w:type="pct"/>
            <w:noWrap/>
            <w:hideMark/>
          </w:tcPr>
          <w:p w14:paraId="7193A333"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15</w:t>
            </w:r>
          </w:p>
        </w:tc>
        <w:tc>
          <w:tcPr>
            <w:tcW w:w="749" w:type="pct"/>
            <w:noWrap/>
            <w:hideMark/>
          </w:tcPr>
          <w:p w14:paraId="47E8C58D"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18</w:t>
            </w:r>
          </w:p>
        </w:tc>
        <w:tc>
          <w:tcPr>
            <w:tcW w:w="1511" w:type="pct"/>
            <w:noWrap/>
            <w:hideMark/>
          </w:tcPr>
          <w:p w14:paraId="47EF8CF6" w14:textId="77777777" w:rsidR="00F30D71" w:rsidRPr="002E2AF1" w:rsidRDefault="00F30D71" w:rsidP="003A08B5">
            <w:pPr>
              <w:widowControl/>
              <w:jc w:val="center"/>
              <w:rPr>
                <w:rFonts w:ascii="Arial" w:eastAsia="宋体" w:hAnsi="Arial" w:cs="Arial"/>
                <w:color w:val="000000"/>
                <w:kern w:val="0"/>
                <w:szCs w:val="22"/>
                <w14:ligatures w14:val="none"/>
              </w:rPr>
            </w:pPr>
            <w:r w:rsidRPr="002E2AF1">
              <w:rPr>
                <w:rFonts w:ascii="Arial" w:eastAsia="宋体" w:hAnsi="Arial" w:cs="Arial"/>
                <w:color w:val="000000"/>
                <w:kern w:val="0"/>
                <w:szCs w:val="22"/>
                <w14:ligatures w14:val="none"/>
              </w:rPr>
              <w:t>15</w:t>
            </w:r>
          </w:p>
        </w:tc>
      </w:tr>
    </w:tbl>
    <w:p w14:paraId="268E4C20" w14:textId="77777777" w:rsidR="007C2232" w:rsidRPr="002E2AF1" w:rsidRDefault="007C2232">
      <w:pPr>
        <w:rPr>
          <w:rFonts w:ascii="Arial" w:hAnsi="Arial" w:cs="Arial"/>
        </w:rPr>
      </w:pPr>
    </w:p>
    <w:p w14:paraId="3C0B3A59" w14:textId="77777777" w:rsidR="007C2232" w:rsidRPr="002E2AF1" w:rsidRDefault="007C2232">
      <w:pPr>
        <w:rPr>
          <w:rFonts w:ascii="Arial" w:hAnsi="Arial" w:cs="Arial"/>
          <w:b/>
          <w:bCs/>
        </w:rPr>
      </w:pPr>
      <w:r w:rsidRPr="002E2AF1">
        <w:rPr>
          <w:rFonts w:ascii="Arial" w:hAnsi="Arial" w:cs="Arial"/>
          <w:b/>
          <w:bCs/>
        </w:rPr>
        <w:t>Table S3. Sequences of siRNA/shRNA for KD.</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59"/>
        <w:gridCol w:w="5947"/>
      </w:tblGrid>
      <w:tr w:rsidR="00442970" w:rsidRPr="002E2AF1" w14:paraId="1D4DB7AA" w14:textId="77777777" w:rsidTr="00442970">
        <w:trPr>
          <w:trHeight w:val="280"/>
        </w:trPr>
        <w:tc>
          <w:tcPr>
            <w:tcW w:w="1420" w:type="pct"/>
            <w:noWrap/>
            <w:hideMark/>
          </w:tcPr>
          <w:p w14:paraId="15CA3031" w14:textId="77777777" w:rsidR="00442970" w:rsidRPr="002E2AF1" w:rsidRDefault="00442970" w:rsidP="00442970">
            <w:pPr>
              <w:widowControl/>
              <w:jc w:val="center"/>
              <w:rPr>
                <w:rFonts w:ascii="Arial" w:eastAsia="等线" w:hAnsi="Arial" w:cs="Arial"/>
                <w:b/>
                <w:bCs/>
                <w:color w:val="000000"/>
                <w:kern w:val="0"/>
                <w:szCs w:val="22"/>
                <w14:ligatures w14:val="none"/>
              </w:rPr>
            </w:pPr>
            <w:r w:rsidRPr="002E2AF1">
              <w:rPr>
                <w:rFonts w:ascii="Arial" w:eastAsia="等线" w:hAnsi="Arial" w:cs="Arial"/>
                <w:b/>
                <w:bCs/>
                <w:color w:val="000000"/>
                <w:kern w:val="0"/>
                <w:szCs w:val="22"/>
                <w14:ligatures w14:val="none"/>
              </w:rPr>
              <w:lastRenderedPageBreak/>
              <w:t>Name</w:t>
            </w:r>
          </w:p>
        </w:tc>
        <w:tc>
          <w:tcPr>
            <w:tcW w:w="3580" w:type="pct"/>
            <w:noWrap/>
            <w:hideMark/>
          </w:tcPr>
          <w:p w14:paraId="08A782B3" w14:textId="77777777" w:rsidR="00442970" w:rsidRPr="002E2AF1" w:rsidRDefault="00442970" w:rsidP="00442970">
            <w:pPr>
              <w:widowControl/>
              <w:jc w:val="center"/>
              <w:rPr>
                <w:rFonts w:ascii="Arial" w:eastAsia="等线" w:hAnsi="Arial" w:cs="Arial"/>
                <w:b/>
                <w:bCs/>
                <w:color w:val="000000"/>
                <w:kern w:val="0"/>
                <w:szCs w:val="22"/>
                <w14:ligatures w14:val="none"/>
              </w:rPr>
            </w:pPr>
            <w:r w:rsidRPr="002E2AF1">
              <w:rPr>
                <w:rFonts w:ascii="Arial" w:eastAsia="等线" w:hAnsi="Arial" w:cs="Arial"/>
                <w:b/>
                <w:bCs/>
                <w:color w:val="000000"/>
                <w:kern w:val="0"/>
                <w:szCs w:val="22"/>
                <w14:ligatures w14:val="none"/>
              </w:rPr>
              <w:t>Sense Sequences (5'-3')</w:t>
            </w:r>
          </w:p>
        </w:tc>
      </w:tr>
      <w:tr w:rsidR="00442970" w:rsidRPr="002E2AF1" w14:paraId="583CCE31" w14:textId="77777777" w:rsidTr="00442970">
        <w:trPr>
          <w:trHeight w:val="280"/>
        </w:trPr>
        <w:tc>
          <w:tcPr>
            <w:tcW w:w="1420" w:type="pct"/>
            <w:noWrap/>
            <w:hideMark/>
          </w:tcPr>
          <w:p w14:paraId="498BB5CC" w14:textId="77777777" w:rsidR="00442970" w:rsidRPr="002E2AF1" w:rsidRDefault="00442970"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siANLN</w:t>
            </w:r>
            <w:proofErr w:type="spellEnd"/>
            <w:r w:rsidRPr="002E2AF1">
              <w:rPr>
                <w:rFonts w:ascii="Arial" w:eastAsia="等线" w:hAnsi="Arial" w:cs="Arial"/>
                <w:color w:val="000000"/>
                <w:kern w:val="0"/>
                <w:szCs w:val="22"/>
                <w14:ligatures w14:val="none"/>
              </w:rPr>
              <w:t xml:space="preserve"> #1</w:t>
            </w:r>
          </w:p>
        </w:tc>
        <w:tc>
          <w:tcPr>
            <w:tcW w:w="3580" w:type="pct"/>
            <w:noWrap/>
            <w:hideMark/>
          </w:tcPr>
          <w:p w14:paraId="0FCA2010"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GCUACAUUCUGUUCCCAAATT</w:t>
            </w:r>
          </w:p>
        </w:tc>
      </w:tr>
      <w:tr w:rsidR="00442970" w:rsidRPr="002E2AF1" w14:paraId="4848129E" w14:textId="77777777" w:rsidTr="00442970">
        <w:trPr>
          <w:trHeight w:val="280"/>
        </w:trPr>
        <w:tc>
          <w:tcPr>
            <w:tcW w:w="1420" w:type="pct"/>
            <w:noWrap/>
            <w:hideMark/>
          </w:tcPr>
          <w:p w14:paraId="2FBF1979" w14:textId="77777777" w:rsidR="00442970" w:rsidRPr="002E2AF1" w:rsidRDefault="00442970"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siANLN</w:t>
            </w:r>
            <w:proofErr w:type="spellEnd"/>
            <w:r w:rsidRPr="002E2AF1">
              <w:rPr>
                <w:rFonts w:ascii="Arial" w:eastAsia="等线" w:hAnsi="Arial" w:cs="Arial"/>
                <w:color w:val="000000"/>
                <w:kern w:val="0"/>
                <w:szCs w:val="22"/>
                <w14:ligatures w14:val="none"/>
              </w:rPr>
              <w:t xml:space="preserve"> #2</w:t>
            </w:r>
          </w:p>
        </w:tc>
        <w:tc>
          <w:tcPr>
            <w:tcW w:w="3580" w:type="pct"/>
            <w:noWrap/>
            <w:hideMark/>
          </w:tcPr>
          <w:p w14:paraId="51411178"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CCAGACCUCUGCUUUCAAATT</w:t>
            </w:r>
          </w:p>
        </w:tc>
      </w:tr>
      <w:tr w:rsidR="00442970" w:rsidRPr="002E2AF1" w14:paraId="7F5CAB90" w14:textId="77777777" w:rsidTr="00442970">
        <w:trPr>
          <w:trHeight w:val="280"/>
        </w:trPr>
        <w:tc>
          <w:tcPr>
            <w:tcW w:w="1420" w:type="pct"/>
            <w:noWrap/>
            <w:hideMark/>
          </w:tcPr>
          <w:p w14:paraId="0FFF1211" w14:textId="77777777" w:rsidR="00442970" w:rsidRPr="002E2AF1" w:rsidRDefault="00442970"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siANLN</w:t>
            </w:r>
            <w:proofErr w:type="spellEnd"/>
            <w:r w:rsidRPr="002E2AF1">
              <w:rPr>
                <w:rFonts w:ascii="Arial" w:eastAsia="等线" w:hAnsi="Arial" w:cs="Arial"/>
                <w:color w:val="000000"/>
                <w:kern w:val="0"/>
                <w:szCs w:val="22"/>
                <w14:ligatures w14:val="none"/>
              </w:rPr>
              <w:t xml:space="preserve"> #3</w:t>
            </w:r>
          </w:p>
        </w:tc>
        <w:tc>
          <w:tcPr>
            <w:tcW w:w="3580" w:type="pct"/>
            <w:noWrap/>
            <w:hideMark/>
          </w:tcPr>
          <w:p w14:paraId="4764C169"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GGTGGTGAAGAGAAATCTTGT</w:t>
            </w:r>
          </w:p>
        </w:tc>
      </w:tr>
      <w:tr w:rsidR="00E51D25" w:rsidRPr="002E2AF1" w14:paraId="4E057651" w14:textId="77777777" w:rsidTr="00442970">
        <w:trPr>
          <w:trHeight w:val="280"/>
        </w:trPr>
        <w:tc>
          <w:tcPr>
            <w:tcW w:w="1420" w:type="pct"/>
            <w:noWrap/>
          </w:tcPr>
          <w:p w14:paraId="212EAC06" w14:textId="77777777" w:rsidR="00E51D25" w:rsidRPr="002E2AF1" w:rsidRDefault="00E51D25"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shANLN</w:t>
            </w:r>
            <w:proofErr w:type="spellEnd"/>
          </w:p>
        </w:tc>
        <w:tc>
          <w:tcPr>
            <w:tcW w:w="3580" w:type="pct"/>
            <w:noWrap/>
          </w:tcPr>
          <w:p w14:paraId="168A2DA3" w14:textId="77777777" w:rsidR="00E51D25" w:rsidRPr="002E2AF1" w:rsidRDefault="00E51D25"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CCATCAATAAAGCAGGTGATT</w:t>
            </w:r>
          </w:p>
        </w:tc>
      </w:tr>
      <w:tr w:rsidR="00442970" w:rsidRPr="002E2AF1" w14:paraId="27D3CAEF" w14:textId="77777777" w:rsidTr="00442970">
        <w:trPr>
          <w:trHeight w:val="280"/>
        </w:trPr>
        <w:tc>
          <w:tcPr>
            <w:tcW w:w="1420" w:type="pct"/>
            <w:noWrap/>
            <w:hideMark/>
          </w:tcPr>
          <w:p w14:paraId="4298F2CB"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shUSP14 #1</w:t>
            </w:r>
          </w:p>
        </w:tc>
        <w:tc>
          <w:tcPr>
            <w:tcW w:w="3580" w:type="pct"/>
            <w:noWrap/>
            <w:hideMark/>
          </w:tcPr>
          <w:p w14:paraId="00A728C5"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CCCAAGATTCAGCAGTCAGAT</w:t>
            </w:r>
          </w:p>
        </w:tc>
      </w:tr>
      <w:tr w:rsidR="00442970" w:rsidRPr="002E2AF1" w14:paraId="61442FBB" w14:textId="77777777" w:rsidTr="00442970">
        <w:trPr>
          <w:trHeight w:val="280"/>
        </w:trPr>
        <w:tc>
          <w:tcPr>
            <w:tcW w:w="1420" w:type="pct"/>
            <w:noWrap/>
            <w:hideMark/>
          </w:tcPr>
          <w:p w14:paraId="031D039A"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shUSP14 #2</w:t>
            </w:r>
          </w:p>
        </w:tc>
        <w:tc>
          <w:tcPr>
            <w:tcW w:w="3580" w:type="pct"/>
            <w:noWrap/>
            <w:hideMark/>
          </w:tcPr>
          <w:p w14:paraId="0B1FE295" w14:textId="77777777" w:rsidR="00442970" w:rsidRPr="002E2AF1" w:rsidRDefault="00442970"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GCAGCCAAATACAAGTGACAA</w:t>
            </w:r>
          </w:p>
        </w:tc>
      </w:tr>
      <w:tr w:rsidR="00B22668" w:rsidRPr="002E2AF1" w14:paraId="4BDD9508" w14:textId="77777777" w:rsidTr="00442970">
        <w:trPr>
          <w:trHeight w:val="280"/>
        </w:trPr>
        <w:tc>
          <w:tcPr>
            <w:tcW w:w="1420" w:type="pct"/>
            <w:noWrap/>
          </w:tcPr>
          <w:p w14:paraId="0FE7F799" w14:textId="77777777" w:rsidR="00B22668" w:rsidRPr="002E2AF1" w:rsidRDefault="00B22668"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siC</w:t>
            </w:r>
            <w:r w:rsidR="0096659F" w:rsidRPr="002E2AF1">
              <w:rPr>
                <w:rFonts w:ascii="Arial" w:eastAsia="等线" w:hAnsi="Arial" w:cs="Arial"/>
                <w:color w:val="000000"/>
                <w:kern w:val="0"/>
                <w:szCs w:val="22"/>
                <w14:ligatures w14:val="none"/>
              </w:rPr>
              <w:t>trl</w:t>
            </w:r>
            <w:proofErr w:type="spellEnd"/>
          </w:p>
        </w:tc>
        <w:tc>
          <w:tcPr>
            <w:tcW w:w="3580" w:type="pct"/>
            <w:noWrap/>
          </w:tcPr>
          <w:p w14:paraId="51127349" w14:textId="77777777" w:rsidR="00B22668" w:rsidRPr="002E2AF1" w:rsidRDefault="00B22668"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UUCUCCGAACGUGUCACGUTT</w:t>
            </w:r>
          </w:p>
        </w:tc>
      </w:tr>
      <w:tr w:rsidR="00E51D25" w:rsidRPr="002E2AF1" w14:paraId="2B804C56" w14:textId="77777777" w:rsidTr="00442970">
        <w:trPr>
          <w:trHeight w:val="280"/>
        </w:trPr>
        <w:tc>
          <w:tcPr>
            <w:tcW w:w="1420" w:type="pct"/>
            <w:noWrap/>
          </w:tcPr>
          <w:p w14:paraId="0EAB21C3" w14:textId="77777777" w:rsidR="00E51D25" w:rsidRPr="002E2AF1" w:rsidRDefault="00E51D25" w:rsidP="00442970">
            <w:pPr>
              <w:widowControl/>
              <w:jc w:val="center"/>
              <w:rPr>
                <w:rFonts w:ascii="Arial" w:eastAsia="等线" w:hAnsi="Arial" w:cs="Arial"/>
                <w:color w:val="000000"/>
                <w:kern w:val="0"/>
                <w:szCs w:val="22"/>
                <w14:ligatures w14:val="none"/>
              </w:rPr>
            </w:pPr>
            <w:proofErr w:type="spellStart"/>
            <w:r w:rsidRPr="002E2AF1">
              <w:rPr>
                <w:rFonts w:ascii="Arial" w:eastAsia="等线" w:hAnsi="Arial" w:cs="Arial"/>
                <w:color w:val="000000"/>
                <w:kern w:val="0"/>
                <w:szCs w:val="22"/>
                <w14:ligatures w14:val="none"/>
              </w:rPr>
              <w:t>shCtrl</w:t>
            </w:r>
            <w:proofErr w:type="spellEnd"/>
          </w:p>
        </w:tc>
        <w:tc>
          <w:tcPr>
            <w:tcW w:w="3580" w:type="pct"/>
            <w:noWrap/>
          </w:tcPr>
          <w:p w14:paraId="563ADEC0" w14:textId="77777777" w:rsidR="00E51D25" w:rsidRPr="002E2AF1" w:rsidRDefault="00E51D25" w:rsidP="00442970">
            <w:pPr>
              <w:widowControl/>
              <w:jc w:val="center"/>
              <w:rPr>
                <w:rFonts w:ascii="Arial" w:eastAsia="等线" w:hAnsi="Arial" w:cs="Arial"/>
                <w:color w:val="000000"/>
                <w:kern w:val="0"/>
                <w:szCs w:val="22"/>
                <w14:ligatures w14:val="none"/>
              </w:rPr>
            </w:pPr>
            <w:r w:rsidRPr="002E2AF1">
              <w:rPr>
                <w:rFonts w:ascii="Arial" w:eastAsia="等线" w:hAnsi="Arial" w:cs="Arial"/>
                <w:color w:val="000000"/>
                <w:kern w:val="0"/>
                <w:szCs w:val="22"/>
                <w14:ligatures w14:val="none"/>
              </w:rPr>
              <w:t>TTCTCCGAACGTGTCACGT</w:t>
            </w:r>
          </w:p>
        </w:tc>
      </w:tr>
    </w:tbl>
    <w:p w14:paraId="73FD37E3" w14:textId="77777777" w:rsidR="007C2232" w:rsidRPr="002E2AF1" w:rsidRDefault="007C2232">
      <w:pPr>
        <w:rPr>
          <w:rFonts w:ascii="Arial" w:hAnsi="Arial" w:cs="Arial"/>
        </w:rPr>
      </w:pPr>
    </w:p>
    <w:p w14:paraId="5455E597" w14:textId="77777777" w:rsidR="00D1432B" w:rsidRPr="002E2AF1" w:rsidRDefault="007A6FF7">
      <w:pPr>
        <w:rPr>
          <w:rFonts w:ascii="Arial" w:hAnsi="Arial" w:cs="Arial"/>
          <w:b/>
          <w:bCs/>
        </w:rPr>
      </w:pPr>
      <w:r w:rsidRPr="002E2AF1">
        <w:rPr>
          <w:rFonts w:ascii="Arial" w:hAnsi="Arial" w:cs="Arial"/>
          <w:b/>
          <w:bCs/>
        </w:rPr>
        <w:t>Table S</w:t>
      </w:r>
      <w:r w:rsidR="007C2232" w:rsidRPr="002E2AF1">
        <w:rPr>
          <w:rFonts w:ascii="Arial" w:hAnsi="Arial" w:cs="Arial"/>
          <w:b/>
          <w:bCs/>
        </w:rPr>
        <w:t>4</w:t>
      </w:r>
      <w:r w:rsidRPr="002E2AF1">
        <w:rPr>
          <w:rFonts w:ascii="Arial" w:hAnsi="Arial" w:cs="Arial"/>
          <w:b/>
          <w:bCs/>
        </w:rPr>
        <w:t>. List of primary antibodies.</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38"/>
        <w:gridCol w:w="3271"/>
        <w:gridCol w:w="3497"/>
      </w:tblGrid>
      <w:tr w:rsidR="007C2232" w:rsidRPr="002E2AF1" w14:paraId="67F521D6" w14:textId="77777777" w:rsidTr="007C2232">
        <w:trPr>
          <w:trHeight w:val="250"/>
        </w:trPr>
        <w:tc>
          <w:tcPr>
            <w:tcW w:w="926" w:type="pct"/>
          </w:tcPr>
          <w:p w14:paraId="7E55C1DF" w14:textId="77777777" w:rsidR="007C2232" w:rsidRPr="002E2AF1" w:rsidRDefault="007C2232" w:rsidP="007C2232">
            <w:pPr>
              <w:autoSpaceDE w:val="0"/>
              <w:autoSpaceDN w:val="0"/>
              <w:adjustRightInd w:val="0"/>
              <w:jc w:val="center"/>
              <w:rPr>
                <w:rFonts w:ascii="Arial" w:eastAsia="等线" w:hAnsi="Arial" w:cs="Arial"/>
                <w:b/>
                <w:bCs/>
                <w:color w:val="000000"/>
                <w:kern w:val="0"/>
                <w:szCs w:val="22"/>
              </w:rPr>
            </w:pPr>
            <w:r w:rsidRPr="002E2AF1">
              <w:rPr>
                <w:rFonts w:ascii="Arial" w:eastAsia="等线" w:hAnsi="Arial" w:cs="Arial"/>
                <w:b/>
                <w:bCs/>
                <w:color w:val="000000"/>
                <w:kern w:val="0"/>
                <w:szCs w:val="22"/>
              </w:rPr>
              <w:t>Antibodies</w:t>
            </w:r>
          </w:p>
        </w:tc>
        <w:tc>
          <w:tcPr>
            <w:tcW w:w="1969" w:type="pct"/>
          </w:tcPr>
          <w:p w14:paraId="3AFB770E" w14:textId="77777777" w:rsidR="007C2232" w:rsidRPr="002E2AF1" w:rsidRDefault="007C2232" w:rsidP="007C2232">
            <w:pPr>
              <w:autoSpaceDE w:val="0"/>
              <w:autoSpaceDN w:val="0"/>
              <w:adjustRightInd w:val="0"/>
              <w:jc w:val="center"/>
              <w:rPr>
                <w:rFonts w:ascii="Arial" w:eastAsia="等线" w:hAnsi="Arial" w:cs="Arial"/>
                <w:b/>
                <w:bCs/>
                <w:color w:val="000000"/>
                <w:kern w:val="0"/>
                <w:szCs w:val="22"/>
              </w:rPr>
            </w:pPr>
            <w:r w:rsidRPr="002E2AF1">
              <w:rPr>
                <w:rFonts w:ascii="Arial" w:eastAsia="等线" w:hAnsi="Arial" w:cs="Arial"/>
                <w:b/>
                <w:bCs/>
                <w:color w:val="000000"/>
                <w:kern w:val="0"/>
                <w:szCs w:val="22"/>
              </w:rPr>
              <w:t>Manufacturer (Cat No</w:t>
            </w:r>
            <w:r w:rsidRPr="002E2AF1">
              <w:rPr>
                <w:rFonts w:ascii="Arial" w:eastAsia="等线" w:hAnsi="Arial" w:cs="Arial"/>
                <w:b/>
                <w:bCs/>
                <w:color w:val="000000"/>
                <w:kern w:val="0"/>
                <w:szCs w:val="22"/>
              </w:rPr>
              <w:t>）</w:t>
            </w:r>
          </w:p>
        </w:tc>
        <w:tc>
          <w:tcPr>
            <w:tcW w:w="2105" w:type="pct"/>
          </w:tcPr>
          <w:p w14:paraId="5C13356B" w14:textId="77777777" w:rsidR="007C2232" w:rsidRPr="002E2AF1" w:rsidRDefault="007C2232" w:rsidP="007C2232">
            <w:pPr>
              <w:autoSpaceDE w:val="0"/>
              <w:autoSpaceDN w:val="0"/>
              <w:adjustRightInd w:val="0"/>
              <w:jc w:val="center"/>
              <w:rPr>
                <w:rFonts w:ascii="Arial" w:eastAsia="等线" w:hAnsi="Arial" w:cs="Arial"/>
                <w:b/>
                <w:bCs/>
                <w:color w:val="000000"/>
                <w:kern w:val="0"/>
                <w:szCs w:val="22"/>
              </w:rPr>
            </w:pPr>
            <w:r w:rsidRPr="002E2AF1">
              <w:rPr>
                <w:rFonts w:ascii="Arial" w:eastAsia="等线" w:hAnsi="Arial" w:cs="Arial"/>
                <w:b/>
                <w:bCs/>
                <w:color w:val="000000"/>
                <w:kern w:val="0"/>
                <w:szCs w:val="22"/>
              </w:rPr>
              <w:t>Application</w:t>
            </w:r>
          </w:p>
        </w:tc>
      </w:tr>
      <w:tr w:rsidR="007C2232" w:rsidRPr="002E2AF1" w14:paraId="5CDFA80F" w14:textId="77777777" w:rsidTr="007C2232">
        <w:trPr>
          <w:trHeight w:val="250"/>
        </w:trPr>
        <w:tc>
          <w:tcPr>
            <w:tcW w:w="926" w:type="pct"/>
          </w:tcPr>
          <w:p w14:paraId="421FF206"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Anillin</w:t>
            </w:r>
          </w:p>
        </w:tc>
        <w:tc>
          <w:tcPr>
            <w:tcW w:w="1969" w:type="pct"/>
          </w:tcPr>
          <w:p w14:paraId="5E949D81"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abcom</w:t>
            </w:r>
            <w:proofErr w:type="spellEnd"/>
            <w:r w:rsidRPr="002E2AF1">
              <w:rPr>
                <w:rFonts w:ascii="Arial" w:eastAsia="等线" w:hAnsi="Arial" w:cs="Arial"/>
                <w:color w:val="000000"/>
                <w:kern w:val="0"/>
                <w:szCs w:val="22"/>
              </w:rPr>
              <w:t xml:space="preserve"> (ab99352)</w:t>
            </w:r>
          </w:p>
        </w:tc>
        <w:tc>
          <w:tcPr>
            <w:tcW w:w="2105" w:type="pct"/>
          </w:tcPr>
          <w:p w14:paraId="066B4917"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 xml:space="preserve">1:1000 for WB; 3ug for </w:t>
            </w:r>
            <w:proofErr w:type="spellStart"/>
            <w:r w:rsidRPr="002E2AF1">
              <w:rPr>
                <w:rFonts w:ascii="Arial" w:eastAsia="等线" w:hAnsi="Arial" w:cs="Arial"/>
                <w:color w:val="000000"/>
                <w:kern w:val="0"/>
                <w:szCs w:val="22"/>
              </w:rPr>
              <w:t>CoIP</w:t>
            </w:r>
            <w:proofErr w:type="spellEnd"/>
          </w:p>
        </w:tc>
      </w:tr>
      <w:tr w:rsidR="007C2232" w:rsidRPr="002E2AF1" w14:paraId="388B58F1" w14:textId="77777777" w:rsidTr="007C2232">
        <w:trPr>
          <w:trHeight w:val="250"/>
        </w:trPr>
        <w:tc>
          <w:tcPr>
            <w:tcW w:w="926" w:type="pct"/>
          </w:tcPr>
          <w:p w14:paraId="0B3F23D7"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α-</w:t>
            </w:r>
            <w:proofErr w:type="spellStart"/>
            <w:r w:rsidRPr="002E2AF1">
              <w:rPr>
                <w:rFonts w:ascii="Arial" w:eastAsia="等线" w:hAnsi="Arial" w:cs="Arial"/>
                <w:color w:val="000000"/>
                <w:kern w:val="0"/>
                <w:szCs w:val="22"/>
              </w:rPr>
              <w:t>tubilin</w:t>
            </w:r>
            <w:proofErr w:type="spellEnd"/>
          </w:p>
        </w:tc>
        <w:tc>
          <w:tcPr>
            <w:tcW w:w="1969" w:type="pct"/>
          </w:tcPr>
          <w:p w14:paraId="104EA129"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(14517-1-AP)</w:t>
            </w:r>
          </w:p>
        </w:tc>
        <w:tc>
          <w:tcPr>
            <w:tcW w:w="2105" w:type="pct"/>
          </w:tcPr>
          <w:p w14:paraId="33896242"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3878B5DD" w14:textId="77777777" w:rsidTr="007C2232">
        <w:trPr>
          <w:trHeight w:val="250"/>
        </w:trPr>
        <w:tc>
          <w:tcPr>
            <w:tcW w:w="926" w:type="pct"/>
          </w:tcPr>
          <w:p w14:paraId="54DFDCA8"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pβ-catenin</w:t>
            </w:r>
          </w:p>
        </w:tc>
        <w:tc>
          <w:tcPr>
            <w:tcW w:w="1969" w:type="pct"/>
          </w:tcPr>
          <w:p w14:paraId="2B210155"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(28853-1-AP)</w:t>
            </w:r>
          </w:p>
        </w:tc>
        <w:tc>
          <w:tcPr>
            <w:tcW w:w="2105" w:type="pct"/>
          </w:tcPr>
          <w:p w14:paraId="2C3CEDBA"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53DFCDD5" w14:textId="77777777" w:rsidTr="007C2232">
        <w:trPr>
          <w:trHeight w:val="250"/>
        </w:trPr>
        <w:tc>
          <w:tcPr>
            <w:tcW w:w="926" w:type="pct"/>
          </w:tcPr>
          <w:p w14:paraId="09E5A918"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β-catenin</w:t>
            </w:r>
          </w:p>
        </w:tc>
        <w:tc>
          <w:tcPr>
            <w:tcW w:w="1969" w:type="pct"/>
          </w:tcPr>
          <w:p w14:paraId="4A94ADF9"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(51067-2-AP)</w:t>
            </w:r>
          </w:p>
        </w:tc>
        <w:tc>
          <w:tcPr>
            <w:tcW w:w="2105" w:type="pct"/>
          </w:tcPr>
          <w:p w14:paraId="44E30266"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 1:2000 for IF</w:t>
            </w:r>
          </w:p>
        </w:tc>
      </w:tr>
      <w:tr w:rsidR="007C2232" w:rsidRPr="002E2AF1" w14:paraId="7ECEAF7C" w14:textId="77777777" w:rsidTr="007C2232">
        <w:trPr>
          <w:trHeight w:val="250"/>
        </w:trPr>
        <w:tc>
          <w:tcPr>
            <w:tcW w:w="926" w:type="pct"/>
          </w:tcPr>
          <w:p w14:paraId="4BE848DB"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c-</w:t>
            </w:r>
            <w:proofErr w:type="spellStart"/>
            <w:r w:rsidRPr="002E2AF1">
              <w:rPr>
                <w:rFonts w:ascii="Arial" w:eastAsia="等线" w:hAnsi="Arial" w:cs="Arial"/>
                <w:color w:val="000000"/>
                <w:kern w:val="0"/>
                <w:szCs w:val="22"/>
              </w:rPr>
              <w:t>Myc</w:t>
            </w:r>
            <w:proofErr w:type="spellEnd"/>
          </w:p>
        </w:tc>
        <w:tc>
          <w:tcPr>
            <w:tcW w:w="1969" w:type="pct"/>
          </w:tcPr>
          <w:p w14:paraId="293FE9A7"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(10828-1-AP)</w:t>
            </w:r>
          </w:p>
        </w:tc>
        <w:tc>
          <w:tcPr>
            <w:tcW w:w="2105" w:type="pct"/>
          </w:tcPr>
          <w:p w14:paraId="13F37B52"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6428E4F8" w14:textId="77777777" w:rsidTr="007C2232">
        <w:trPr>
          <w:trHeight w:val="250"/>
        </w:trPr>
        <w:tc>
          <w:tcPr>
            <w:tcW w:w="926" w:type="pct"/>
          </w:tcPr>
          <w:p w14:paraId="5A2F18D0"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CyclinD1</w:t>
            </w:r>
          </w:p>
        </w:tc>
        <w:tc>
          <w:tcPr>
            <w:tcW w:w="1969" w:type="pct"/>
          </w:tcPr>
          <w:p w14:paraId="5BD7CBA3"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(60186-1-lg)</w:t>
            </w:r>
          </w:p>
        </w:tc>
        <w:tc>
          <w:tcPr>
            <w:tcW w:w="2105" w:type="pct"/>
          </w:tcPr>
          <w:p w14:paraId="00AC1186"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29C71DED" w14:textId="77777777" w:rsidTr="007C2232">
        <w:trPr>
          <w:trHeight w:val="250"/>
        </w:trPr>
        <w:tc>
          <w:tcPr>
            <w:tcW w:w="926" w:type="pct"/>
          </w:tcPr>
          <w:p w14:paraId="0FE4ED24"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GAPDH</w:t>
            </w:r>
          </w:p>
        </w:tc>
        <w:tc>
          <w:tcPr>
            <w:tcW w:w="1969" w:type="pct"/>
          </w:tcPr>
          <w:p w14:paraId="5C6A445C"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(10494-1-AP)</w:t>
            </w:r>
          </w:p>
        </w:tc>
        <w:tc>
          <w:tcPr>
            <w:tcW w:w="2105" w:type="pct"/>
          </w:tcPr>
          <w:p w14:paraId="73CD65CB"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0E93A5E3" w14:textId="77777777" w:rsidTr="007C2232">
        <w:trPr>
          <w:trHeight w:val="250"/>
        </w:trPr>
        <w:tc>
          <w:tcPr>
            <w:tcW w:w="926" w:type="pct"/>
          </w:tcPr>
          <w:p w14:paraId="56D3C644"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Flag</w:t>
            </w:r>
          </w:p>
        </w:tc>
        <w:tc>
          <w:tcPr>
            <w:tcW w:w="1969" w:type="pct"/>
          </w:tcPr>
          <w:p w14:paraId="156A0F40"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Sigma (F1804)</w:t>
            </w:r>
          </w:p>
        </w:tc>
        <w:tc>
          <w:tcPr>
            <w:tcW w:w="2105" w:type="pct"/>
          </w:tcPr>
          <w:p w14:paraId="20D7B6FC"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6EE3ACB1" w14:textId="77777777" w:rsidTr="007C2232">
        <w:trPr>
          <w:trHeight w:val="250"/>
        </w:trPr>
        <w:tc>
          <w:tcPr>
            <w:tcW w:w="926" w:type="pct"/>
          </w:tcPr>
          <w:p w14:paraId="514F9BC1"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HA</w:t>
            </w:r>
          </w:p>
        </w:tc>
        <w:tc>
          <w:tcPr>
            <w:tcW w:w="1969" w:type="pct"/>
          </w:tcPr>
          <w:p w14:paraId="76170DFB"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Sigma (H6908)</w:t>
            </w:r>
          </w:p>
        </w:tc>
        <w:tc>
          <w:tcPr>
            <w:tcW w:w="2105" w:type="pct"/>
          </w:tcPr>
          <w:p w14:paraId="6D805256"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w:t>
            </w:r>
          </w:p>
        </w:tc>
      </w:tr>
      <w:tr w:rsidR="007C2232" w:rsidRPr="002E2AF1" w14:paraId="0988172D" w14:textId="77777777" w:rsidTr="007C2232">
        <w:trPr>
          <w:trHeight w:val="250"/>
        </w:trPr>
        <w:tc>
          <w:tcPr>
            <w:tcW w:w="926" w:type="pct"/>
          </w:tcPr>
          <w:p w14:paraId="2F650175"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USP14</w:t>
            </w:r>
          </w:p>
        </w:tc>
        <w:tc>
          <w:tcPr>
            <w:tcW w:w="1969" w:type="pct"/>
          </w:tcPr>
          <w:p w14:paraId="50F5A26B"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proofErr w:type="spellStart"/>
            <w:r w:rsidRPr="002E2AF1">
              <w:rPr>
                <w:rFonts w:ascii="Arial" w:eastAsia="等线" w:hAnsi="Arial" w:cs="Arial"/>
                <w:color w:val="000000"/>
                <w:kern w:val="0"/>
                <w:szCs w:val="22"/>
              </w:rPr>
              <w:t>proteintech</w:t>
            </w:r>
            <w:proofErr w:type="spellEnd"/>
            <w:r w:rsidRPr="002E2AF1">
              <w:rPr>
                <w:rFonts w:ascii="Arial" w:eastAsia="等线" w:hAnsi="Arial" w:cs="Arial"/>
                <w:color w:val="000000"/>
                <w:kern w:val="0"/>
                <w:szCs w:val="22"/>
              </w:rPr>
              <w:t xml:space="preserve"> (14517-1-AP)</w:t>
            </w:r>
          </w:p>
        </w:tc>
        <w:tc>
          <w:tcPr>
            <w:tcW w:w="2105" w:type="pct"/>
          </w:tcPr>
          <w:p w14:paraId="7A64D68F" w14:textId="77777777" w:rsidR="007C2232" w:rsidRPr="002E2AF1" w:rsidRDefault="007C2232" w:rsidP="007C2232">
            <w:pPr>
              <w:autoSpaceDE w:val="0"/>
              <w:autoSpaceDN w:val="0"/>
              <w:adjustRightInd w:val="0"/>
              <w:jc w:val="center"/>
              <w:rPr>
                <w:rFonts w:ascii="Arial" w:eastAsia="等线" w:hAnsi="Arial" w:cs="Arial"/>
                <w:color w:val="000000"/>
                <w:kern w:val="0"/>
                <w:szCs w:val="22"/>
              </w:rPr>
            </w:pPr>
            <w:r w:rsidRPr="002E2AF1">
              <w:rPr>
                <w:rFonts w:ascii="Arial" w:eastAsia="等线" w:hAnsi="Arial" w:cs="Arial"/>
                <w:color w:val="000000"/>
                <w:kern w:val="0"/>
                <w:szCs w:val="22"/>
              </w:rPr>
              <w:t>1:1000 for WB; 1:2000 for IF</w:t>
            </w:r>
          </w:p>
        </w:tc>
      </w:tr>
    </w:tbl>
    <w:p w14:paraId="44EDCA20" w14:textId="77777777" w:rsidR="007A6FF7" w:rsidRPr="002E2AF1" w:rsidRDefault="007A6FF7">
      <w:pPr>
        <w:rPr>
          <w:rFonts w:ascii="Arial" w:hAnsi="Arial" w:cs="Arial"/>
        </w:rPr>
      </w:pPr>
    </w:p>
    <w:sectPr w:rsidR="007A6FF7" w:rsidRPr="002E2A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6D260" w14:textId="77777777" w:rsidR="00282CD7" w:rsidRDefault="00282CD7" w:rsidP="000666BE">
      <w:pPr>
        <w:spacing w:after="0" w:line="240" w:lineRule="auto"/>
        <w:rPr>
          <w:rFonts w:hint="eastAsia"/>
        </w:rPr>
      </w:pPr>
      <w:r>
        <w:separator/>
      </w:r>
    </w:p>
  </w:endnote>
  <w:endnote w:type="continuationSeparator" w:id="0">
    <w:p w14:paraId="4AE88792" w14:textId="77777777" w:rsidR="00282CD7" w:rsidRDefault="00282CD7" w:rsidP="000666B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0EC4" w14:textId="77777777" w:rsidR="00282CD7" w:rsidRDefault="00282CD7" w:rsidP="000666BE">
      <w:pPr>
        <w:spacing w:after="0" w:line="240" w:lineRule="auto"/>
        <w:rPr>
          <w:rFonts w:hint="eastAsia"/>
        </w:rPr>
      </w:pPr>
      <w:r>
        <w:separator/>
      </w:r>
    </w:p>
  </w:footnote>
  <w:footnote w:type="continuationSeparator" w:id="0">
    <w:p w14:paraId="18D33F41" w14:textId="77777777" w:rsidR="00282CD7" w:rsidRDefault="00282CD7" w:rsidP="000666BE">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2B"/>
    <w:rsid w:val="00032688"/>
    <w:rsid w:val="000666BE"/>
    <w:rsid w:val="0007230A"/>
    <w:rsid w:val="00073B07"/>
    <w:rsid w:val="001226A5"/>
    <w:rsid w:val="00282CD7"/>
    <w:rsid w:val="002B25CA"/>
    <w:rsid w:val="002C08F2"/>
    <w:rsid w:val="002E2AF1"/>
    <w:rsid w:val="003018EC"/>
    <w:rsid w:val="003860AC"/>
    <w:rsid w:val="003A08B5"/>
    <w:rsid w:val="003C04DC"/>
    <w:rsid w:val="003E269B"/>
    <w:rsid w:val="00442970"/>
    <w:rsid w:val="004642E5"/>
    <w:rsid w:val="00492ACF"/>
    <w:rsid w:val="004B620D"/>
    <w:rsid w:val="00691CB4"/>
    <w:rsid w:val="007A6FF7"/>
    <w:rsid w:val="007C2232"/>
    <w:rsid w:val="009407B0"/>
    <w:rsid w:val="0096659F"/>
    <w:rsid w:val="00B22668"/>
    <w:rsid w:val="00C2203B"/>
    <w:rsid w:val="00C26876"/>
    <w:rsid w:val="00C57FAB"/>
    <w:rsid w:val="00C8172D"/>
    <w:rsid w:val="00CB0390"/>
    <w:rsid w:val="00D1432B"/>
    <w:rsid w:val="00D30174"/>
    <w:rsid w:val="00DD60D8"/>
    <w:rsid w:val="00E05F64"/>
    <w:rsid w:val="00E51D25"/>
    <w:rsid w:val="00E60457"/>
    <w:rsid w:val="00F30D71"/>
    <w:rsid w:val="00FA3E1D"/>
    <w:rsid w:val="00FF2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8DDBB"/>
  <w15:chartTrackingRefBased/>
  <w15:docId w15:val="{C94FC64E-17FA-403E-AEC1-4E68D927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32B"/>
    <w:pPr>
      <w:widowControl w:val="0"/>
    </w:pPr>
  </w:style>
  <w:style w:type="paragraph" w:styleId="1">
    <w:name w:val="heading 1"/>
    <w:basedOn w:val="a"/>
    <w:next w:val="a"/>
    <w:link w:val="10"/>
    <w:uiPriority w:val="9"/>
    <w:qFormat/>
    <w:rsid w:val="00D1432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1432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1432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1432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1432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1432B"/>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1432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1432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1432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1432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1432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1432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1432B"/>
    <w:rPr>
      <w:rFonts w:cstheme="majorBidi"/>
      <w:color w:val="2F5496" w:themeColor="accent1" w:themeShade="BF"/>
      <w:sz w:val="28"/>
      <w:szCs w:val="28"/>
    </w:rPr>
  </w:style>
  <w:style w:type="character" w:customStyle="1" w:styleId="50">
    <w:name w:val="标题 5 字符"/>
    <w:basedOn w:val="a0"/>
    <w:link w:val="5"/>
    <w:uiPriority w:val="9"/>
    <w:semiHidden/>
    <w:rsid w:val="00D1432B"/>
    <w:rPr>
      <w:rFonts w:cstheme="majorBidi"/>
      <w:color w:val="2F5496" w:themeColor="accent1" w:themeShade="BF"/>
      <w:sz w:val="24"/>
    </w:rPr>
  </w:style>
  <w:style w:type="character" w:customStyle="1" w:styleId="60">
    <w:name w:val="标题 6 字符"/>
    <w:basedOn w:val="a0"/>
    <w:link w:val="6"/>
    <w:uiPriority w:val="9"/>
    <w:semiHidden/>
    <w:rsid w:val="00D1432B"/>
    <w:rPr>
      <w:rFonts w:cstheme="majorBidi"/>
      <w:b/>
      <w:bCs/>
      <w:color w:val="2F5496" w:themeColor="accent1" w:themeShade="BF"/>
    </w:rPr>
  </w:style>
  <w:style w:type="character" w:customStyle="1" w:styleId="70">
    <w:name w:val="标题 7 字符"/>
    <w:basedOn w:val="a0"/>
    <w:link w:val="7"/>
    <w:uiPriority w:val="9"/>
    <w:semiHidden/>
    <w:rsid w:val="00D1432B"/>
    <w:rPr>
      <w:rFonts w:cstheme="majorBidi"/>
      <w:b/>
      <w:bCs/>
      <w:color w:val="595959" w:themeColor="text1" w:themeTint="A6"/>
    </w:rPr>
  </w:style>
  <w:style w:type="character" w:customStyle="1" w:styleId="80">
    <w:name w:val="标题 8 字符"/>
    <w:basedOn w:val="a0"/>
    <w:link w:val="8"/>
    <w:uiPriority w:val="9"/>
    <w:semiHidden/>
    <w:rsid w:val="00D1432B"/>
    <w:rPr>
      <w:rFonts w:cstheme="majorBidi"/>
      <w:color w:val="595959" w:themeColor="text1" w:themeTint="A6"/>
    </w:rPr>
  </w:style>
  <w:style w:type="character" w:customStyle="1" w:styleId="90">
    <w:name w:val="标题 9 字符"/>
    <w:basedOn w:val="a0"/>
    <w:link w:val="9"/>
    <w:uiPriority w:val="9"/>
    <w:semiHidden/>
    <w:rsid w:val="00D1432B"/>
    <w:rPr>
      <w:rFonts w:eastAsiaTheme="majorEastAsia" w:cstheme="majorBidi"/>
      <w:color w:val="595959" w:themeColor="text1" w:themeTint="A6"/>
    </w:rPr>
  </w:style>
  <w:style w:type="paragraph" w:styleId="a3">
    <w:name w:val="Title"/>
    <w:basedOn w:val="a"/>
    <w:next w:val="a"/>
    <w:link w:val="a4"/>
    <w:uiPriority w:val="10"/>
    <w:qFormat/>
    <w:rsid w:val="00D143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14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43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14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432B"/>
    <w:pPr>
      <w:spacing w:before="160"/>
      <w:jc w:val="center"/>
    </w:pPr>
    <w:rPr>
      <w:i/>
      <w:iCs/>
      <w:color w:val="404040" w:themeColor="text1" w:themeTint="BF"/>
    </w:rPr>
  </w:style>
  <w:style w:type="character" w:customStyle="1" w:styleId="a8">
    <w:name w:val="引用 字符"/>
    <w:basedOn w:val="a0"/>
    <w:link w:val="a7"/>
    <w:uiPriority w:val="29"/>
    <w:rsid w:val="00D1432B"/>
    <w:rPr>
      <w:i/>
      <w:iCs/>
      <w:color w:val="404040" w:themeColor="text1" w:themeTint="BF"/>
    </w:rPr>
  </w:style>
  <w:style w:type="paragraph" w:styleId="a9">
    <w:name w:val="List Paragraph"/>
    <w:basedOn w:val="a"/>
    <w:uiPriority w:val="34"/>
    <w:qFormat/>
    <w:rsid w:val="00D1432B"/>
    <w:pPr>
      <w:ind w:left="720"/>
      <w:contextualSpacing/>
    </w:pPr>
  </w:style>
  <w:style w:type="character" w:styleId="aa">
    <w:name w:val="Intense Emphasis"/>
    <w:basedOn w:val="a0"/>
    <w:uiPriority w:val="21"/>
    <w:qFormat/>
    <w:rsid w:val="00D1432B"/>
    <w:rPr>
      <w:i/>
      <w:iCs/>
      <w:color w:val="2F5496" w:themeColor="accent1" w:themeShade="BF"/>
    </w:rPr>
  </w:style>
  <w:style w:type="paragraph" w:styleId="ab">
    <w:name w:val="Intense Quote"/>
    <w:basedOn w:val="a"/>
    <w:next w:val="a"/>
    <w:link w:val="ac"/>
    <w:uiPriority w:val="30"/>
    <w:qFormat/>
    <w:rsid w:val="00D14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1432B"/>
    <w:rPr>
      <w:i/>
      <w:iCs/>
      <w:color w:val="2F5496" w:themeColor="accent1" w:themeShade="BF"/>
    </w:rPr>
  </w:style>
  <w:style w:type="character" w:styleId="ad">
    <w:name w:val="Intense Reference"/>
    <w:basedOn w:val="a0"/>
    <w:uiPriority w:val="32"/>
    <w:qFormat/>
    <w:rsid w:val="00D1432B"/>
    <w:rPr>
      <w:b/>
      <w:bCs/>
      <w:smallCaps/>
      <w:color w:val="2F5496" w:themeColor="accent1" w:themeShade="BF"/>
      <w:spacing w:val="5"/>
    </w:rPr>
  </w:style>
  <w:style w:type="table" w:styleId="ae">
    <w:name w:val="Table Grid"/>
    <w:basedOn w:val="a1"/>
    <w:uiPriority w:val="39"/>
    <w:rsid w:val="00DD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666BE"/>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0666BE"/>
    <w:rPr>
      <w:sz w:val="18"/>
      <w:szCs w:val="18"/>
    </w:rPr>
  </w:style>
  <w:style w:type="paragraph" w:styleId="af1">
    <w:name w:val="footer"/>
    <w:basedOn w:val="a"/>
    <w:link w:val="af2"/>
    <w:uiPriority w:val="99"/>
    <w:unhideWhenUsed/>
    <w:rsid w:val="000666BE"/>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0666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4</Pages>
  <Words>500</Words>
  <Characters>2984</Characters>
  <Application>Microsoft Office Word</Application>
  <DocSecurity>0</DocSecurity>
  <Lines>114</Lines>
  <Paragraphs>87</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童 孙</dc:creator>
  <cp:keywords/>
  <dc:description/>
  <cp:lastModifiedBy>童 孙</cp:lastModifiedBy>
  <cp:revision>10</cp:revision>
  <dcterms:created xsi:type="dcterms:W3CDTF">2026-01-30T09:00:00Z</dcterms:created>
  <dcterms:modified xsi:type="dcterms:W3CDTF">2026-05-24T11:28:00Z</dcterms:modified>
</cp:coreProperties>
</file>