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2D63B" w14:textId="77777777" w:rsidR="003F7DA5" w:rsidRDefault="003F7DA5" w:rsidP="003F7DA5">
      <w:pPr>
        <w:pStyle w:val="Heading1"/>
      </w:pPr>
      <w:r>
        <w:t>Supplementary</w:t>
      </w:r>
    </w:p>
    <w:p w14:paraId="74A16D66" w14:textId="77777777" w:rsidR="003F7DA5" w:rsidRDefault="003F7DA5" w:rsidP="003F7DA5">
      <w:pPr>
        <w:pStyle w:val="Heading2"/>
      </w:pPr>
      <w:r>
        <w:t>S1 — The HLA hit is robust to sample size and to the grouping label</w:t>
      </w:r>
    </w:p>
    <w:p w14:paraId="6FEEC555" w14:textId="77777777" w:rsidR="003F7DA5" w:rsidRDefault="003F7DA5" w:rsidP="003F7DA5">
      <w:r>
        <w:t>The main-text HLA spectrum rests on the small HLA-B allele set of the calibration atlas, inviting the concern that its four-corner recovery is a small-sample coincidence. We addressed this directly by expanding HLA-B from IPD-IMGT/HLA (4,138 complete, 2-field-distinct α1/α2 sequences, MAFFT-aligned to the same 341 mature-position coordinate frame as the atlas) and re-running the conservation–divergence null analysis under two orthogonal manipulations.</w:t>
      </w:r>
    </w:p>
    <w:p w14:paraId="361541A5" w14:textId="77777777" w:rsidR="003F7DA5" w:rsidRDefault="003F7DA5" w:rsidP="003F7DA5">
      <w:r>
        <w:t xml:space="preserve">First, holding the grouping fixed, we walked a sequence-weighting ladder — uniform, </w:t>
      </w:r>
      <w:proofErr w:type="spellStart"/>
      <w:r>
        <w:t>Henikoff</w:t>
      </w:r>
      <w:proofErr w:type="spellEnd"/>
      <w:r>
        <w:t xml:space="preserve"> position-based, 98%-identity de-duplication, real AlleleFrequencies.net population-frequency weighting, and supertype-consensus collapse. All five schemes returned </w:t>
      </w:r>
      <w:proofErr w:type="spellStart"/>
      <w:r>
        <w:t>null_explains</w:t>
      </w:r>
      <w:proofErr w:type="spellEnd"/>
      <w:r>
        <w:t xml:space="preserve"> in [1.00, 1.07], matching the other cross-species families and confirming the at-scale recovery is not a weighting or </w:t>
      </w:r>
      <w:proofErr w:type="spellStart"/>
      <w:r>
        <w:t>pseudoreplication</w:t>
      </w:r>
      <w:proofErr w:type="spellEnd"/>
      <w:r>
        <w:t xml:space="preserve"> artifact.</w:t>
      </w:r>
    </w:p>
    <w:p w14:paraId="688422D7" w14:textId="77777777" w:rsidR="003F7DA5" w:rsidRDefault="003F7DA5" w:rsidP="003F7DA5">
      <w:r>
        <w:t>Second, and directly relevant to the circularity argument, we compared two labels on an identical set of 63 HLA-B alleles carrying measured eluted-peptide motifs (MHC Motif Atlas, ≥20 nine-</w:t>
      </w:r>
      <w:proofErr w:type="spellStart"/>
      <w:r>
        <w:t>mers</w:t>
      </w:r>
      <w:proofErr w:type="spellEnd"/>
      <w:r>
        <w:t xml:space="preserve"> per allele). The </w:t>
      </w:r>
      <w:r>
        <w:rPr>
          <w:b/>
        </w:rPr>
        <w:t>independent</w:t>
      </w:r>
      <w:r>
        <w:t xml:space="preserve"> label — the P2 anchor-residue chemistry read from the eluted peptides, not derived from the sequence columns under test — gives </w:t>
      </w:r>
      <w:proofErr w:type="spellStart"/>
      <w:r>
        <w:t>null_explains</w:t>
      </w:r>
      <w:proofErr w:type="spellEnd"/>
      <w:r>
        <w:t xml:space="preserve"> = 0.957 (95% bootstrap CI over positions 0.881–1.058): a hit at N = 63. The </w:t>
      </w:r>
      <w:r>
        <w:rPr>
          <w:b/>
        </w:rPr>
        <w:t>circular</w:t>
      </w:r>
      <w:r>
        <w:t xml:space="preserve"> label — the sequence-defined pocket supertype — gives 0.766 (CI 0.689–0.834) on the same alleles, reproducing the anomalous sub-null signature. A trivial-convergence control (subsampling the circular-label set from 5 to 240 alleles per group, three seeds) shows the circular anomaly relaxes toward 1.0 only as N grows (range 0.86–1.18, never approaching the 0.78 of the atlas panel), whereas the independent label is already at the null at small N. The two manipulations thus isolate two separable contributors to a spuriously low </w:t>
      </w:r>
      <w:proofErr w:type="spellStart"/>
      <w:r>
        <w:t>null_explains</w:t>
      </w:r>
      <w:proofErr w:type="spellEnd"/>
      <w:r>
        <w:t xml:space="preserve"> — a circular grouping label and small sample size — and show that removing either one restores the hit.</w:t>
      </w:r>
    </w:p>
    <w:p w14:paraId="30399262" w14:textId="77777777" w:rsidR="003F7DA5" w:rsidRDefault="003F7DA5" w:rsidP="003F7DA5">
      <w:r>
        <w:rPr>
          <w:b/>
        </w:rPr>
        <w:t>Scope.</w:t>
      </w:r>
      <w:r>
        <w:t xml:space="preserve"> The independent (non-circular) label exists only for assayed alleles (63 HLA-B here); this is a legitimate expansion of the </w:t>
      </w:r>
      <w:r>
        <w:rPr>
          <w:i/>
        </w:rPr>
        <w:t>independent-label</w:t>
      </w:r>
      <w:r>
        <w:t xml:space="preserve"> set, not a </w:t>
      </w:r>
      <w:proofErr w:type="spellStart"/>
      <w:r>
        <w:t>thousands</w:t>
      </w:r>
      <w:proofErr w:type="spellEnd"/>
      <w:r>
        <w:t xml:space="preserve">-allele independent analysis — the 4,138-allele arm necessarily uses the sequence-defined label and serves only as the sample-size / weighting-robustness control. These runs use the permutation-null </w:t>
      </w:r>
      <w:proofErr w:type="spellStart"/>
      <w:r>
        <w:t>null_</w:t>
      </w:r>
      <w:proofErr w:type="gramStart"/>
      <w:r>
        <w:t>explains</w:t>
      </w:r>
      <w:proofErr w:type="spellEnd"/>
      <w:proofErr w:type="gramEnd"/>
      <w:r>
        <w:t xml:space="preserve"> statistic, which corroborates the HLA hit's robustness but does not replace the main-text HLA spectrum or its ρ and recall figures. </w:t>
      </w:r>
      <w:proofErr w:type="spellStart"/>
      <w:r>
        <w:t>frac_above_null</w:t>
      </w:r>
      <w:proofErr w:type="spellEnd"/>
      <w:r>
        <w:t xml:space="preserve"> is sample-size-dependent and is therefore not compared across N; </w:t>
      </w:r>
      <w:proofErr w:type="spellStart"/>
      <w:r>
        <w:t>null_explains</w:t>
      </w:r>
      <w:proofErr w:type="spellEnd"/>
      <w:r>
        <w:t xml:space="preserve"> with a bootstrap CI over positions is the reported statistic.</w:t>
      </w:r>
    </w:p>
    <w:p w14:paraId="564429CA" w14:textId="77777777" w:rsidR="003F7DA5" w:rsidRDefault="003F7DA5" w:rsidP="003F7DA5">
      <w:r>
        <w:rPr>
          <w:b/>
        </w:rPr>
        <w:t>Data and code.</w:t>
      </w:r>
      <w:r>
        <w:t xml:space="preserve"> All master tables, alignments, pre-registration files, and figure-generation code are provided as supplementary datasets (see companion data manifest). Supplementary §S1 data: </w:t>
      </w:r>
      <w:proofErr w:type="spellStart"/>
      <w:r>
        <w:t>hlaB_independent_label.npz</w:t>
      </w:r>
      <w:proofErr w:type="spellEnd"/>
      <w:r>
        <w:t xml:space="preserve"> (63 assayed alleles + independent motif labels), independent_vs_circular_label.csv, persite_independent_P2motif.csv, rung_summary_final.csv and regression_criterion_bootstrap.csv (five-tier weighting ladder + bootstrap CIs). Sources: MHC Motif Atlas class I eluted peptides (nine-</w:t>
      </w:r>
      <w:proofErr w:type="spellStart"/>
      <w:r>
        <w:t>mers</w:t>
      </w:r>
      <w:proofErr w:type="spellEnd"/>
      <w:r>
        <w:t xml:space="preserve">, ≥20/allele); IPD-IMGT/HLA </w:t>
      </w:r>
      <w:proofErr w:type="spellStart"/>
      <w:r>
        <w:t>B_prot</w:t>
      </w:r>
      <w:proofErr w:type="spellEnd"/>
      <w:r>
        <w:t xml:space="preserve"> (Latest).</w:t>
      </w:r>
    </w:p>
    <w:p w14:paraId="7A8D9AFD" w14:textId="77777777" w:rsidR="00C6465A" w:rsidRDefault="00C6465A"/>
    <w:sectPr w:rsidR="00C646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DA5"/>
    <w:rsid w:val="000905F0"/>
    <w:rsid w:val="00112C91"/>
    <w:rsid w:val="00242B4F"/>
    <w:rsid w:val="00302F9E"/>
    <w:rsid w:val="00350B57"/>
    <w:rsid w:val="003F7DA5"/>
    <w:rsid w:val="004E23CF"/>
    <w:rsid w:val="006D5216"/>
    <w:rsid w:val="00A80498"/>
    <w:rsid w:val="00C52040"/>
    <w:rsid w:val="00C62D14"/>
    <w:rsid w:val="00C6465A"/>
    <w:rsid w:val="00EA357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8CAA6"/>
  <w15:chartTrackingRefBased/>
  <w15:docId w15:val="{2DE82F4B-C8F5-46EA-8E25-5E3FE11FC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DA5"/>
    <w:pPr>
      <w:spacing w:after="200" w:line="276" w:lineRule="auto"/>
    </w:pPr>
    <w:rPr>
      <w:rFonts w:ascii="Calibri" w:eastAsiaTheme="minorEastAsia" w:hAnsi="Calibri"/>
      <w:kern w:val="0"/>
      <w:sz w:val="21"/>
      <w:szCs w:val="22"/>
      <w:lang w:val="en-US"/>
      <w14:ligatures w14:val="none"/>
    </w:rPr>
  </w:style>
  <w:style w:type="paragraph" w:styleId="Heading1">
    <w:name w:val="heading 1"/>
    <w:basedOn w:val="Normal"/>
    <w:next w:val="Normal"/>
    <w:link w:val="Heading1Char"/>
    <w:uiPriority w:val="9"/>
    <w:qFormat/>
    <w:rsid w:val="003F7DA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unhideWhenUsed/>
    <w:qFormat/>
    <w:rsid w:val="003F7DA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3F7DA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3F7DA5"/>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IN"/>
      <w14:ligatures w14:val="standardContextual"/>
    </w:rPr>
  </w:style>
  <w:style w:type="paragraph" w:styleId="Heading5">
    <w:name w:val="heading 5"/>
    <w:basedOn w:val="Normal"/>
    <w:next w:val="Normal"/>
    <w:link w:val="Heading5Char"/>
    <w:uiPriority w:val="9"/>
    <w:semiHidden/>
    <w:unhideWhenUsed/>
    <w:qFormat/>
    <w:rsid w:val="003F7DA5"/>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IN"/>
      <w14:ligatures w14:val="standardContextual"/>
    </w:rPr>
  </w:style>
  <w:style w:type="paragraph" w:styleId="Heading6">
    <w:name w:val="heading 6"/>
    <w:basedOn w:val="Normal"/>
    <w:next w:val="Normal"/>
    <w:link w:val="Heading6Char"/>
    <w:uiPriority w:val="9"/>
    <w:semiHidden/>
    <w:unhideWhenUsed/>
    <w:qFormat/>
    <w:rsid w:val="003F7DA5"/>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IN"/>
      <w14:ligatures w14:val="standardContextual"/>
    </w:rPr>
  </w:style>
  <w:style w:type="paragraph" w:styleId="Heading7">
    <w:name w:val="heading 7"/>
    <w:basedOn w:val="Normal"/>
    <w:next w:val="Normal"/>
    <w:link w:val="Heading7Char"/>
    <w:uiPriority w:val="9"/>
    <w:semiHidden/>
    <w:unhideWhenUsed/>
    <w:qFormat/>
    <w:rsid w:val="003F7DA5"/>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IN"/>
      <w14:ligatures w14:val="standardContextual"/>
    </w:rPr>
  </w:style>
  <w:style w:type="paragraph" w:styleId="Heading8">
    <w:name w:val="heading 8"/>
    <w:basedOn w:val="Normal"/>
    <w:next w:val="Normal"/>
    <w:link w:val="Heading8Char"/>
    <w:uiPriority w:val="9"/>
    <w:semiHidden/>
    <w:unhideWhenUsed/>
    <w:qFormat/>
    <w:rsid w:val="003F7DA5"/>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IN"/>
      <w14:ligatures w14:val="standardContextual"/>
    </w:rPr>
  </w:style>
  <w:style w:type="paragraph" w:styleId="Heading9">
    <w:name w:val="heading 9"/>
    <w:basedOn w:val="Normal"/>
    <w:next w:val="Normal"/>
    <w:link w:val="Heading9Char"/>
    <w:uiPriority w:val="9"/>
    <w:semiHidden/>
    <w:unhideWhenUsed/>
    <w:qFormat/>
    <w:rsid w:val="003F7DA5"/>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D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F7D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7D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7D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7D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7D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7D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7D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7DA5"/>
    <w:rPr>
      <w:rFonts w:eastAsiaTheme="majorEastAsia" w:cstheme="majorBidi"/>
      <w:color w:val="272727" w:themeColor="text1" w:themeTint="D8"/>
    </w:rPr>
  </w:style>
  <w:style w:type="paragraph" w:styleId="Title">
    <w:name w:val="Title"/>
    <w:basedOn w:val="Normal"/>
    <w:next w:val="Normal"/>
    <w:link w:val="TitleChar"/>
    <w:uiPriority w:val="10"/>
    <w:qFormat/>
    <w:rsid w:val="003F7DA5"/>
    <w:pPr>
      <w:spacing w:after="80" w:line="240" w:lineRule="auto"/>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3F7D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7DA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3F7D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7DA5"/>
    <w:pPr>
      <w:spacing w:before="160" w:after="160" w:line="278" w:lineRule="auto"/>
      <w:jc w:val="center"/>
    </w:pPr>
    <w:rPr>
      <w:rFonts w:asciiTheme="minorHAnsi" w:eastAsiaTheme="minorHAnsi" w:hAnsiTheme="minorHAnsi"/>
      <w:i/>
      <w:iCs/>
      <w:color w:val="404040" w:themeColor="text1" w:themeTint="BF"/>
      <w:kern w:val="2"/>
      <w:sz w:val="24"/>
      <w:szCs w:val="24"/>
      <w:lang w:val="en-IN"/>
      <w14:ligatures w14:val="standardContextual"/>
    </w:rPr>
  </w:style>
  <w:style w:type="character" w:customStyle="1" w:styleId="QuoteChar">
    <w:name w:val="Quote Char"/>
    <w:basedOn w:val="DefaultParagraphFont"/>
    <w:link w:val="Quote"/>
    <w:uiPriority w:val="29"/>
    <w:rsid w:val="003F7DA5"/>
    <w:rPr>
      <w:i/>
      <w:iCs/>
      <w:color w:val="404040" w:themeColor="text1" w:themeTint="BF"/>
    </w:rPr>
  </w:style>
  <w:style w:type="paragraph" w:styleId="ListParagraph">
    <w:name w:val="List Paragraph"/>
    <w:basedOn w:val="Normal"/>
    <w:uiPriority w:val="34"/>
    <w:qFormat/>
    <w:rsid w:val="003F7DA5"/>
    <w:pPr>
      <w:spacing w:after="160" w:line="278" w:lineRule="auto"/>
      <w:ind w:left="720"/>
      <w:contextualSpacing/>
    </w:pPr>
    <w:rPr>
      <w:rFonts w:asciiTheme="minorHAnsi" w:eastAsiaTheme="minorHAnsi" w:hAnsiTheme="minorHAnsi"/>
      <w:kern w:val="2"/>
      <w:sz w:val="24"/>
      <w:szCs w:val="24"/>
      <w:lang w:val="en-IN"/>
      <w14:ligatures w14:val="standardContextual"/>
    </w:rPr>
  </w:style>
  <w:style w:type="character" w:styleId="IntenseEmphasis">
    <w:name w:val="Intense Emphasis"/>
    <w:basedOn w:val="DefaultParagraphFont"/>
    <w:uiPriority w:val="21"/>
    <w:qFormat/>
    <w:rsid w:val="003F7DA5"/>
    <w:rPr>
      <w:i/>
      <w:iCs/>
      <w:color w:val="0F4761" w:themeColor="accent1" w:themeShade="BF"/>
    </w:rPr>
  </w:style>
  <w:style w:type="paragraph" w:styleId="IntenseQuote">
    <w:name w:val="Intense Quote"/>
    <w:basedOn w:val="Normal"/>
    <w:next w:val="Normal"/>
    <w:link w:val="IntenseQuoteChar"/>
    <w:uiPriority w:val="30"/>
    <w:qFormat/>
    <w:rsid w:val="003F7DA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i/>
      <w:iCs/>
      <w:color w:val="0F4761" w:themeColor="accent1" w:themeShade="BF"/>
      <w:kern w:val="2"/>
      <w:sz w:val="24"/>
      <w:szCs w:val="24"/>
      <w:lang w:val="en-IN"/>
      <w14:ligatures w14:val="standardContextual"/>
    </w:rPr>
  </w:style>
  <w:style w:type="character" w:customStyle="1" w:styleId="IntenseQuoteChar">
    <w:name w:val="Intense Quote Char"/>
    <w:basedOn w:val="DefaultParagraphFont"/>
    <w:link w:val="IntenseQuote"/>
    <w:uiPriority w:val="30"/>
    <w:rsid w:val="003F7DA5"/>
    <w:rPr>
      <w:i/>
      <w:iCs/>
      <w:color w:val="0F4761" w:themeColor="accent1" w:themeShade="BF"/>
    </w:rPr>
  </w:style>
  <w:style w:type="character" w:styleId="IntenseReference">
    <w:name w:val="Intense Reference"/>
    <w:basedOn w:val="DefaultParagraphFont"/>
    <w:uiPriority w:val="32"/>
    <w:qFormat/>
    <w:rsid w:val="003F7DA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438</Words>
  <Characters>2835</Characters>
  <Application>Microsoft Office Word</Application>
  <DocSecurity>0</DocSecurity>
  <Lines>46</Lines>
  <Paragraphs>10</Paragraphs>
  <ScaleCrop>false</ScaleCrop>
  <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2026-08-11T09:59:00Z</dcterms:created>
  <dcterms:modified xsi:type="dcterms:W3CDTF">2026-08-11T10:00:00Z</dcterms:modified>
</cp:coreProperties>
</file>