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E8606" w14:textId="77777777" w:rsidR="009A6F2F" w:rsidRDefault="009A6F2F" w:rsidP="009A6F2F">
      <w:pPr>
        <w:pStyle w:val="Heading2"/>
      </w:pPr>
      <w:r>
        <w:t>Dataset S1. Source data</w:t>
      </w:r>
    </w:p>
    <w:p w14:paraId="2E5887CC" w14:textId="77777777" w:rsidR="009A6F2F" w:rsidRDefault="009A6F2F" w:rsidP="009A6F2F">
      <w:r>
        <w:t xml:space="preserve">A single archive containing the master position table and all per-analysis source tables used to generate Fig 1–6. All coordinates use </w:t>
      </w:r>
      <w:proofErr w:type="spellStart"/>
      <w:r>
        <w:t>GPCRdb</w:t>
      </w:r>
      <w:proofErr w:type="spellEnd"/>
      <w:r>
        <w:t xml:space="preserve"> generic numbering (GPCRs) or </w:t>
      </w:r>
      <w:proofErr w:type="spellStart"/>
      <w:r>
        <w:t>Pfam</w:t>
      </w:r>
      <w:proofErr w:type="spellEnd"/>
      <w:r>
        <w:t xml:space="preserve"> match-state numbering (enzymes).</w:t>
      </w:r>
    </w:p>
    <w:p w14:paraId="155E5B01" w14:textId="77777777" w:rsidR="009A6F2F" w:rsidRDefault="009A6F2F" w:rsidP="009A6F2F">
      <w:r>
        <w:t>| File | Rows | Content | Used in |</w:t>
      </w:r>
    </w:p>
    <w:p w14:paraId="5FD5EA30" w14:textId="77777777" w:rsidR="009A6F2F" w:rsidRDefault="009A6F2F" w:rsidP="009A6F2F">
      <w:proofErr w:type="gramStart"/>
      <w:r>
        <w:t>|------|------|---------|---------|</w:t>
      </w:r>
      <w:proofErr w:type="gramEnd"/>
    </w:p>
    <w:p w14:paraId="2C860F73" w14:textId="77777777" w:rsidR="009A6F2F" w:rsidRDefault="009A6F2F" w:rsidP="009A6F2F">
      <w:r>
        <w:t xml:space="preserve">| </w:t>
      </w:r>
      <w:r>
        <w:rPr>
          <w:rFonts w:ascii="Consolas" w:hAnsi="Consolas"/>
        </w:rPr>
        <w:t>sdp_master_table_continuous.csv</w:t>
      </w:r>
      <w:r>
        <w:t xml:space="preserve"> | 212 | Per-position master table: conservation, entropy, between-class JSD, anchor score/weight, bootstrap stability, </w:t>
      </w:r>
      <w:proofErr w:type="spellStart"/>
      <w:r>
        <w:t>sdp</w:t>
      </w:r>
      <w:proofErr w:type="spellEnd"/>
      <w:r>
        <w:t>-ness, rank, coupling importance, per-class modal residues, anomaly score, conditional-MI columns, phylogenetic-gatekeeping flag | Fig 1, 2 |</w:t>
      </w:r>
    </w:p>
    <w:p w14:paraId="2E0B8AB7" w14:textId="77777777" w:rsidR="009A6F2F" w:rsidRDefault="009A6F2F" w:rsidP="009A6F2F">
      <w:r>
        <w:t xml:space="preserve">| </w:t>
      </w:r>
      <w:r>
        <w:rPr>
          <w:rFonts w:ascii="Consolas" w:hAnsi="Consolas"/>
        </w:rPr>
        <w:t>grouping_specificity.csv</w:t>
      </w:r>
      <w:r>
        <w:t xml:space="preserve"> | 209 | Between-group JSD under four grouping logics (coupling, ligand, bias, phylogeny) + best grouping | Fig 2 |</w:t>
      </w:r>
    </w:p>
    <w:p w14:paraId="0BD56374" w14:textId="77777777" w:rsidR="009A6F2F" w:rsidRDefault="009A6F2F" w:rsidP="009A6F2F">
      <w:r>
        <w:t xml:space="preserve">| </w:t>
      </w:r>
      <w:r>
        <w:rPr>
          <w:rFonts w:ascii="Consolas" w:hAnsi="Consolas"/>
        </w:rPr>
        <w:t>sdp_physicochem.csv</w:t>
      </w:r>
      <w:r>
        <w:t xml:space="preserve"> | — | Per-position, per-class side-chain composition, mean hydropathy, volume, charge | Fig 3 |</w:t>
      </w:r>
    </w:p>
    <w:p w14:paraId="14550BDF" w14:textId="77777777" w:rsidR="009A6F2F" w:rsidRDefault="009A6F2F" w:rsidP="009A6F2F">
      <w:r>
        <w:t xml:space="preserve">| </w:t>
      </w:r>
      <w:r>
        <w:rPr>
          <w:rFonts w:ascii="Consolas" w:hAnsi="Consolas"/>
        </w:rPr>
        <w:t>sdp_gprotein_dist.csv</w:t>
      </w:r>
      <w:r>
        <w:t xml:space="preserve"> | — | Minimum distance to Gα (5-HT2A–mini-Gαq) and contact category per anchor | Fig 3 |</w:t>
      </w:r>
    </w:p>
    <w:p w14:paraId="1DB51C5E" w14:textId="77777777" w:rsidR="009A6F2F" w:rsidRDefault="009A6F2F" w:rsidP="009A6F2F">
      <w:r>
        <w:t xml:space="preserve">| </w:t>
      </w:r>
      <w:r>
        <w:rPr>
          <w:rFonts w:ascii="Consolas" w:hAnsi="Consolas"/>
        </w:rPr>
        <w:t>coupling_entropy.csv</w:t>
      </w:r>
      <w:r>
        <w:t xml:space="preserve"> | 178 | Per-receptor coupling probability distribution, entropy, dominant-pathway probability, dominance margin | Fig 5 |</w:t>
      </w:r>
    </w:p>
    <w:p w14:paraId="480DF806" w14:textId="77777777" w:rsidR="009A6F2F" w:rsidRDefault="009A6F2F" w:rsidP="009A6F2F">
      <w:r>
        <w:t xml:space="preserve">| </w:t>
      </w:r>
      <w:r>
        <w:rPr>
          <w:rFonts w:ascii="Consolas" w:hAnsi="Consolas"/>
        </w:rPr>
        <w:t>per_position_drift.csv</w:t>
      </w:r>
      <w:r>
        <w:t xml:space="preserve"> | — | Per-position cross-species (ortholog) drift | Fig 4 |</w:t>
      </w:r>
    </w:p>
    <w:p w14:paraId="5AF0C8A8" w14:textId="77777777" w:rsidR="009A6F2F" w:rsidRDefault="009A6F2F" w:rsidP="009A6F2F">
      <w:r>
        <w:t xml:space="preserve">| </w:t>
      </w:r>
      <w:r>
        <w:rPr>
          <w:rFonts w:ascii="Consolas" w:hAnsi="Consolas"/>
        </w:rPr>
        <w:t>layer_turnover_4way.csv</w:t>
      </w:r>
      <w:r>
        <w:t xml:space="preserve"> | — | Four-layer class-mode turnover | Fig 4 |</w:t>
      </w:r>
    </w:p>
    <w:p w14:paraId="624EC400" w14:textId="77777777" w:rsidR="009A6F2F" w:rsidRDefault="009A6F2F" w:rsidP="009A6F2F">
      <w:r>
        <w:t xml:space="preserve">| </w:t>
      </w:r>
      <w:r>
        <w:rPr>
          <w:rFonts w:ascii="Consolas" w:hAnsi="Consolas"/>
        </w:rPr>
        <w:t>asr_events.csv</w:t>
      </w:r>
      <w:r>
        <w:t xml:space="preserve"> | 211 | Fitch-parsimony ancestral substitution-event counts per position | Fig 4 |</w:t>
      </w:r>
    </w:p>
    <w:p w14:paraId="02C20E38" w14:textId="77777777" w:rsidR="009A6F2F" w:rsidRDefault="009A6F2F" w:rsidP="009A6F2F">
      <w:r>
        <w:t xml:space="preserve">| </w:t>
      </w:r>
      <w:r>
        <w:rPr>
          <w:rFonts w:ascii="Consolas" w:hAnsi="Consolas"/>
        </w:rPr>
        <w:t>crossclass_transfer.csv</w:t>
      </w:r>
      <w:r>
        <w:t xml:space="preserve"> | 25 | Class-A vs class-B/C/F specificity divergence for </w:t>
      </w:r>
      <w:proofErr w:type="spellStart"/>
      <w:r>
        <w:t>alignable</w:t>
      </w:r>
      <w:proofErr w:type="spellEnd"/>
      <w:r>
        <w:t xml:space="preserve"> positions | Fig 6 |</w:t>
      </w:r>
    </w:p>
    <w:p w14:paraId="69A82221" w14:textId="77777777" w:rsidR="009A6F2F" w:rsidRDefault="009A6F2F" w:rsidP="009A6F2F">
      <w:r>
        <w:t xml:space="preserve">| </w:t>
      </w:r>
      <w:r>
        <w:rPr>
          <w:rFonts w:ascii="Consolas" w:hAnsi="Consolas"/>
        </w:rPr>
        <w:t>protease_spectrum.csv</w:t>
      </w:r>
      <w:r>
        <w:t xml:space="preserve"> | 208 | Serine-protease conservation/JSD/anomaly per </w:t>
      </w:r>
      <w:proofErr w:type="spellStart"/>
      <w:r>
        <w:t>Pfam</w:t>
      </w:r>
      <w:proofErr w:type="spellEnd"/>
      <w:r>
        <w:t xml:space="preserve"> column, with modal residues | Fig 6 |</w:t>
      </w:r>
    </w:p>
    <w:p w14:paraId="72323723" w14:textId="77777777" w:rsidR="009A6F2F" w:rsidRDefault="009A6F2F" w:rsidP="009A6F2F">
      <w:r>
        <w:t xml:space="preserve">| </w:t>
      </w:r>
      <w:r>
        <w:rPr>
          <w:rFonts w:ascii="Consolas" w:hAnsi="Consolas"/>
        </w:rPr>
        <w:t>kinase_spectrum.csv</w:t>
      </w:r>
      <w:r>
        <w:t xml:space="preserve"> | — | Protein-kinase conservation/JSD/anomaly per </w:t>
      </w:r>
      <w:proofErr w:type="spellStart"/>
      <w:r>
        <w:t>Pfam</w:t>
      </w:r>
      <w:proofErr w:type="spellEnd"/>
      <w:r>
        <w:t xml:space="preserve"> column, with modal residues | Fig 6 |</w:t>
      </w:r>
    </w:p>
    <w:p w14:paraId="0B7A20D2" w14:textId="77777777" w:rsidR="009A6F2F" w:rsidRDefault="009A6F2F" w:rsidP="009A6F2F">
      <w:r>
        <w:t xml:space="preserve">| </w:t>
      </w:r>
      <w:proofErr w:type="spellStart"/>
      <w:r>
        <w:rPr>
          <w:rFonts w:ascii="Consolas" w:hAnsi="Consolas"/>
        </w:rPr>
        <w:t>derived_</w:t>
      </w:r>
      <w:proofErr w:type="gramStart"/>
      <w:r>
        <w:rPr>
          <w:rFonts w:ascii="Consolas" w:hAnsi="Consolas"/>
        </w:rPr>
        <w:t>numbers.json</w:t>
      </w:r>
      <w:proofErr w:type="spellEnd"/>
      <w:proofErr w:type="gramEnd"/>
      <w:r>
        <w:t xml:space="preserve"> | — | Confusion matrix, reprogramming trajectory summary, coupling quantitation | Fig 3, 5 |</w:t>
      </w:r>
    </w:p>
    <w:p w14:paraId="6749C95D" w14:textId="77777777" w:rsidR="009A6F2F" w:rsidRDefault="009A6F2F" w:rsidP="009A6F2F">
      <w:r>
        <w:t xml:space="preserve">| </w:t>
      </w:r>
      <w:r>
        <w:rPr>
          <w:rFonts w:ascii="Consolas" w:hAnsi="Consolas"/>
        </w:rPr>
        <w:t>README</w:t>
      </w:r>
      <w:r>
        <w:t xml:space="preserve"> | — | Column dictionary for the master table and all derived tables | all |</w:t>
      </w:r>
    </w:p>
    <w:p w14:paraId="14BEF404" w14:textId="77777777" w:rsidR="009A6F2F" w:rsidRDefault="009A6F2F" w:rsidP="009A6F2F">
      <w:r>
        <w:lastRenderedPageBreak/>
        <w:t xml:space="preserve">Master table artifact: </w:t>
      </w:r>
      <w:r>
        <w:rPr>
          <w:rFonts w:ascii="Consolas" w:hAnsi="Consolas"/>
        </w:rPr>
        <w:t>35ad9064-0572-4768-a42d-ea2d0e32ba9f</w:t>
      </w:r>
      <w:r>
        <w:t xml:space="preserve">; README: </w:t>
      </w:r>
      <w:r>
        <w:rPr>
          <w:rFonts w:ascii="Consolas" w:hAnsi="Consolas"/>
        </w:rPr>
        <w:t>1ea1e8e3-55d2-417c-aa78-e2479cef01e0</w:t>
      </w:r>
      <w:r>
        <w:t>.</w:t>
      </w:r>
    </w:p>
    <w:p w14:paraId="1BC13FAA" w14:textId="77777777" w:rsidR="00C6465A" w:rsidRDefault="00C6465A"/>
    <w:sectPr w:rsidR="00C6465A" w:rsidSect="009A6F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2F"/>
    <w:rsid w:val="000905F0"/>
    <w:rsid w:val="00112C91"/>
    <w:rsid w:val="00242B4F"/>
    <w:rsid w:val="00302F9E"/>
    <w:rsid w:val="00350B57"/>
    <w:rsid w:val="004E23CF"/>
    <w:rsid w:val="006D5216"/>
    <w:rsid w:val="009A6F2F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68D37"/>
  <w15:chartTrackingRefBased/>
  <w15:docId w15:val="{4FC29E08-1773-46EA-8A7D-DE51CE50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F2F"/>
    <w:pPr>
      <w:spacing w:after="200" w:line="276" w:lineRule="auto"/>
    </w:pPr>
    <w:rPr>
      <w:rFonts w:ascii="Calibri" w:eastAsiaTheme="minorEastAsia" w:hAnsi="Calibri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F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6F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F2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F2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F2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F2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F2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F2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F2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6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F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F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F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F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F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F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6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F2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6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F2F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6F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F2F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6F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F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1764</Characters>
  <Application>Microsoft Office Word</Application>
  <DocSecurity>0</DocSecurity>
  <Lines>28</Lines>
  <Paragraphs>6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2026-08-11T09:36:00Z</dcterms:created>
  <dcterms:modified xsi:type="dcterms:W3CDTF">2026-08-11T09:36:00Z</dcterms:modified>
</cp:coreProperties>
</file>