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EB2F7">
      <w:pPr>
        <w:adjustRightIn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drawing>
          <wp:inline distT="0" distB="0" distL="114300" distR="114300">
            <wp:extent cx="5314950" cy="4851400"/>
            <wp:effectExtent l="0" t="0" r="6350" b="0"/>
            <wp:docPr id="8" name="图片 8" descr="8efc8ac7-2929-4d29-ab69-375c0b96dc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efc8ac7-2929-4d29-ab69-375c0b96dca3"/>
                    <pic:cNvPicPr>
                      <a:picLocks noChangeAspect="1"/>
                    </pic:cNvPicPr>
                  </pic:nvPicPr>
                  <pic:blipFill>
                    <a:blip r:embed="rId4"/>
                    <a:srcRect b="1470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499DA">
      <w:pPr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 xml:space="preserve">The workflow for this study. </w:t>
      </w:r>
      <w:r>
        <w:rPr>
          <w:rFonts w:hint="eastAsia" w:ascii="Times New Roman" w:hAnsi="Times New Roman" w:cs="Times New Roman"/>
          <w:sz w:val="20"/>
          <w:szCs w:val="20"/>
        </w:rPr>
        <w:t xml:space="preserve">a) Field experiment and microbiome profiling. Rhizosphere soil samples were collected from healthy and Fusarium root rot-diseased Salvia miltiorrhiza plants across three geographically distinct cultivation regions (FY, SJZ, and CD). Soil physicochemical properties were characterized,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F. oxysporum</w:t>
      </w:r>
      <w:r>
        <w:rPr>
          <w:rFonts w:hint="eastAsia" w:ascii="Times New Roman" w:hAnsi="Times New Roman" w:cs="Times New Roman"/>
          <w:sz w:val="20"/>
          <w:szCs w:val="20"/>
        </w:rPr>
        <w:t xml:space="preserve"> abundance was quantified by qPCR, and bacterial community composition was profiled via 16S rRNA amplicon sequencing to identify health-associated core microbiota. b) Isolation and biocontrol efficacy evaluation. Bacterial strains were isolated from healthy rhizosphere soils, identified by Sanger sequencing, and screened for antagonistic activity against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F. oxysporum</w:t>
      </w:r>
      <w:r>
        <w:rPr>
          <w:rFonts w:hint="eastAsia" w:ascii="Times New Roman" w:hAnsi="Times New Roman" w:cs="Times New Roman"/>
          <w:sz w:val="20"/>
          <w:szCs w:val="20"/>
        </w:rPr>
        <w:t>. The candidate strain Lysobacter enzymogenes Ly-1 was selected for further evaluation of its biocontrol efficacy through greenhouse pot and field experiments. c) Biocontrol mechanism investigation. The complete genome of Ly-1 was sequenced and assembled to identify biocontrol-related gene clusters. Siderophore production was assessed under iron-limited MKB culture conditions, and the antifungal activity of iron-limited culture supernatants was tested. Transcriptomic analysis of Ly-1 under iron-limited versus iron-replete conditions, combined with volcano plot and KEGG enrichment analysis, revealed the molecular basis of siderophore-mediated iron competition and pathogen suppression.</w:t>
      </w:r>
    </w:p>
    <w:p w14:paraId="4B814274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7325" cy="2624455"/>
            <wp:effectExtent l="0" t="0" r="3175" b="4445"/>
            <wp:docPr id="2" name="图片 2" descr="1744551796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45517967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66F8C">
      <w:pPr>
        <w:rPr>
          <w:rFonts w:hint="eastAsia" w:eastAsiaTheme="minorEastAsia"/>
          <w:color w:val="auto"/>
          <w:sz w:val="22"/>
          <w:szCs w:val="28"/>
          <w:lang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S2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omparison of 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oil physicochemical properties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in rhizosphere soils, with box plots demonstrating significantly higher pathogen abundance in diseased samples (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ns no significant, *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&lt; 0.05, *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&lt; 0.01,***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&lt; 0.001, Wilcoxon rank-sum test).</w:t>
      </w:r>
    </w:p>
    <w:p w14:paraId="592A3C29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9230" cy="1901825"/>
            <wp:effectExtent l="0" t="0" r="1270" b="3175"/>
            <wp:docPr id="5" name="图片 5" descr="1744551818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45518181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08FDD"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S3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Box plot of rhizosphere bacterial observed species (a) and shannon(b) index</w:t>
      </w:r>
      <w:r>
        <w:rPr>
          <w:rFonts w:ascii="Times New Roman" w:hAnsi="Times New Roman" w:cs="Times New Roman"/>
          <w:color w:val="auto"/>
          <w:sz w:val="20"/>
          <w:szCs w:val="20"/>
        </w:rPr>
        <w:t>(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ns no significant, *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&lt; 0.05, Wilcoxon rank-sum test)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 w14:paraId="656193FD"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5267960" cy="1458595"/>
            <wp:effectExtent l="0" t="0" r="2540" b="1905"/>
            <wp:docPr id="1" name="图片 1" descr="1746388585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63885853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13D1F">
      <w:pPr>
        <w:adjustRightInd w:val="0"/>
        <w:snapToGrid w:val="0"/>
        <w:spacing w:line="360" w:lineRule="auto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S4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>T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he bubble chart displaying the log</w:t>
      </w:r>
      <w:r>
        <w:rPr>
          <w:rFonts w:hint="eastAsia" w:ascii="Times New Roman" w:hAnsi="Times New Roman" w:cs="Times New Roman"/>
          <w:color w:val="auto"/>
          <w:sz w:val="20"/>
          <w:szCs w:val="20"/>
          <w:vertAlign w:val="subscript"/>
          <w:lang w:val="en-US" w:eastAsia="zh-CN"/>
        </w:rPr>
        <w:t>10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fold change in the average relative abundance of core genera (29) from different groups.</w:t>
      </w:r>
    </w:p>
    <w:p w14:paraId="4452E865"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3DD8783D">
      <w:pPr>
        <w:jc w:val="center"/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2125345" cy="2046605"/>
            <wp:effectExtent l="0" t="0" r="8255" b="10795"/>
            <wp:docPr id="3" name="图片 3" descr="1744510578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45105785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F1DD4">
      <w:pPr>
        <w:jc w:val="both"/>
        <w:rPr>
          <w:rFonts w:hint="eastAsia" w:eastAsiaTheme="minorEastAsia"/>
          <w:color w:val="auto"/>
          <w:sz w:val="22"/>
          <w:szCs w:val="28"/>
          <w:lang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S5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Antagonistic activity demonstrated by co-culture assay on potato dextrose agar (PDA), showing inhibition zone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mediated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by 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Lysobacte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r Ly-1,Ly-2,Ly-3 and Ly-4.</w:t>
      </w:r>
    </w:p>
    <w:p w14:paraId="6DAB52AA">
      <w:pPr>
        <w:jc w:val="center"/>
        <w:rPr>
          <w:rFonts w:hint="eastAsia" w:eastAsiaTheme="minorEastAsia"/>
          <w:color w:val="auto"/>
          <w:lang w:eastAsia="zh-CN"/>
        </w:rPr>
      </w:pPr>
    </w:p>
    <w:p w14:paraId="771326E9">
      <w:pPr>
        <w:jc w:val="center"/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4064635" cy="1802765"/>
            <wp:effectExtent l="0" t="0" r="12065" b="635"/>
            <wp:docPr id="4" name="图片 4" descr="1744510608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44510608468"/>
                    <pic:cNvPicPr>
                      <a:picLocks noChangeAspect="1"/>
                    </pic:cNvPicPr>
                  </pic:nvPicPr>
                  <pic:blipFill>
                    <a:blip r:embed="rId9"/>
                    <a:srcRect b="1409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268B1">
      <w:pPr>
        <w:jc w:val="center"/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S6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  <w:t xml:space="preserve">Field test of the disease suppression and growth improvement activity of the </w:t>
      </w:r>
      <w:r>
        <w:rPr>
          <w:rStyle w:val="4"/>
          <w:rFonts w:hint="eastAsia" w:ascii="Times New Roman" w:hAnsi="Times New Roman" w:cs="Times New Roman"/>
          <w:b w:val="0"/>
          <w:bCs w:val="0"/>
          <w:i/>
          <w:iCs w:val="0"/>
          <w:color w:val="auto"/>
          <w:sz w:val="20"/>
          <w:szCs w:val="20"/>
          <w:lang w:val="en-US" w:eastAsia="zh-CN"/>
        </w:rPr>
        <w:t>Lysobacter</w:t>
      </w:r>
      <w:r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  <w:t xml:space="preserve"> Ly-1.</w:t>
      </w:r>
    </w:p>
    <w:p w14:paraId="3FFD4A10">
      <w:pPr>
        <w:jc w:val="center"/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</w:pPr>
      <w:r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3758565" cy="1795780"/>
            <wp:effectExtent l="0" t="0" r="635" b="7620"/>
            <wp:docPr id="6" name="图片 6" descr="91d22d95-e02a-4c3f-9de3-ca4a536520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1d22d95-e02a-4c3f-9de3-ca4a536520b2"/>
                    <pic:cNvPicPr>
                      <a:picLocks noChangeAspect="1"/>
                    </pic:cNvPicPr>
                  </pic:nvPicPr>
                  <pic:blipFill>
                    <a:blip r:embed="rId10"/>
                    <a:srcRect r="748"/>
                    <a:stretch>
                      <a:fillRect/>
                    </a:stretch>
                  </pic:blipFill>
                  <pic:spPr>
                    <a:xfrm>
                      <a:off x="0" y="0"/>
                      <a:ext cx="3758565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9A658">
      <w:pPr>
        <w:jc w:val="both"/>
        <w:rPr>
          <w:rStyle w:val="4"/>
          <w:rFonts w:hint="default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S7</w:t>
      </w: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Style w:val="4"/>
          <w:rFonts w:hint="eastAsia" w:ascii="Times New Roman" w:hAnsi="Times New Roman" w:eastAsia="宋体" w:cs="Times New Roman"/>
          <w:b w:val="0"/>
          <w:bCs w:val="0"/>
          <w:iCs/>
          <w:color w:val="auto"/>
          <w:sz w:val="20"/>
          <w:szCs w:val="20"/>
          <w:lang w:val="en-US" w:eastAsia="zh-CN"/>
        </w:rPr>
        <w:t xml:space="preserve">Siderophore production by </w:t>
      </w:r>
      <w:r>
        <w:rPr>
          <w:rStyle w:val="4"/>
          <w:rFonts w:hint="eastAsia" w:ascii="Times New Roman" w:hAnsi="Times New Roman" w:eastAsia="宋体" w:cs="Times New Roman"/>
          <w:b w:val="0"/>
          <w:bCs w:val="0"/>
          <w:i/>
          <w:iCs w:val="0"/>
          <w:color w:val="auto"/>
          <w:sz w:val="20"/>
          <w:szCs w:val="20"/>
          <w:lang w:val="en-US" w:eastAsia="zh-CN"/>
        </w:rPr>
        <w:t>L. enzymogenes</w:t>
      </w:r>
      <w:r>
        <w:rPr>
          <w:rStyle w:val="4"/>
          <w:rFonts w:hint="eastAsia" w:ascii="Times New Roman" w:hAnsi="Times New Roman" w:eastAsia="宋体" w:cs="Times New Roman"/>
          <w:b w:val="0"/>
          <w:bCs w:val="0"/>
          <w:iCs/>
          <w:color w:val="auto"/>
          <w:sz w:val="20"/>
          <w:szCs w:val="20"/>
          <w:lang w:val="en-US" w:eastAsia="zh-CN"/>
        </w:rPr>
        <w:t xml:space="preserve"> Ly</w:t>
      </w:r>
      <w:r>
        <w:rPr>
          <w:rStyle w:val="4"/>
          <w:rFonts w:hint="eastAsia" w:ascii="Times New Roman" w:hAnsi="Times New Roman" w:eastAsia="宋体" w:cs="Times New Roman"/>
          <w:b w:val="0"/>
          <w:bCs w:val="0"/>
          <w:iCs/>
          <w:color w:val="auto"/>
          <w:sz w:val="20"/>
          <w:szCs w:val="20"/>
          <w:lang w:val="en-US" w:eastAsia="zh-CN"/>
        </w:rPr>
        <w:noBreakHyphen/>
      </w:r>
      <w:r>
        <w:rPr>
          <w:rStyle w:val="4"/>
          <w:rFonts w:hint="eastAsia" w:ascii="Times New Roman" w:hAnsi="Times New Roman" w:eastAsia="宋体" w:cs="Times New Roman"/>
          <w:b w:val="0"/>
          <w:bCs w:val="0"/>
          <w:iCs/>
          <w:color w:val="auto"/>
          <w:sz w:val="20"/>
          <w:szCs w:val="20"/>
          <w:lang w:val="en-US" w:eastAsia="zh-CN"/>
        </w:rPr>
        <w:t>1 (a) yellow halos surrounding Ly-1 colonies on CAS agar plate after 4 d of incubation, indicating siderophore production</w:t>
      </w:r>
      <w:r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  <w:t xml:space="preserve"> (b) the cell-free supernatant of Ly-1 cultured in iron-limited MKB medium for 48 h was mixed with CAS detection solution, and the color changed from blue to light red, further confirming siderophore production</w:t>
      </w:r>
    </w:p>
    <w:p w14:paraId="06B26A87">
      <w:pPr>
        <w:jc w:val="center"/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9230" cy="2183130"/>
            <wp:effectExtent l="0" t="0" r="1270" b="1270"/>
            <wp:docPr id="7" name="图片 7" descr="174451124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44511241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84095">
      <w:pPr>
        <w:jc w:val="center"/>
        <w:rPr>
          <w:rFonts w:hint="eastAsia" w:eastAsiaTheme="minorEastAsia"/>
          <w:b w:val="0"/>
          <w:bCs w:val="0"/>
          <w:color w:val="auto"/>
          <w:lang w:val="en-US" w:eastAsia="zh-CN"/>
        </w:rPr>
      </w:pPr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Fig. 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>S8</w:t>
      </w:r>
      <w:bookmarkStart w:id="0" w:name="_GoBack"/>
      <w:bookmarkEnd w:id="0"/>
      <w:r>
        <w:rPr>
          <w:rStyle w:val="4"/>
          <w:rFonts w:ascii="Times New Roman" w:hAnsi="Times New Roman" w:cs="Times New Roman"/>
          <w:b/>
          <w:bCs/>
          <w:iCs/>
          <w:color w:val="auto"/>
          <w:sz w:val="20"/>
          <w:szCs w:val="20"/>
        </w:rPr>
        <w:t>.</w:t>
      </w:r>
      <w:r>
        <w:rPr>
          <w:rStyle w:val="4"/>
          <w:rFonts w:hint="eastAsia" w:ascii="Times New Roman" w:hAnsi="Times New Roman" w:cs="Times New Roman"/>
          <w:b/>
          <w:bCs/>
          <w:iCs/>
          <w:color w:val="auto"/>
          <w:sz w:val="20"/>
          <w:szCs w:val="20"/>
          <w:lang w:val="en-US" w:eastAsia="zh-CN"/>
        </w:rPr>
        <w:t xml:space="preserve"> </w:t>
      </w:r>
      <w:r>
        <w:rPr>
          <w:rStyle w:val="4"/>
          <w:rFonts w:hint="eastAsia" w:ascii="Times New Roman" w:hAnsi="Times New Roman" w:cs="Times New Roman"/>
          <w:b w:val="0"/>
          <w:bCs w:val="0"/>
          <w:iCs/>
          <w:color w:val="auto"/>
          <w:sz w:val="20"/>
          <w:szCs w:val="20"/>
          <w:lang w:val="en-US" w:eastAsia="zh-CN"/>
        </w:rPr>
        <w:t>Predicted biosynthetic gene cluster (a) and chemical planar structure (b) of Lysocin 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qhfqlAdvTTaf7f9f4f.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9C0317"/>
    <w:rsid w:val="37240EEA"/>
    <w:rsid w:val="51BD17B3"/>
    <w:rsid w:val="5E76326C"/>
    <w:rsid w:val="697C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autoRedefine/>
    <w:qFormat/>
    <w:uiPriority w:val="0"/>
    <w:rPr>
      <w:rFonts w:hint="default" w:ascii="HqhfqlAdvTTaf7f9f4f.B" w:hAnsi="HqhfqlAdvTTaf7f9f4f.B"/>
      <w:color w:val="131413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</Words>
  <Characters>1085</Characters>
  <Lines>0</Lines>
  <Paragraphs>0</Paragraphs>
  <TotalTime>15</TotalTime>
  <ScaleCrop>false</ScaleCrop>
  <LinksUpToDate>false</LinksUpToDate>
  <CharactersWithSpaces>1268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2025-04-13T02:15:00Z</dcterms:created>
  <dc:creator>ASUS</dc:creator>
  <cp:lastModifiedBy>GAN</cp:lastModifiedBy>
  <dcterms:modified xsi:type="dcterms:W3CDTF">2026-07-31T06:10:00Z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eyJoZGlkIjoiMTQxMjkyNmQ5MTUzZDFmODllZWIyMDE4ZmMzYjVlN2QiLCJ1c2VySWQiOiI0NzkwMzg2ODEifQ==</vt:lpwstr>
  </property>
  <property fmtid="{D5CDD505-2E9C-101B-9397-08002B2CF9AE}" pid="4" name="ICV">
    <vt:lpwstr>BD3BDE53C0BF4EEFBBEEDA82652EEB25_12</vt:lpwstr>
  </property>
</Properties>
</file>