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90886">
      <w:pPr>
        <w:spacing w:after="80"/>
        <w:rPr>
          <w:sz w:val="22"/>
          <w:szCs w:val="22"/>
        </w:rPr>
      </w:pPr>
      <w:r>
        <w:rPr>
          <w:rFonts w:ascii="Times New Roman" w:hAnsi="Times New Roman" w:eastAsia="Times New Roman"/>
          <w:b/>
          <w:sz w:val="22"/>
          <w:szCs w:val="22"/>
        </w:rPr>
        <w:t>Table S4. Death-related cost truncation sensitivity analysis comparing Groups II and IV in the training and temporal validation cohorts</w:t>
      </w:r>
    </w:p>
    <w:p w14:paraId="61FCE27F">
      <w:pPr>
        <w:spacing w:before="0" w:after="40"/>
        <w:rPr>
          <w:sz w:val="22"/>
          <w:szCs w:val="22"/>
        </w:rPr>
      </w:pPr>
      <w:r>
        <w:rPr>
          <w:rFonts w:ascii="Times New Roman" w:hAnsi="Times New Roman" w:eastAsia="Times New Roman"/>
          <w:b/>
          <w:sz w:val="22"/>
          <w:szCs w:val="22"/>
        </w:rPr>
        <w:t>A. Training cohort (out-of-fold predictions)</w:t>
      </w:r>
    </w:p>
    <w:tbl>
      <w:tblPr>
        <w:tblStyle w:val="3"/>
        <w:tblW w:w="10070" w:type="dxa"/>
        <w:tblInd w:w="-744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2420"/>
        <w:gridCol w:w="2170"/>
        <w:gridCol w:w="1340"/>
        <w:gridCol w:w="1240"/>
        <w:gridCol w:w="1210"/>
        <w:gridCol w:w="1690"/>
      </w:tblGrid>
      <w:tr w14:paraId="0DBF71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tcBorders>
              <w:bottom w:val="single" w:color="auto" w:sz="4" w:space="0"/>
            </w:tcBorders>
          </w:tcPr>
          <w:p w14:paraId="5D5DCC8F">
            <w:pPr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22"/>
              </w:rPr>
              <w:t>Analysis population</w:t>
            </w:r>
          </w:p>
        </w:tc>
        <w:tc>
          <w:tcPr>
            <w:tcW w:w="2170" w:type="dxa"/>
            <w:tcBorders>
              <w:bottom w:val="single" w:color="auto" w:sz="4" w:space="0"/>
            </w:tcBorders>
          </w:tcPr>
          <w:p w14:paraId="735BB8D3">
            <w:pPr>
              <w:rPr>
                <w:sz w:val="22"/>
                <w:szCs w:val="36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Variable</w:t>
            </w:r>
          </w:p>
        </w:tc>
        <w:tc>
          <w:tcPr>
            <w:tcW w:w="1340" w:type="dxa"/>
            <w:tcBorders>
              <w:bottom w:val="single" w:color="auto" w:sz="4" w:space="0"/>
            </w:tcBorders>
          </w:tcPr>
          <w:p w14:paraId="029F8B0E">
            <w:pPr>
              <w:rPr>
                <w:sz w:val="22"/>
                <w:szCs w:val="36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Group II</w:t>
            </w:r>
          </w:p>
        </w:tc>
        <w:tc>
          <w:tcPr>
            <w:tcW w:w="1240" w:type="dxa"/>
            <w:tcBorders>
              <w:bottom w:val="single" w:color="auto" w:sz="4" w:space="0"/>
            </w:tcBorders>
          </w:tcPr>
          <w:p w14:paraId="210DBF80">
            <w:pPr>
              <w:rPr>
                <w:sz w:val="22"/>
                <w:szCs w:val="36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Group IV</w:t>
            </w:r>
          </w:p>
        </w:tc>
        <w:tc>
          <w:tcPr>
            <w:tcW w:w="1210" w:type="dxa"/>
            <w:tcBorders>
              <w:bottom w:val="single" w:color="auto" w:sz="4" w:space="0"/>
            </w:tcBorders>
          </w:tcPr>
          <w:p w14:paraId="0505C9E8">
            <w:pPr>
              <w:rPr>
                <w:sz w:val="22"/>
                <w:szCs w:val="36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P value</w:t>
            </w:r>
          </w:p>
        </w:tc>
        <w:tc>
          <w:tcPr>
            <w:tcW w:w="1690" w:type="dxa"/>
            <w:tcBorders>
              <w:bottom w:val="single" w:color="auto" w:sz="4" w:space="0"/>
            </w:tcBorders>
          </w:tcPr>
          <w:p w14:paraId="2E9C8E9D">
            <w:pPr>
              <w:rPr>
                <w:sz w:val="22"/>
                <w:szCs w:val="36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BH-adjusted P value</w:t>
            </w:r>
          </w:p>
        </w:tc>
      </w:tr>
      <w:tr w14:paraId="7257D0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tcBorders>
              <w:top w:val="single" w:color="auto" w:sz="4" w:space="0"/>
            </w:tcBorders>
            <w:vAlign w:val="center"/>
          </w:tcPr>
          <w:p w14:paraId="4B4407C9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70" w:type="dxa"/>
            <w:tcBorders>
              <w:top w:val="single" w:color="auto" w:sz="4" w:space="0"/>
            </w:tcBorders>
            <w:vAlign w:val="center"/>
          </w:tcPr>
          <w:p w14:paraId="2AB5B552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Patients retained, n (%)</w:t>
            </w:r>
          </w:p>
        </w:tc>
        <w:tc>
          <w:tcPr>
            <w:tcW w:w="1340" w:type="dxa"/>
            <w:tcBorders>
              <w:top w:val="single" w:color="auto" w:sz="4" w:space="0"/>
            </w:tcBorders>
            <w:vAlign w:val="center"/>
          </w:tcPr>
          <w:p w14:paraId="028281A5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220 (100.0%)</w:t>
            </w:r>
          </w:p>
        </w:tc>
        <w:tc>
          <w:tcPr>
            <w:tcW w:w="1240" w:type="dxa"/>
            <w:tcBorders>
              <w:top w:val="single" w:color="auto" w:sz="4" w:space="0"/>
            </w:tcBorders>
            <w:vAlign w:val="center"/>
          </w:tcPr>
          <w:p w14:paraId="734CAEA5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220 (100.0%)</w:t>
            </w:r>
          </w:p>
        </w:tc>
        <w:tc>
          <w:tcPr>
            <w:tcW w:w="1210" w:type="dxa"/>
            <w:tcBorders>
              <w:top w:val="single" w:color="auto" w:sz="4" w:space="0"/>
            </w:tcBorders>
            <w:vAlign w:val="center"/>
          </w:tcPr>
          <w:p w14:paraId="4B0ADB6B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  <w:tc>
          <w:tcPr>
            <w:tcW w:w="1690" w:type="dxa"/>
            <w:tcBorders>
              <w:top w:val="single" w:color="auto" w:sz="4" w:space="0"/>
            </w:tcBorders>
            <w:vAlign w:val="center"/>
          </w:tcPr>
          <w:p w14:paraId="56ACE474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</w:tr>
      <w:tr w14:paraId="44E13D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5095EEF1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70" w:type="dxa"/>
            <w:vAlign w:val="center"/>
          </w:tcPr>
          <w:p w14:paraId="70370D34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In-hospital mortality, n (%)</w:t>
            </w:r>
          </w:p>
        </w:tc>
        <w:tc>
          <w:tcPr>
            <w:tcW w:w="1340" w:type="dxa"/>
            <w:vAlign w:val="center"/>
          </w:tcPr>
          <w:p w14:paraId="4722E3C5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95 (43.2%)</w:t>
            </w:r>
          </w:p>
        </w:tc>
        <w:tc>
          <w:tcPr>
            <w:tcW w:w="1240" w:type="dxa"/>
            <w:vAlign w:val="center"/>
          </w:tcPr>
          <w:p w14:paraId="59F5FD8E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57 (25.9%)</w:t>
            </w:r>
          </w:p>
        </w:tc>
        <w:tc>
          <w:tcPr>
            <w:tcW w:w="1210" w:type="dxa"/>
            <w:vAlign w:val="center"/>
          </w:tcPr>
          <w:p w14:paraId="4E4E31DD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  <w:tc>
          <w:tcPr>
            <w:tcW w:w="1690" w:type="dxa"/>
            <w:vAlign w:val="center"/>
          </w:tcPr>
          <w:p w14:paraId="4806B752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</w:tr>
      <w:tr w14:paraId="31632D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39285FEF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70" w:type="dxa"/>
            <w:vAlign w:val="center"/>
          </w:tcPr>
          <w:p w14:paraId="36B1282B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High-cost hospitalization, n (%)</w:t>
            </w:r>
          </w:p>
        </w:tc>
        <w:tc>
          <w:tcPr>
            <w:tcW w:w="1340" w:type="dxa"/>
            <w:vAlign w:val="center"/>
          </w:tcPr>
          <w:p w14:paraId="6C397D63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56 (25.5%)</w:t>
            </w:r>
          </w:p>
        </w:tc>
        <w:tc>
          <w:tcPr>
            <w:tcW w:w="1240" w:type="dxa"/>
            <w:vAlign w:val="center"/>
          </w:tcPr>
          <w:p w14:paraId="78F4A58D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93 (42.3%)</w:t>
            </w:r>
          </w:p>
        </w:tc>
        <w:tc>
          <w:tcPr>
            <w:tcW w:w="1210" w:type="dxa"/>
            <w:vAlign w:val="center"/>
          </w:tcPr>
          <w:p w14:paraId="42E781D6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  <w:tc>
          <w:tcPr>
            <w:tcW w:w="1690" w:type="dxa"/>
            <w:vAlign w:val="center"/>
          </w:tcPr>
          <w:p w14:paraId="688B693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</w:tr>
      <w:tr w14:paraId="45BA1E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4A1C30F2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70" w:type="dxa"/>
            <w:vAlign w:val="center"/>
          </w:tcPr>
          <w:p w14:paraId="0FC22324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≤3 days, n (%)</w:t>
            </w:r>
          </w:p>
        </w:tc>
        <w:tc>
          <w:tcPr>
            <w:tcW w:w="1340" w:type="dxa"/>
            <w:vAlign w:val="center"/>
          </w:tcPr>
          <w:p w14:paraId="531007C3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240" w:type="dxa"/>
            <w:vAlign w:val="center"/>
          </w:tcPr>
          <w:p w14:paraId="1402CDCD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 (0.5%)</w:t>
            </w:r>
          </w:p>
        </w:tc>
        <w:tc>
          <w:tcPr>
            <w:tcW w:w="1210" w:type="dxa"/>
            <w:vAlign w:val="center"/>
          </w:tcPr>
          <w:p w14:paraId="29306E5E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  <w:tc>
          <w:tcPr>
            <w:tcW w:w="1690" w:type="dxa"/>
            <w:vAlign w:val="center"/>
          </w:tcPr>
          <w:p w14:paraId="67F82C97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</w:tr>
      <w:tr w14:paraId="1E805C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12DA41F6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70" w:type="dxa"/>
            <w:vAlign w:val="center"/>
          </w:tcPr>
          <w:p w14:paraId="53A24876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≤7 days, n (%)</w:t>
            </w:r>
          </w:p>
        </w:tc>
        <w:tc>
          <w:tcPr>
            <w:tcW w:w="1340" w:type="dxa"/>
            <w:vAlign w:val="center"/>
          </w:tcPr>
          <w:p w14:paraId="1BFC8C3A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23 (10.5%)</w:t>
            </w:r>
          </w:p>
        </w:tc>
        <w:tc>
          <w:tcPr>
            <w:tcW w:w="1240" w:type="dxa"/>
            <w:vAlign w:val="center"/>
          </w:tcPr>
          <w:p w14:paraId="14C27EAD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12 (5.5%)</w:t>
            </w:r>
          </w:p>
        </w:tc>
        <w:tc>
          <w:tcPr>
            <w:tcW w:w="1210" w:type="dxa"/>
            <w:vAlign w:val="center"/>
          </w:tcPr>
          <w:p w14:paraId="1FD4F436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0.077</w:t>
            </w:r>
          </w:p>
        </w:tc>
        <w:tc>
          <w:tcPr>
            <w:tcW w:w="1690" w:type="dxa"/>
            <w:vAlign w:val="center"/>
          </w:tcPr>
          <w:p w14:paraId="5B62075F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0.108</w:t>
            </w:r>
          </w:p>
        </w:tc>
      </w:tr>
      <w:tr w14:paraId="3EA0CB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74272407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70" w:type="dxa"/>
            <w:vAlign w:val="center"/>
          </w:tcPr>
          <w:p w14:paraId="03B6E238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Length of stay, days</w:t>
            </w:r>
          </w:p>
        </w:tc>
        <w:tc>
          <w:tcPr>
            <w:tcW w:w="1340" w:type="dxa"/>
            <w:vAlign w:val="center"/>
          </w:tcPr>
          <w:p w14:paraId="47BEBD61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(8.0-14.0)</w:t>
            </w:r>
          </w:p>
        </w:tc>
        <w:tc>
          <w:tcPr>
            <w:tcW w:w="1240" w:type="dxa"/>
            <w:vAlign w:val="center"/>
          </w:tcPr>
          <w:p w14:paraId="1C4A749B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(8.0-15.0)</w:t>
            </w:r>
          </w:p>
        </w:tc>
        <w:tc>
          <w:tcPr>
            <w:tcW w:w="1210" w:type="dxa"/>
            <w:vAlign w:val="center"/>
          </w:tcPr>
          <w:p w14:paraId="3A6168BE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0.394</w:t>
            </w:r>
          </w:p>
        </w:tc>
        <w:tc>
          <w:tcPr>
            <w:tcW w:w="1690" w:type="dxa"/>
            <w:vAlign w:val="center"/>
          </w:tcPr>
          <w:p w14:paraId="7B81C194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0.460</w:t>
            </w:r>
          </w:p>
        </w:tc>
      </w:tr>
      <w:tr w14:paraId="1967EF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01F0360B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70" w:type="dxa"/>
            <w:vAlign w:val="center"/>
          </w:tcPr>
          <w:p w14:paraId="56D54DE1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Total hospitalization cost, CNY</w:t>
            </w:r>
          </w:p>
        </w:tc>
        <w:tc>
          <w:tcPr>
            <w:tcW w:w="1340" w:type="dxa"/>
            <w:vAlign w:val="center"/>
          </w:tcPr>
          <w:p w14:paraId="0C545100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21871.90 (14149.75-40976.98)</w:t>
            </w:r>
          </w:p>
        </w:tc>
        <w:tc>
          <w:tcPr>
            <w:tcW w:w="1240" w:type="dxa"/>
            <w:vAlign w:val="center"/>
          </w:tcPr>
          <w:p w14:paraId="75389AE4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31303.86 (15990.81-61826.52)</w:t>
            </w:r>
          </w:p>
        </w:tc>
        <w:tc>
          <w:tcPr>
            <w:tcW w:w="1210" w:type="dxa"/>
            <w:vAlign w:val="center"/>
          </w:tcPr>
          <w:p w14:paraId="16ABB109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0.001</w:t>
            </w:r>
          </w:p>
        </w:tc>
        <w:tc>
          <w:tcPr>
            <w:tcW w:w="1690" w:type="dxa"/>
            <w:vAlign w:val="center"/>
          </w:tcPr>
          <w:p w14:paraId="5935F6C4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0.002</w:t>
            </w:r>
          </w:p>
        </w:tc>
      </w:tr>
      <w:tr w14:paraId="73BC19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73B3856C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70" w:type="dxa"/>
            <w:vAlign w:val="center"/>
          </w:tcPr>
          <w:p w14:paraId="0D57F0DE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Hospitalization cost per day, CNY/day</w:t>
            </w:r>
          </w:p>
        </w:tc>
        <w:tc>
          <w:tcPr>
            <w:tcW w:w="1340" w:type="dxa"/>
            <w:vAlign w:val="center"/>
          </w:tcPr>
          <w:p w14:paraId="2D9FA2BF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2188.84 (1440.88-3884.68)</w:t>
            </w:r>
          </w:p>
        </w:tc>
        <w:tc>
          <w:tcPr>
            <w:tcW w:w="1240" w:type="dxa"/>
            <w:vAlign w:val="center"/>
          </w:tcPr>
          <w:p w14:paraId="2A25C105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3185.35 (1595.82-5327.26)</w:t>
            </w:r>
          </w:p>
        </w:tc>
        <w:tc>
          <w:tcPr>
            <w:tcW w:w="1210" w:type="dxa"/>
            <w:vAlign w:val="center"/>
          </w:tcPr>
          <w:p w14:paraId="29C81C46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0.001</w:t>
            </w:r>
          </w:p>
        </w:tc>
        <w:tc>
          <w:tcPr>
            <w:tcW w:w="1690" w:type="dxa"/>
            <w:vAlign w:val="center"/>
          </w:tcPr>
          <w:p w14:paraId="030394EA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0.002</w:t>
            </w:r>
          </w:p>
        </w:tc>
      </w:tr>
      <w:tr w14:paraId="0F5D12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131CD5F1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70" w:type="dxa"/>
            <w:vAlign w:val="center"/>
          </w:tcPr>
          <w:p w14:paraId="0125B9E2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Patients retained, n (%)</w:t>
            </w:r>
          </w:p>
        </w:tc>
        <w:tc>
          <w:tcPr>
            <w:tcW w:w="1340" w:type="dxa"/>
            <w:vAlign w:val="center"/>
          </w:tcPr>
          <w:p w14:paraId="2D45934E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220 (100.0%)</w:t>
            </w:r>
          </w:p>
        </w:tc>
        <w:tc>
          <w:tcPr>
            <w:tcW w:w="1240" w:type="dxa"/>
            <w:vAlign w:val="center"/>
          </w:tcPr>
          <w:p w14:paraId="68BBE742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219 (99.5%)</w:t>
            </w:r>
          </w:p>
        </w:tc>
        <w:tc>
          <w:tcPr>
            <w:tcW w:w="1210" w:type="dxa"/>
            <w:vAlign w:val="center"/>
          </w:tcPr>
          <w:p w14:paraId="607E6BCF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  <w:tc>
          <w:tcPr>
            <w:tcW w:w="1690" w:type="dxa"/>
            <w:vAlign w:val="center"/>
          </w:tcPr>
          <w:p w14:paraId="56E167C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</w:tr>
      <w:tr w14:paraId="737781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0008F2C8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70" w:type="dxa"/>
            <w:vAlign w:val="center"/>
          </w:tcPr>
          <w:p w14:paraId="76E19FD7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In-hospital mortality, n (%)</w:t>
            </w:r>
          </w:p>
        </w:tc>
        <w:tc>
          <w:tcPr>
            <w:tcW w:w="1340" w:type="dxa"/>
            <w:vAlign w:val="center"/>
          </w:tcPr>
          <w:p w14:paraId="6164035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95 (43.2%)</w:t>
            </w:r>
          </w:p>
        </w:tc>
        <w:tc>
          <w:tcPr>
            <w:tcW w:w="1240" w:type="dxa"/>
            <w:vAlign w:val="center"/>
          </w:tcPr>
          <w:p w14:paraId="71887FD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56 (25.6%)</w:t>
            </w:r>
          </w:p>
        </w:tc>
        <w:tc>
          <w:tcPr>
            <w:tcW w:w="1210" w:type="dxa"/>
            <w:vAlign w:val="center"/>
          </w:tcPr>
          <w:p w14:paraId="734F4689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  <w:tc>
          <w:tcPr>
            <w:tcW w:w="1690" w:type="dxa"/>
            <w:vAlign w:val="center"/>
          </w:tcPr>
          <w:p w14:paraId="39BE8E5A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</w:tr>
      <w:tr w14:paraId="1D18CA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77AA6D47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70" w:type="dxa"/>
            <w:vAlign w:val="center"/>
          </w:tcPr>
          <w:p w14:paraId="0C1BFAE5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High-cost hospitalization, n (%)</w:t>
            </w:r>
          </w:p>
        </w:tc>
        <w:tc>
          <w:tcPr>
            <w:tcW w:w="1340" w:type="dxa"/>
            <w:vAlign w:val="center"/>
          </w:tcPr>
          <w:p w14:paraId="02F6AE49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56 (25.5%)</w:t>
            </w:r>
          </w:p>
        </w:tc>
        <w:tc>
          <w:tcPr>
            <w:tcW w:w="1240" w:type="dxa"/>
            <w:vAlign w:val="center"/>
          </w:tcPr>
          <w:p w14:paraId="210DFD7A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93 (42.5%)</w:t>
            </w:r>
          </w:p>
        </w:tc>
        <w:tc>
          <w:tcPr>
            <w:tcW w:w="1210" w:type="dxa"/>
            <w:vAlign w:val="center"/>
          </w:tcPr>
          <w:p w14:paraId="27DAA4BE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  <w:tc>
          <w:tcPr>
            <w:tcW w:w="1690" w:type="dxa"/>
            <w:vAlign w:val="center"/>
          </w:tcPr>
          <w:p w14:paraId="593A312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</w:tr>
      <w:tr w14:paraId="5A7A72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08009545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70" w:type="dxa"/>
            <w:vAlign w:val="center"/>
          </w:tcPr>
          <w:p w14:paraId="1390C149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≤3 days, n (%)</w:t>
            </w:r>
          </w:p>
        </w:tc>
        <w:tc>
          <w:tcPr>
            <w:tcW w:w="1340" w:type="dxa"/>
            <w:vAlign w:val="center"/>
          </w:tcPr>
          <w:p w14:paraId="6D2FD0E6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240" w:type="dxa"/>
            <w:vAlign w:val="center"/>
          </w:tcPr>
          <w:p w14:paraId="7F6E9CB6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210" w:type="dxa"/>
            <w:vAlign w:val="center"/>
          </w:tcPr>
          <w:p w14:paraId="4A7F2E32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  <w:tc>
          <w:tcPr>
            <w:tcW w:w="1690" w:type="dxa"/>
            <w:vAlign w:val="center"/>
          </w:tcPr>
          <w:p w14:paraId="26C57499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</w:tr>
      <w:tr w14:paraId="5A4FEC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2E53C69F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70" w:type="dxa"/>
            <w:vAlign w:val="center"/>
          </w:tcPr>
          <w:p w14:paraId="4C186536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≤7 days, n (%)</w:t>
            </w:r>
          </w:p>
        </w:tc>
        <w:tc>
          <w:tcPr>
            <w:tcW w:w="1340" w:type="dxa"/>
            <w:vAlign w:val="center"/>
          </w:tcPr>
          <w:p w14:paraId="6D12C72B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23 (10.5%)</w:t>
            </w:r>
          </w:p>
        </w:tc>
        <w:tc>
          <w:tcPr>
            <w:tcW w:w="1240" w:type="dxa"/>
            <w:vAlign w:val="center"/>
          </w:tcPr>
          <w:p w14:paraId="46EAAE83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 (5.0%)</w:t>
            </w:r>
          </w:p>
        </w:tc>
        <w:tc>
          <w:tcPr>
            <w:tcW w:w="1210" w:type="dxa"/>
            <w:vAlign w:val="center"/>
          </w:tcPr>
          <w:p w14:paraId="40AD2BB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0.048</w:t>
            </w:r>
          </w:p>
        </w:tc>
        <w:tc>
          <w:tcPr>
            <w:tcW w:w="1690" w:type="dxa"/>
            <w:vAlign w:val="center"/>
          </w:tcPr>
          <w:p w14:paraId="3CF4480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0.067</w:t>
            </w:r>
          </w:p>
        </w:tc>
      </w:tr>
      <w:tr w14:paraId="4469F6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725C60AA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70" w:type="dxa"/>
            <w:vAlign w:val="center"/>
          </w:tcPr>
          <w:p w14:paraId="39712DCC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Length of stay, days</w:t>
            </w:r>
          </w:p>
        </w:tc>
        <w:tc>
          <w:tcPr>
            <w:tcW w:w="1340" w:type="dxa"/>
            <w:vAlign w:val="center"/>
          </w:tcPr>
          <w:p w14:paraId="3E71EEAB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(8.0-14.0)</w:t>
            </w:r>
          </w:p>
        </w:tc>
        <w:tc>
          <w:tcPr>
            <w:tcW w:w="1240" w:type="dxa"/>
            <w:vAlign w:val="center"/>
          </w:tcPr>
          <w:p w14:paraId="4CE0039C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(8.0-15.0)</w:t>
            </w:r>
          </w:p>
        </w:tc>
        <w:tc>
          <w:tcPr>
            <w:tcW w:w="1210" w:type="dxa"/>
            <w:vAlign w:val="center"/>
          </w:tcPr>
          <w:p w14:paraId="6F609118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0.349</w:t>
            </w:r>
          </w:p>
        </w:tc>
        <w:tc>
          <w:tcPr>
            <w:tcW w:w="1690" w:type="dxa"/>
            <w:vAlign w:val="center"/>
          </w:tcPr>
          <w:p w14:paraId="26CBC1EE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0.408</w:t>
            </w:r>
          </w:p>
        </w:tc>
      </w:tr>
      <w:tr w14:paraId="633D16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21C03645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70" w:type="dxa"/>
            <w:vAlign w:val="center"/>
          </w:tcPr>
          <w:p w14:paraId="1EB3A664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Total hospitalization cost, CNY</w:t>
            </w:r>
          </w:p>
        </w:tc>
        <w:tc>
          <w:tcPr>
            <w:tcW w:w="1340" w:type="dxa"/>
            <w:vAlign w:val="center"/>
          </w:tcPr>
          <w:p w14:paraId="7C73A416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21871.90 (14149.75-40976.98)</w:t>
            </w:r>
          </w:p>
        </w:tc>
        <w:tc>
          <w:tcPr>
            <w:tcW w:w="1240" w:type="dxa"/>
            <w:vAlign w:val="center"/>
          </w:tcPr>
          <w:p w14:paraId="10159722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31405.75 (16159.42-62496.01)</w:t>
            </w:r>
          </w:p>
        </w:tc>
        <w:tc>
          <w:tcPr>
            <w:tcW w:w="1210" w:type="dxa"/>
            <w:vAlign w:val="center"/>
          </w:tcPr>
          <w:p w14:paraId="15FFFB6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0.001</w:t>
            </w:r>
          </w:p>
        </w:tc>
        <w:tc>
          <w:tcPr>
            <w:tcW w:w="1690" w:type="dxa"/>
            <w:vAlign w:val="center"/>
          </w:tcPr>
          <w:p w14:paraId="289FC8E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0.002</w:t>
            </w:r>
          </w:p>
        </w:tc>
      </w:tr>
      <w:tr w14:paraId="63070D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tcBorders>
              <w:bottom w:val="single" w:color="auto" w:sz="4" w:space="0"/>
            </w:tcBorders>
            <w:vAlign w:val="top"/>
          </w:tcPr>
          <w:p w14:paraId="568F1620">
            <w:pPr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22"/>
              </w:rPr>
              <w:t>Analysis population</w:t>
            </w:r>
          </w:p>
        </w:tc>
        <w:tc>
          <w:tcPr>
            <w:tcW w:w="2170" w:type="dxa"/>
            <w:tcBorders>
              <w:bottom w:val="single" w:color="auto" w:sz="4" w:space="0"/>
            </w:tcBorders>
            <w:vAlign w:val="top"/>
          </w:tcPr>
          <w:p w14:paraId="3C4C8D76">
            <w:pPr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Variable</w:t>
            </w:r>
          </w:p>
        </w:tc>
        <w:tc>
          <w:tcPr>
            <w:tcW w:w="1340" w:type="dxa"/>
            <w:tcBorders>
              <w:bottom w:val="single" w:color="auto" w:sz="4" w:space="0"/>
            </w:tcBorders>
            <w:vAlign w:val="top"/>
          </w:tcPr>
          <w:p w14:paraId="73FFB3F8">
            <w:pPr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Group II</w:t>
            </w:r>
          </w:p>
        </w:tc>
        <w:tc>
          <w:tcPr>
            <w:tcW w:w="1240" w:type="dxa"/>
            <w:tcBorders>
              <w:bottom w:val="single" w:color="auto" w:sz="4" w:space="0"/>
            </w:tcBorders>
            <w:vAlign w:val="top"/>
          </w:tcPr>
          <w:p w14:paraId="4AD64C41">
            <w:pPr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Group IV</w:t>
            </w:r>
          </w:p>
        </w:tc>
        <w:tc>
          <w:tcPr>
            <w:tcW w:w="1210" w:type="dxa"/>
            <w:tcBorders>
              <w:bottom w:val="single" w:color="auto" w:sz="4" w:space="0"/>
            </w:tcBorders>
            <w:vAlign w:val="top"/>
          </w:tcPr>
          <w:p w14:paraId="7296EE44">
            <w:pPr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P value</w:t>
            </w:r>
          </w:p>
        </w:tc>
        <w:tc>
          <w:tcPr>
            <w:tcW w:w="1690" w:type="dxa"/>
            <w:tcBorders>
              <w:bottom w:val="single" w:color="auto" w:sz="4" w:space="0"/>
            </w:tcBorders>
            <w:vAlign w:val="top"/>
          </w:tcPr>
          <w:p w14:paraId="32B88006">
            <w:pPr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BH-adjusted P value</w:t>
            </w:r>
          </w:p>
        </w:tc>
      </w:tr>
      <w:tr w14:paraId="187204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tcBorders>
              <w:top w:val="single" w:color="auto" w:sz="4" w:space="0"/>
            </w:tcBorders>
            <w:vAlign w:val="center"/>
          </w:tcPr>
          <w:p w14:paraId="1E4D06AB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70" w:type="dxa"/>
            <w:tcBorders>
              <w:top w:val="single" w:color="auto" w:sz="4" w:space="0"/>
            </w:tcBorders>
            <w:vAlign w:val="center"/>
          </w:tcPr>
          <w:p w14:paraId="17398EDE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Hospitalization cost per day, CNY/day</w:t>
            </w:r>
          </w:p>
        </w:tc>
        <w:tc>
          <w:tcPr>
            <w:tcW w:w="1340" w:type="dxa"/>
            <w:tcBorders>
              <w:top w:val="single" w:color="auto" w:sz="4" w:space="0"/>
            </w:tcBorders>
            <w:vAlign w:val="center"/>
          </w:tcPr>
          <w:p w14:paraId="458DB61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2188.84 (1440.88-3884.68)</w:t>
            </w:r>
          </w:p>
        </w:tc>
        <w:tc>
          <w:tcPr>
            <w:tcW w:w="1240" w:type="dxa"/>
            <w:tcBorders>
              <w:top w:val="single" w:color="auto" w:sz="4" w:space="0"/>
            </w:tcBorders>
            <w:vAlign w:val="center"/>
          </w:tcPr>
          <w:p w14:paraId="33906A1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3160.39 (1589.31-5339.69)</w:t>
            </w:r>
          </w:p>
        </w:tc>
        <w:tc>
          <w:tcPr>
            <w:tcW w:w="1210" w:type="dxa"/>
            <w:tcBorders>
              <w:top w:val="single" w:color="auto" w:sz="4" w:space="0"/>
            </w:tcBorders>
            <w:vAlign w:val="center"/>
          </w:tcPr>
          <w:p w14:paraId="33DA8A20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0.002</w:t>
            </w:r>
          </w:p>
        </w:tc>
        <w:tc>
          <w:tcPr>
            <w:tcW w:w="1690" w:type="dxa"/>
            <w:tcBorders>
              <w:top w:val="single" w:color="auto" w:sz="4" w:space="0"/>
            </w:tcBorders>
            <w:vAlign w:val="center"/>
          </w:tcPr>
          <w:p w14:paraId="31B90DB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0.003</w:t>
            </w:r>
          </w:p>
        </w:tc>
      </w:tr>
      <w:tr w14:paraId="365056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07D7C845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70" w:type="dxa"/>
            <w:vAlign w:val="center"/>
          </w:tcPr>
          <w:p w14:paraId="29030789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Patients retained, n (%)</w:t>
            </w:r>
          </w:p>
        </w:tc>
        <w:tc>
          <w:tcPr>
            <w:tcW w:w="1340" w:type="dxa"/>
            <w:vAlign w:val="center"/>
          </w:tcPr>
          <w:p w14:paraId="2CDCF118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197 (89.5%)</w:t>
            </w:r>
          </w:p>
        </w:tc>
        <w:tc>
          <w:tcPr>
            <w:tcW w:w="1240" w:type="dxa"/>
            <w:vAlign w:val="center"/>
          </w:tcPr>
          <w:p w14:paraId="7857549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208 (94.5%)</w:t>
            </w:r>
          </w:p>
        </w:tc>
        <w:tc>
          <w:tcPr>
            <w:tcW w:w="1210" w:type="dxa"/>
            <w:vAlign w:val="center"/>
          </w:tcPr>
          <w:p w14:paraId="49F38840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  <w:tc>
          <w:tcPr>
            <w:tcW w:w="1690" w:type="dxa"/>
            <w:vAlign w:val="center"/>
          </w:tcPr>
          <w:p w14:paraId="5D6C930C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</w:tr>
      <w:tr w14:paraId="766BAB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08EF544F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70" w:type="dxa"/>
            <w:vAlign w:val="center"/>
          </w:tcPr>
          <w:p w14:paraId="2F65F5FF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In-hospital mortality, n (%)</w:t>
            </w:r>
          </w:p>
        </w:tc>
        <w:tc>
          <w:tcPr>
            <w:tcW w:w="1340" w:type="dxa"/>
            <w:vAlign w:val="center"/>
          </w:tcPr>
          <w:p w14:paraId="049213A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72 (36.5%)</w:t>
            </w:r>
          </w:p>
        </w:tc>
        <w:tc>
          <w:tcPr>
            <w:tcW w:w="1240" w:type="dxa"/>
            <w:vAlign w:val="center"/>
          </w:tcPr>
          <w:p w14:paraId="3B6D3A08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45 (21.6%)</w:t>
            </w:r>
          </w:p>
        </w:tc>
        <w:tc>
          <w:tcPr>
            <w:tcW w:w="1210" w:type="dxa"/>
            <w:vAlign w:val="center"/>
          </w:tcPr>
          <w:p w14:paraId="19B8E3D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0.001</w:t>
            </w:r>
          </w:p>
        </w:tc>
        <w:tc>
          <w:tcPr>
            <w:tcW w:w="1690" w:type="dxa"/>
            <w:vAlign w:val="center"/>
          </w:tcPr>
          <w:p w14:paraId="2D517F4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0.003</w:t>
            </w:r>
          </w:p>
        </w:tc>
      </w:tr>
      <w:tr w14:paraId="5A0835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64C65827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70" w:type="dxa"/>
            <w:vAlign w:val="center"/>
          </w:tcPr>
          <w:p w14:paraId="43B476DA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High-cost hospitalization, n (%)</w:t>
            </w:r>
          </w:p>
        </w:tc>
        <w:tc>
          <w:tcPr>
            <w:tcW w:w="1340" w:type="dxa"/>
            <w:vAlign w:val="center"/>
          </w:tcPr>
          <w:p w14:paraId="4A81737A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53 (26.9%)</w:t>
            </w:r>
          </w:p>
        </w:tc>
        <w:tc>
          <w:tcPr>
            <w:tcW w:w="1240" w:type="dxa"/>
            <w:vAlign w:val="center"/>
          </w:tcPr>
          <w:p w14:paraId="2C7495FC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88 (42.3%)</w:t>
            </w:r>
          </w:p>
        </w:tc>
        <w:tc>
          <w:tcPr>
            <w:tcW w:w="1210" w:type="dxa"/>
            <w:vAlign w:val="center"/>
          </w:tcPr>
          <w:p w14:paraId="34813967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0.001</w:t>
            </w:r>
          </w:p>
        </w:tc>
        <w:tc>
          <w:tcPr>
            <w:tcW w:w="1690" w:type="dxa"/>
            <w:vAlign w:val="center"/>
          </w:tcPr>
          <w:p w14:paraId="5F30689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0.003</w:t>
            </w:r>
          </w:p>
        </w:tc>
      </w:tr>
      <w:tr w14:paraId="1F0B80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01247A8E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70" w:type="dxa"/>
            <w:vAlign w:val="center"/>
          </w:tcPr>
          <w:p w14:paraId="34B62411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≤3 days, n (%)</w:t>
            </w:r>
          </w:p>
        </w:tc>
        <w:tc>
          <w:tcPr>
            <w:tcW w:w="1340" w:type="dxa"/>
            <w:vAlign w:val="center"/>
          </w:tcPr>
          <w:p w14:paraId="73A3270B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240" w:type="dxa"/>
            <w:vAlign w:val="center"/>
          </w:tcPr>
          <w:p w14:paraId="714947DF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210" w:type="dxa"/>
            <w:vAlign w:val="center"/>
          </w:tcPr>
          <w:p w14:paraId="42CCA8F6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  <w:tc>
          <w:tcPr>
            <w:tcW w:w="1690" w:type="dxa"/>
            <w:vAlign w:val="center"/>
          </w:tcPr>
          <w:p w14:paraId="3F9D24B0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</w:tr>
      <w:tr w14:paraId="492FF3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0CB9E28F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70" w:type="dxa"/>
            <w:vAlign w:val="center"/>
          </w:tcPr>
          <w:p w14:paraId="214AC557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≤7 days, n (%)</w:t>
            </w:r>
          </w:p>
        </w:tc>
        <w:tc>
          <w:tcPr>
            <w:tcW w:w="1340" w:type="dxa"/>
            <w:vAlign w:val="center"/>
          </w:tcPr>
          <w:p w14:paraId="012BB57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240" w:type="dxa"/>
            <w:vAlign w:val="center"/>
          </w:tcPr>
          <w:p w14:paraId="2B8CDA8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210" w:type="dxa"/>
            <w:vAlign w:val="center"/>
          </w:tcPr>
          <w:p w14:paraId="0CC189B2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  <w:tc>
          <w:tcPr>
            <w:tcW w:w="1690" w:type="dxa"/>
            <w:vAlign w:val="center"/>
          </w:tcPr>
          <w:p w14:paraId="4A0E75C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</w:tr>
      <w:tr w14:paraId="2E2181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6ECA4E23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70" w:type="dxa"/>
            <w:vAlign w:val="center"/>
          </w:tcPr>
          <w:p w14:paraId="7D058A0F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Length of stay, days</w:t>
            </w:r>
          </w:p>
        </w:tc>
        <w:tc>
          <w:tcPr>
            <w:tcW w:w="1340" w:type="dxa"/>
            <w:vAlign w:val="center"/>
          </w:tcPr>
          <w:p w14:paraId="72AB7F8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(9.0-14.0)</w:t>
            </w:r>
          </w:p>
        </w:tc>
        <w:tc>
          <w:tcPr>
            <w:tcW w:w="1240" w:type="dxa"/>
            <w:vAlign w:val="center"/>
          </w:tcPr>
          <w:p w14:paraId="0CBF4F0A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12.0 (9.0-15.2)</w:t>
            </w:r>
          </w:p>
        </w:tc>
        <w:tc>
          <w:tcPr>
            <w:tcW w:w="1210" w:type="dxa"/>
            <w:vAlign w:val="center"/>
          </w:tcPr>
          <w:p w14:paraId="6A18AD7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0.814</w:t>
            </w:r>
          </w:p>
        </w:tc>
        <w:tc>
          <w:tcPr>
            <w:tcW w:w="1690" w:type="dxa"/>
            <w:vAlign w:val="center"/>
          </w:tcPr>
          <w:p w14:paraId="618A6DB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</w:tr>
      <w:tr w14:paraId="746E10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71F15416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70" w:type="dxa"/>
            <w:vAlign w:val="center"/>
          </w:tcPr>
          <w:p w14:paraId="6FF653FE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Total hospitalization cost, CNY</w:t>
            </w:r>
          </w:p>
        </w:tc>
        <w:tc>
          <w:tcPr>
            <w:tcW w:w="1340" w:type="dxa"/>
            <w:vAlign w:val="center"/>
          </w:tcPr>
          <w:p w14:paraId="625DDFF2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22374.00 (14523.00-41832.78)</w:t>
            </w:r>
          </w:p>
        </w:tc>
        <w:tc>
          <w:tcPr>
            <w:tcW w:w="1240" w:type="dxa"/>
            <w:vAlign w:val="center"/>
          </w:tcPr>
          <w:p w14:paraId="59155BE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31470.44 (16243.71-61826.52)</w:t>
            </w:r>
          </w:p>
        </w:tc>
        <w:tc>
          <w:tcPr>
            <w:tcW w:w="1210" w:type="dxa"/>
            <w:vAlign w:val="center"/>
          </w:tcPr>
          <w:p w14:paraId="655BF8F0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0.005</w:t>
            </w:r>
          </w:p>
        </w:tc>
        <w:tc>
          <w:tcPr>
            <w:tcW w:w="1690" w:type="dxa"/>
            <w:vAlign w:val="center"/>
          </w:tcPr>
          <w:p w14:paraId="59CACDCE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0.009</w:t>
            </w:r>
          </w:p>
        </w:tc>
      </w:tr>
      <w:tr w14:paraId="6549A5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420" w:type="dxa"/>
            <w:vAlign w:val="center"/>
          </w:tcPr>
          <w:p w14:paraId="1C45823D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70" w:type="dxa"/>
            <w:vAlign w:val="center"/>
          </w:tcPr>
          <w:p w14:paraId="0EF10E0A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Hospitalization cost per day, CNY/day</w:t>
            </w:r>
          </w:p>
        </w:tc>
        <w:tc>
          <w:tcPr>
            <w:tcW w:w="1340" w:type="dxa"/>
            <w:vAlign w:val="center"/>
          </w:tcPr>
          <w:p w14:paraId="732B2A0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2051.30 (1343.00-3833.20)</w:t>
            </w:r>
          </w:p>
        </w:tc>
        <w:tc>
          <w:tcPr>
            <w:tcW w:w="1240" w:type="dxa"/>
            <w:vAlign w:val="center"/>
          </w:tcPr>
          <w:p w14:paraId="32AC4AB7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3095.21 (1573.50-5214.72)</w:t>
            </w:r>
          </w:p>
        </w:tc>
        <w:tc>
          <w:tcPr>
            <w:tcW w:w="1210" w:type="dxa"/>
            <w:vAlign w:val="center"/>
          </w:tcPr>
          <w:p w14:paraId="1971AE0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0.001</w:t>
            </w:r>
          </w:p>
        </w:tc>
        <w:tc>
          <w:tcPr>
            <w:tcW w:w="1690" w:type="dxa"/>
            <w:vAlign w:val="center"/>
          </w:tcPr>
          <w:p w14:paraId="7B3FA197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0.003</w:t>
            </w:r>
          </w:p>
        </w:tc>
      </w:tr>
    </w:tbl>
    <w:p w14:paraId="5D436B23">
      <w:pPr>
        <w:spacing w:before="0" w:after="40"/>
        <w:rPr>
          <w:rFonts w:ascii="Times New Roman" w:hAnsi="Times New Roman" w:eastAsia="Times New Roman"/>
          <w:b/>
          <w:sz w:val="22"/>
          <w:szCs w:val="36"/>
        </w:rPr>
      </w:pPr>
    </w:p>
    <w:p w14:paraId="0D9A9585">
      <w:pPr>
        <w:spacing w:before="0" w:after="40"/>
        <w:rPr>
          <w:sz w:val="22"/>
          <w:szCs w:val="36"/>
        </w:rPr>
      </w:pPr>
      <w:r>
        <w:rPr>
          <w:rFonts w:ascii="Times New Roman" w:hAnsi="Times New Roman" w:eastAsia="Times New Roman"/>
          <w:b/>
          <w:sz w:val="22"/>
          <w:szCs w:val="36"/>
        </w:rPr>
        <w:t>B. Temporal validation cohort</w:t>
      </w:r>
    </w:p>
    <w:tbl>
      <w:tblPr>
        <w:tblStyle w:val="3"/>
        <w:tblW w:w="10080" w:type="dxa"/>
        <w:tblInd w:w="-744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2280"/>
        <w:gridCol w:w="2160"/>
        <w:gridCol w:w="1500"/>
        <w:gridCol w:w="1620"/>
        <w:gridCol w:w="1040"/>
        <w:gridCol w:w="1480"/>
      </w:tblGrid>
      <w:tr w14:paraId="5467D3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280" w:type="dxa"/>
            <w:tcBorders>
              <w:bottom w:val="single" w:color="auto" w:sz="4" w:space="0"/>
            </w:tcBorders>
            <w:vAlign w:val="top"/>
          </w:tcPr>
          <w:p w14:paraId="1A7CAA63">
            <w:pPr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22"/>
              </w:rPr>
              <w:t>Analysis population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vAlign w:val="top"/>
          </w:tcPr>
          <w:p w14:paraId="1F87D128">
            <w:pPr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Variable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vAlign w:val="top"/>
          </w:tcPr>
          <w:p w14:paraId="12F96770">
            <w:pPr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Group II</w:t>
            </w:r>
          </w:p>
        </w:tc>
        <w:tc>
          <w:tcPr>
            <w:tcW w:w="1620" w:type="dxa"/>
            <w:tcBorders>
              <w:bottom w:val="single" w:color="auto" w:sz="4" w:space="0"/>
            </w:tcBorders>
            <w:vAlign w:val="top"/>
          </w:tcPr>
          <w:p w14:paraId="71AB3F8D">
            <w:pPr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Group IV</w:t>
            </w:r>
          </w:p>
        </w:tc>
        <w:tc>
          <w:tcPr>
            <w:tcW w:w="1040" w:type="dxa"/>
            <w:tcBorders>
              <w:bottom w:val="single" w:color="auto" w:sz="4" w:space="0"/>
            </w:tcBorders>
            <w:vAlign w:val="top"/>
          </w:tcPr>
          <w:p w14:paraId="60D1993F">
            <w:pPr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P value</w:t>
            </w:r>
          </w:p>
        </w:tc>
        <w:tc>
          <w:tcPr>
            <w:tcW w:w="1480" w:type="dxa"/>
            <w:tcBorders>
              <w:bottom w:val="single" w:color="auto" w:sz="4" w:space="0"/>
            </w:tcBorders>
            <w:vAlign w:val="top"/>
          </w:tcPr>
          <w:p w14:paraId="78B68617">
            <w:pPr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BH-adjusted P value</w:t>
            </w:r>
          </w:p>
        </w:tc>
      </w:tr>
      <w:tr w14:paraId="2FD743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280" w:type="dxa"/>
            <w:tcBorders>
              <w:top w:val="single" w:color="auto" w:sz="4" w:space="0"/>
            </w:tcBorders>
            <w:vAlign w:val="center"/>
          </w:tcPr>
          <w:p w14:paraId="5C062EF9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vAlign w:val="center"/>
          </w:tcPr>
          <w:p w14:paraId="6230BB1D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Patients retained, n (%)</w:t>
            </w:r>
          </w:p>
        </w:tc>
        <w:tc>
          <w:tcPr>
            <w:tcW w:w="1500" w:type="dxa"/>
            <w:tcBorders>
              <w:top w:val="single" w:color="auto" w:sz="4" w:space="0"/>
            </w:tcBorders>
            <w:vAlign w:val="center"/>
          </w:tcPr>
          <w:p w14:paraId="307BB80D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19 (100.0%)</w:t>
            </w:r>
          </w:p>
        </w:tc>
        <w:tc>
          <w:tcPr>
            <w:tcW w:w="1620" w:type="dxa"/>
            <w:tcBorders>
              <w:top w:val="single" w:color="auto" w:sz="4" w:space="0"/>
            </w:tcBorders>
            <w:vAlign w:val="center"/>
          </w:tcPr>
          <w:p w14:paraId="0626340B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67 (100.0%)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vAlign w:val="center"/>
          </w:tcPr>
          <w:p w14:paraId="5CAD04BC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  <w:tc>
          <w:tcPr>
            <w:tcW w:w="1480" w:type="dxa"/>
            <w:tcBorders>
              <w:top w:val="single" w:color="auto" w:sz="4" w:space="0"/>
            </w:tcBorders>
            <w:vAlign w:val="center"/>
          </w:tcPr>
          <w:p w14:paraId="798624B2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</w:tr>
      <w:tr w14:paraId="055394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41D58528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60" w:type="dxa"/>
            <w:vAlign w:val="center"/>
          </w:tcPr>
          <w:p w14:paraId="1CF56F57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In-hospital mortality, n (%)</w:t>
            </w:r>
          </w:p>
        </w:tc>
        <w:tc>
          <w:tcPr>
            <w:tcW w:w="1500" w:type="dxa"/>
            <w:vAlign w:val="center"/>
          </w:tcPr>
          <w:p w14:paraId="4CDF005E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16 (84.2%)</w:t>
            </w:r>
          </w:p>
        </w:tc>
        <w:tc>
          <w:tcPr>
            <w:tcW w:w="1620" w:type="dxa"/>
            <w:vAlign w:val="center"/>
          </w:tcPr>
          <w:p w14:paraId="0C146239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19 (28.4%)</w:t>
            </w:r>
          </w:p>
        </w:tc>
        <w:tc>
          <w:tcPr>
            <w:tcW w:w="1040" w:type="dxa"/>
            <w:vAlign w:val="center"/>
          </w:tcPr>
          <w:p w14:paraId="27384472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  <w:tc>
          <w:tcPr>
            <w:tcW w:w="1480" w:type="dxa"/>
            <w:vAlign w:val="center"/>
          </w:tcPr>
          <w:p w14:paraId="18516F1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</w:tr>
      <w:tr w14:paraId="438EBF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374C48C0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60" w:type="dxa"/>
            <w:vAlign w:val="center"/>
          </w:tcPr>
          <w:p w14:paraId="3AA907AE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High-cost hospitalization, n (%)</w:t>
            </w:r>
          </w:p>
        </w:tc>
        <w:tc>
          <w:tcPr>
            <w:tcW w:w="1500" w:type="dxa"/>
            <w:vAlign w:val="center"/>
          </w:tcPr>
          <w:p w14:paraId="5EE0349D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 (10.5%)</w:t>
            </w:r>
          </w:p>
        </w:tc>
        <w:tc>
          <w:tcPr>
            <w:tcW w:w="1620" w:type="dxa"/>
            <w:vAlign w:val="center"/>
          </w:tcPr>
          <w:p w14:paraId="5F25EB26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25 (37.3%)</w:t>
            </w:r>
          </w:p>
        </w:tc>
        <w:tc>
          <w:tcPr>
            <w:tcW w:w="1040" w:type="dxa"/>
            <w:vAlign w:val="center"/>
          </w:tcPr>
          <w:p w14:paraId="44DC1F99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0.028</w:t>
            </w:r>
          </w:p>
        </w:tc>
        <w:tc>
          <w:tcPr>
            <w:tcW w:w="1480" w:type="dxa"/>
            <w:vAlign w:val="center"/>
          </w:tcPr>
          <w:p w14:paraId="7A45AA46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0.049</w:t>
            </w:r>
          </w:p>
        </w:tc>
      </w:tr>
      <w:tr w14:paraId="130C22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4025ECFE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60" w:type="dxa"/>
            <w:vAlign w:val="center"/>
          </w:tcPr>
          <w:p w14:paraId="0918E503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≤3 days, n (%)</w:t>
            </w:r>
          </w:p>
        </w:tc>
        <w:tc>
          <w:tcPr>
            <w:tcW w:w="1500" w:type="dxa"/>
            <w:vAlign w:val="center"/>
          </w:tcPr>
          <w:p w14:paraId="0E45FFE5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 (5.3%)</w:t>
            </w:r>
          </w:p>
        </w:tc>
        <w:tc>
          <w:tcPr>
            <w:tcW w:w="1620" w:type="dxa"/>
            <w:vAlign w:val="center"/>
          </w:tcPr>
          <w:p w14:paraId="71D357D5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 (1.5%)</w:t>
            </w:r>
          </w:p>
        </w:tc>
        <w:tc>
          <w:tcPr>
            <w:tcW w:w="1040" w:type="dxa"/>
            <w:vAlign w:val="center"/>
          </w:tcPr>
          <w:p w14:paraId="071F8392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0.395</w:t>
            </w:r>
          </w:p>
        </w:tc>
        <w:tc>
          <w:tcPr>
            <w:tcW w:w="1480" w:type="dxa"/>
            <w:vAlign w:val="center"/>
          </w:tcPr>
          <w:p w14:paraId="35A37384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0.475</w:t>
            </w:r>
          </w:p>
        </w:tc>
      </w:tr>
      <w:tr w14:paraId="379A6A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67527A13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60" w:type="dxa"/>
            <w:vAlign w:val="center"/>
          </w:tcPr>
          <w:p w14:paraId="20C1C46E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≤7 days, n (%)</w:t>
            </w:r>
          </w:p>
        </w:tc>
        <w:tc>
          <w:tcPr>
            <w:tcW w:w="1500" w:type="dxa"/>
            <w:vAlign w:val="center"/>
          </w:tcPr>
          <w:p w14:paraId="71718A77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 (15.8%)</w:t>
            </w:r>
          </w:p>
        </w:tc>
        <w:tc>
          <w:tcPr>
            <w:tcW w:w="1620" w:type="dxa"/>
            <w:vAlign w:val="center"/>
          </w:tcPr>
          <w:p w14:paraId="44C39981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6 (9.0%)</w:t>
            </w:r>
          </w:p>
        </w:tc>
        <w:tc>
          <w:tcPr>
            <w:tcW w:w="1040" w:type="dxa"/>
            <w:vAlign w:val="center"/>
          </w:tcPr>
          <w:p w14:paraId="7E3FB709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0.407</w:t>
            </w:r>
          </w:p>
        </w:tc>
        <w:tc>
          <w:tcPr>
            <w:tcW w:w="1480" w:type="dxa"/>
            <w:vAlign w:val="center"/>
          </w:tcPr>
          <w:p w14:paraId="61B41F7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0.475</w:t>
            </w:r>
          </w:p>
        </w:tc>
      </w:tr>
      <w:tr w14:paraId="18F3DC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tcBorders>
              <w:bottom w:val="single" w:color="auto" w:sz="4" w:space="0"/>
            </w:tcBorders>
            <w:vAlign w:val="top"/>
          </w:tcPr>
          <w:p w14:paraId="1FD4A4B3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22"/>
              </w:rPr>
              <w:t>Analysis population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vAlign w:val="top"/>
          </w:tcPr>
          <w:p w14:paraId="7A0517B3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Variable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vAlign w:val="top"/>
          </w:tcPr>
          <w:p w14:paraId="010CEDA1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Group II</w:t>
            </w:r>
          </w:p>
        </w:tc>
        <w:tc>
          <w:tcPr>
            <w:tcW w:w="1620" w:type="dxa"/>
            <w:tcBorders>
              <w:bottom w:val="single" w:color="auto" w:sz="4" w:space="0"/>
            </w:tcBorders>
            <w:vAlign w:val="top"/>
          </w:tcPr>
          <w:p w14:paraId="3A38B4D0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Group IV</w:t>
            </w:r>
          </w:p>
        </w:tc>
        <w:tc>
          <w:tcPr>
            <w:tcW w:w="1040" w:type="dxa"/>
            <w:tcBorders>
              <w:bottom w:val="single" w:color="auto" w:sz="4" w:space="0"/>
            </w:tcBorders>
            <w:vAlign w:val="top"/>
          </w:tcPr>
          <w:p w14:paraId="1739A8E1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P value</w:t>
            </w:r>
          </w:p>
        </w:tc>
        <w:tc>
          <w:tcPr>
            <w:tcW w:w="1480" w:type="dxa"/>
            <w:tcBorders>
              <w:bottom w:val="single" w:color="auto" w:sz="4" w:space="0"/>
            </w:tcBorders>
            <w:vAlign w:val="top"/>
          </w:tcPr>
          <w:p w14:paraId="0AB98AF7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BH-adjusted P value</w:t>
            </w:r>
          </w:p>
        </w:tc>
      </w:tr>
      <w:tr w14:paraId="781BE8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tcBorders>
              <w:top w:val="single" w:color="auto" w:sz="4" w:space="0"/>
            </w:tcBorders>
            <w:vAlign w:val="center"/>
          </w:tcPr>
          <w:p w14:paraId="71CCD256">
            <w:pPr>
              <w:spacing w:before="0" w:after="0" w:line="240" w:lineRule="auto"/>
              <w:jc w:val="left"/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vAlign w:val="center"/>
          </w:tcPr>
          <w:p w14:paraId="28DFE9F4">
            <w:pPr>
              <w:spacing w:before="0" w:after="0" w:line="240" w:lineRule="auto"/>
              <w:jc w:val="left"/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Length of stay, days</w:t>
            </w:r>
          </w:p>
        </w:tc>
        <w:tc>
          <w:tcPr>
            <w:tcW w:w="1500" w:type="dxa"/>
            <w:tcBorders>
              <w:top w:val="single" w:color="auto" w:sz="4" w:space="0"/>
            </w:tcBorders>
            <w:vAlign w:val="center"/>
          </w:tcPr>
          <w:p w14:paraId="582314F7">
            <w:pPr>
              <w:spacing w:before="0" w:after="0" w:line="240" w:lineRule="auto"/>
              <w:jc w:val="center"/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(9.0-12.0)</w:t>
            </w:r>
          </w:p>
        </w:tc>
        <w:tc>
          <w:tcPr>
            <w:tcW w:w="1620" w:type="dxa"/>
            <w:tcBorders>
              <w:top w:val="single" w:color="auto" w:sz="4" w:space="0"/>
            </w:tcBorders>
            <w:vAlign w:val="center"/>
          </w:tcPr>
          <w:p w14:paraId="7AA61861">
            <w:pPr>
              <w:spacing w:before="0" w:after="0" w:line="240" w:lineRule="auto"/>
              <w:jc w:val="center"/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(7.0-13.5)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vAlign w:val="center"/>
          </w:tcPr>
          <w:p w14:paraId="631D7B76">
            <w:pPr>
              <w:spacing w:before="0" w:after="0" w:line="240" w:lineRule="auto"/>
              <w:jc w:val="center"/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0.975</w:t>
            </w:r>
          </w:p>
        </w:tc>
        <w:tc>
          <w:tcPr>
            <w:tcW w:w="1480" w:type="dxa"/>
            <w:tcBorders>
              <w:top w:val="single" w:color="auto" w:sz="4" w:space="0"/>
            </w:tcBorders>
            <w:vAlign w:val="center"/>
          </w:tcPr>
          <w:p w14:paraId="280E6FBA">
            <w:pPr>
              <w:spacing w:before="0" w:after="0" w:line="240" w:lineRule="auto"/>
              <w:jc w:val="center"/>
              <w:rPr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0.975</w:t>
            </w:r>
          </w:p>
        </w:tc>
      </w:tr>
      <w:tr w14:paraId="6BB317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3379D821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60" w:type="dxa"/>
            <w:vAlign w:val="center"/>
          </w:tcPr>
          <w:p w14:paraId="5856E78E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Total hospitalization cost, CNY</w:t>
            </w:r>
          </w:p>
        </w:tc>
        <w:tc>
          <w:tcPr>
            <w:tcW w:w="1500" w:type="dxa"/>
            <w:vAlign w:val="center"/>
          </w:tcPr>
          <w:p w14:paraId="79CCFC7F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22843.20 (18835.47-27063.83)</w:t>
            </w:r>
          </w:p>
        </w:tc>
        <w:tc>
          <w:tcPr>
            <w:tcW w:w="1620" w:type="dxa"/>
            <w:vAlign w:val="center"/>
          </w:tcPr>
          <w:p w14:paraId="6A993AEB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31150.19 (21635.90-44736.09)</w:t>
            </w:r>
          </w:p>
        </w:tc>
        <w:tc>
          <w:tcPr>
            <w:tcW w:w="1040" w:type="dxa"/>
            <w:vAlign w:val="center"/>
          </w:tcPr>
          <w:p w14:paraId="56204C9B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0.018</w:t>
            </w:r>
          </w:p>
        </w:tc>
        <w:tc>
          <w:tcPr>
            <w:tcW w:w="1480" w:type="dxa"/>
            <w:vAlign w:val="center"/>
          </w:tcPr>
          <w:p w14:paraId="77CA176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0.041</w:t>
            </w:r>
          </w:p>
        </w:tc>
      </w:tr>
      <w:tr w14:paraId="3FD203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269A0507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All patients</w:t>
            </w:r>
          </w:p>
        </w:tc>
        <w:tc>
          <w:tcPr>
            <w:tcW w:w="2160" w:type="dxa"/>
            <w:vAlign w:val="center"/>
          </w:tcPr>
          <w:p w14:paraId="51A9AD87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Hospitalization cost per day, CNY/day</w:t>
            </w:r>
          </w:p>
        </w:tc>
        <w:tc>
          <w:tcPr>
            <w:tcW w:w="1500" w:type="dxa"/>
            <w:vAlign w:val="center"/>
          </w:tcPr>
          <w:p w14:paraId="098876A1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2129.72 (1924.89-2339.27)</w:t>
            </w:r>
          </w:p>
        </w:tc>
        <w:tc>
          <w:tcPr>
            <w:tcW w:w="1620" w:type="dxa"/>
            <w:vAlign w:val="center"/>
          </w:tcPr>
          <w:p w14:paraId="5745C633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3629.58 (2142.02-4284.22)</w:t>
            </w:r>
          </w:p>
        </w:tc>
        <w:tc>
          <w:tcPr>
            <w:tcW w:w="1040" w:type="dxa"/>
            <w:vAlign w:val="center"/>
          </w:tcPr>
          <w:p w14:paraId="2E48A437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0.004</w:t>
            </w:r>
          </w:p>
        </w:tc>
        <w:tc>
          <w:tcPr>
            <w:tcW w:w="1480" w:type="dxa"/>
            <w:vAlign w:val="center"/>
          </w:tcPr>
          <w:p w14:paraId="1567AEF6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0.012</w:t>
            </w:r>
          </w:p>
        </w:tc>
      </w:tr>
      <w:tr w14:paraId="25E4CB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7D9D4E87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60" w:type="dxa"/>
            <w:vAlign w:val="center"/>
          </w:tcPr>
          <w:p w14:paraId="15F9D522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Patients retained, n (%)</w:t>
            </w:r>
          </w:p>
        </w:tc>
        <w:tc>
          <w:tcPr>
            <w:tcW w:w="1500" w:type="dxa"/>
            <w:vAlign w:val="center"/>
          </w:tcPr>
          <w:p w14:paraId="2B6FEF5A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18 (94.7%)</w:t>
            </w:r>
          </w:p>
        </w:tc>
        <w:tc>
          <w:tcPr>
            <w:tcW w:w="1620" w:type="dxa"/>
            <w:vAlign w:val="center"/>
          </w:tcPr>
          <w:p w14:paraId="7F4D78A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66 (98.5%)</w:t>
            </w:r>
          </w:p>
        </w:tc>
        <w:tc>
          <w:tcPr>
            <w:tcW w:w="1040" w:type="dxa"/>
            <w:vAlign w:val="center"/>
          </w:tcPr>
          <w:p w14:paraId="216BEFE1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  <w:tc>
          <w:tcPr>
            <w:tcW w:w="1480" w:type="dxa"/>
            <w:vAlign w:val="center"/>
          </w:tcPr>
          <w:p w14:paraId="173726C2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</w:tr>
      <w:tr w14:paraId="07C9AB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34CF2497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60" w:type="dxa"/>
            <w:vAlign w:val="center"/>
          </w:tcPr>
          <w:p w14:paraId="7ACD4917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In-hospital mortality, n (%)</w:t>
            </w:r>
          </w:p>
        </w:tc>
        <w:tc>
          <w:tcPr>
            <w:tcW w:w="1500" w:type="dxa"/>
            <w:vAlign w:val="center"/>
          </w:tcPr>
          <w:p w14:paraId="2E6C084F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15 (83.3%)</w:t>
            </w:r>
          </w:p>
        </w:tc>
        <w:tc>
          <w:tcPr>
            <w:tcW w:w="1620" w:type="dxa"/>
            <w:vAlign w:val="center"/>
          </w:tcPr>
          <w:p w14:paraId="0B3FF4F0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18 (27.3%)</w:t>
            </w:r>
          </w:p>
        </w:tc>
        <w:tc>
          <w:tcPr>
            <w:tcW w:w="1040" w:type="dxa"/>
            <w:vAlign w:val="center"/>
          </w:tcPr>
          <w:p w14:paraId="59D1F80D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  <w:tc>
          <w:tcPr>
            <w:tcW w:w="1480" w:type="dxa"/>
            <w:vAlign w:val="center"/>
          </w:tcPr>
          <w:p w14:paraId="169EBB3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</w:tr>
      <w:tr w14:paraId="308CD7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34592690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60" w:type="dxa"/>
            <w:vAlign w:val="center"/>
          </w:tcPr>
          <w:p w14:paraId="1A20E55B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High-cost hospitalization, n (%)</w:t>
            </w:r>
          </w:p>
        </w:tc>
        <w:tc>
          <w:tcPr>
            <w:tcW w:w="1500" w:type="dxa"/>
            <w:vAlign w:val="center"/>
          </w:tcPr>
          <w:p w14:paraId="1AC4B43A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 (11.1%)</w:t>
            </w:r>
          </w:p>
        </w:tc>
        <w:tc>
          <w:tcPr>
            <w:tcW w:w="1620" w:type="dxa"/>
            <w:vAlign w:val="center"/>
          </w:tcPr>
          <w:p w14:paraId="30E11769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25 (37.9%)</w:t>
            </w:r>
          </w:p>
        </w:tc>
        <w:tc>
          <w:tcPr>
            <w:tcW w:w="1040" w:type="dxa"/>
            <w:vAlign w:val="center"/>
          </w:tcPr>
          <w:p w14:paraId="1E2B5041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0.045</w:t>
            </w:r>
          </w:p>
        </w:tc>
        <w:tc>
          <w:tcPr>
            <w:tcW w:w="1480" w:type="dxa"/>
            <w:vAlign w:val="center"/>
          </w:tcPr>
          <w:p w14:paraId="1270A0C3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0.078</w:t>
            </w:r>
          </w:p>
        </w:tc>
      </w:tr>
      <w:tr w14:paraId="3F6F2C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67092E6C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60" w:type="dxa"/>
            <w:vAlign w:val="center"/>
          </w:tcPr>
          <w:p w14:paraId="71549E53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≤3 days, n (%)</w:t>
            </w:r>
          </w:p>
        </w:tc>
        <w:tc>
          <w:tcPr>
            <w:tcW w:w="1500" w:type="dxa"/>
            <w:vAlign w:val="center"/>
          </w:tcPr>
          <w:p w14:paraId="4C27722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620" w:type="dxa"/>
            <w:vAlign w:val="center"/>
          </w:tcPr>
          <w:p w14:paraId="799337F4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040" w:type="dxa"/>
            <w:vAlign w:val="center"/>
          </w:tcPr>
          <w:p w14:paraId="61FE94F0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  <w:tc>
          <w:tcPr>
            <w:tcW w:w="1480" w:type="dxa"/>
            <w:vAlign w:val="center"/>
          </w:tcPr>
          <w:p w14:paraId="156252E9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</w:tr>
      <w:tr w14:paraId="6E572E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36BD8B42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60" w:type="dxa"/>
            <w:vAlign w:val="center"/>
          </w:tcPr>
          <w:p w14:paraId="234F44BC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≤7 days, n (%)</w:t>
            </w:r>
          </w:p>
        </w:tc>
        <w:tc>
          <w:tcPr>
            <w:tcW w:w="1500" w:type="dxa"/>
            <w:vAlign w:val="center"/>
          </w:tcPr>
          <w:p w14:paraId="24219E62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 (11.1%)</w:t>
            </w:r>
          </w:p>
        </w:tc>
        <w:tc>
          <w:tcPr>
            <w:tcW w:w="1620" w:type="dxa"/>
            <w:vAlign w:val="center"/>
          </w:tcPr>
          <w:p w14:paraId="7C2E1CA3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5 (7.6%)</w:t>
            </w:r>
          </w:p>
        </w:tc>
        <w:tc>
          <w:tcPr>
            <w:tcW w:w="1040" w:type="dxa"/>
            <w:vAlign w:val="center"/>
          </w:tcPr>
          <w:p w14:paraId="6FFF264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0.639</w:t>
            </w:r>
          </w:p>
        </w:tc>
        <w:tc>
          <w:tcPr>
            <w:tcW w:w="1480" w:type="dxa"/>
            <w:vAlign w:val="center"/>
          </w:tcPr>
          <w:p w14:paraId="7A8981D5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0.894</w:t>
            </w:r>
          </w:p>
        </w:tc>
      </w:tr>
      <w:tr w14:paraId="17C933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5A7FB64F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60" w:type="dxa"/>
            <w:vAlign w:val="center"/>
          </w:tcPr>
          <w:p w14:paraId="0AD0ED73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Length of stay, days</w:t>
            </w:r>
          </w:p>
        </w:tc>
        <w:tc>
          <w:tcPr>
            <w:tcW w:w="1500" w:type="dxa"/>
            <w:vAlign w:val="center"/>
          </w:tcPr>
          <w:p w14:paraId="76F60140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(9.0-12.0)</w:t>
            </w:r>
          </w:p>
        </w:tc>
        <w:tc>
          <w:tcPr>
            <w:tcW w:w="1620" w:type="dxa"/>
            <w:vAlign w:val="center"/>
          </w:tcPr>
          <w:p w14:paraId="22405177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(7.0-13.8)</w:t>
            </w:r>
          </w:p>
        </w:tc>
        <w:tc>
          <w:tcPr>
            <w:tcW w:w="1040" w:type="dxa"/>
            <w:vAlign w:val="center"/>
          </w:tcPr>
          <w:p w14:paraId="71ECA01B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0.772</w:t>
            </w:r>
          </w:p>
        </w:tc>
        <w:tc>
          <w:tcPr>
            <w:tcW w:w="1480" w:type="dxa"/>
            <w:vAlign w:val="center"/>
          </w:tcPr>
          <w:p w14:paraId="58BBD82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0.900</w:t>
            </w:r>
          </w:p>
        </w:tc>
      </w:tr>
      <w:tr w14:paraId="31B78B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34E3F933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60" w:type="dxa"/>
            <w:vAlign w:val="center"/>
          </w:tcPr>
          <w:p w14:paraId="33007758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Total hospitalization cost, CNY</w:t>
            </w:r>
          </w:p>
        </w:tc>
        <w:tc>
          <w:tcPr>
            <w:tcW w:w="1500" w:type="dxa"/>
            <w:vAlign w:val="center"/>
          </w:tcPr>
          <w:p w14:paraId="4DFB4826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23425.31 (19230.21-27517.30)</w:t>
            </w:r>
          </w:p>
        </w:tc>
        <w:tc>
          <w:tcPr>
            <w:tcW w:w="1620" w:type="dxa"/>
            <w:vAlign w:val="center"/>
          </w:tcPr>
          <w:p w14:paraId="7E4FC472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31629.21 (21816.98-45330.16)</w:t>
            </w:r>
          </w:p>
        </w:tc>
        <w:tc>
          <w:tcPr>
            <w:tcW w:w="1040" w:type="dxa"/>
            <w:vAlign w:val="center"/>
          </w:tcPr>
          <w:p w14:paraId="3E051B8F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0.026</w:t>
            </w:r>
          </w:p>
        </w:tc>
        <w:tc>
          <w:tcPr>
            <w:tcW w:w="1480" w:type="dxa"/>
            <w:vAlign w:val="center"/>
          </w:tcPr>
          <w:p w14:paraId="0A5A08B9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0.060</w:t>
            </w:r>
          </w:p>
        </w:tc>
      </w:tr>
      <w:tr w14:paraId="556CC0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6DB718A2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≤3 days</w:t>
            </w:r>
          </w:p>
        </w:tc>
        <w:tc>
          <w:tcPr>
            <w:tcW w:w="2160" w:type="dxa"/>
            <w:vAlign w:val="center"/>
          </w:tcPr>
          <w:p w14:paraId="3EECB42B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Hospitalization cost per day, CNY/day</w:t>
            </w:r>
          </w:p>
        </w:tc>
        <w:tc>
          <w:tcPr>
            <w:tcW w:w="1500" w:type="dxa"/>
            <w:vAlign w:val="center"/>
          </w:tcPr>
          <w:p w14:paraId="5BBEC77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2103.19 (1908.28-2300.75)</w:t>
            </w:r>
          </w:p>
        </w:tc>
        <w:tc>
          <w:tcPr>
            <w:tcW w:w="1620" w:type="dxa"/>
            <w:vAlign w:val="center"/>
          </w:tcPr>
          <w:p w14:paraId="7702107F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3563.38 (2134.69-4266.42)</w:t>
            </w:r>
          </w:p>
        </w:tc>
        <w:tc>
          <w:tcPr>
            <w:tcW w:w="1040" w:type="dxa"/>
            <w:vAlign w:val="center"/>
          </w:tcPr>
          <w:p w14:paraId="6D3F2BB2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0.004</w:t>
            </w:r>
          </w:p>
        </w:tc>
        <w:tc>
          <w:tcPr>
            <w:tcW w:w="1480" w:type="dxa"/>
            <w:vAlign w:val="center"/>
          </w:tcPr>
          <w:p w14:paraId="0A08E20F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0.013</w:t>
            </w:r>
          </w:p>
        </w:tc>
      </w:tr>
      <w:tr w14:paraId="24A4DD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35056C38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60" w:type="dxa"/>
            <w:vAlign w:val="center"/>
          </w:tcPr>
          <w:p w14:paraId="63EAC0F6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Patients retained, n (%)</w:t>
            </w:r>
          </w:p>
        </w:tc>
        <w:tc>
          <w:tcPr>
            <w:tcW w:w="1500" w:type="dxa"/>
            <w:vAlign w:val="center"/>
          </w:tcPr>
          <w:p w14:paraId="54EA22F3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16 (84.2%)</w:t>
            </w:r>
          </w:p>
        </w:tc>
        <w:tc>
          <w:tcPr>
            <w:tcW w:w="1620" w:type="dxa"/>
            <w:vAlign w:val="center"/>
          </w:tcPr>
          <w:p w14:paraId="697222CA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61 (91.0%)</w:t>
            </w:r>
          </w:p>
        </w:tc>
        <w:tc>
          <w:tcPr>
            <w:tcW w:w="1040" w:type="dxa"/>
            <w:vAlign w:val="center"/>
          </w:tcPr>
          <w:p w14:paraId="25590839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  <w:tc>
          <w:tcPr>
            <w:tcW w:w="1480" w:type="dxa"/>
            <w:vAlign w:val="center"/>
          </w:tcPr>
          <w:p w14:paraId="517AB756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—</w:t>
            </w:r>
          </w:p>
        </w:tc>
      </w:tr>
      <w:tr w14:paraId="5F29B4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4220A22E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60" w:type="dxa"/>
            <w:vAlign w:val="center"/>
          </w:tcPr>
          <w:p w14:paraId="579C68E0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In-hospital mortality, n (%)</w:t>
            </w:r>
          </w:p>
        </w:tc>
        <w:tc>
          <w:tcPr>
            <w:tcW w:w="1500" w:type="dxa"/>
            <w:vAlign w:val="center"/>
          </w:tcPr>
          <w:p w14:paraId="67C6058A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13 (81.2%)</w:t>
            </w:r>
          </w:p>
        </w:tc>
        <w:tc>
          <w:tcPr>
            <w:tcW w:w="1620" w:type="dxa"/>
            <w:vAlign w:val="center"/>
          </w:tcPr>
          <w:p w14:paraId="73D4ACEB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13 (21.3%)</w:t>
            </w:r>
          </w:p>
        </w:tc>
        <w:tc>
          <w:tcPr>
            <w:tcW w:w="1040" w:type="dxa"/>
            <w:vAlign w:val="center"/>
          </w:tcPr>
          <w:p w14:paraId="1C1CEEB1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  <w:tc>
          <w:tcPr>
            <w:tcW w:w="1480" w:type="dxa"/>
            <w:vAlign w:val="center"/>
          </w:tcPr>
          <w:p w14:paraId="04B46BB0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&lt;0.001</w:t>
            </w:r>
          </w:p>
        </w:tc>
      </w:tr>
      <w:tr w14:paraId="49EAFE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1C622D5D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60" w:type="dxa"/>
            <w:vAlign w:val="center"/>
          </w:tcPr>
          <w:p w14:paraId="37CCA281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High-cost hospitalization, n (%)</w:t>
            </w:r>
          </w:p>
        </w:tc>
        <w:tc>
          <w:tcPr>
            <w:tcW w:w="1500" w:type="dxa"/>
            <w:vAlign w:val="center"/>
          </w:tcPr>
          <w:p w14:paraId="4223D665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 (12.5%)</w:t>
            </w:r>
          </w:p>
        </w:tc>
        <w:tc>
          <w:tcPr>
            <w:tcW w:w="1620" w:type="dxa"/>
            <w:vAlign w:val="center"/>
          </w:tcPr>
          <w:p w14:paraId="78BDC818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25 (41.0%)</w:t>
            </w:r>
          </w:p>
        </w:tc>
        <w:tc>
          <w:tcPr>
            <w:tcW w:w="1040" w:type="dxa"/>
            <w:vAlign w:val="center"/>
          </w:tcPr>
          <w:p w14:paraId="74715402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0.041</w:t>
            </w:r>
          </w:p>
        </w:tc>
        <w:tc>
          <w:tcPr>
            <w:tcW w:w="1480" w:type="dxa"/>
            <w:vAlign w:val="center"/>
          </w:tcPr>
          <w:p w14:paraId="57CC8207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0.072</w:t>
            </w:r>
          </w:p>
        </w:tc>
      </w:tr>
      <w:tr w14:paraId="694D7B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tcBorders>
              <w:bottom w:val="single" w:color="auto" w:sz="4" w:space="0"/>
            </w:tcBorders>
            <w:vAlign w:val="top"/>
          </w:tcPr>
          <w:p w14:paraId="25C8AC5D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22"/>
              </w:rPr>
              <w:t>Analysis population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vAlign w:val="top"/>
          </w:tcPr>
          <w:p w14:paraId="0DFFFA17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Variable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vAlign w:val="top"/>
          </w:tcPr>
          <w:p w14:paraId="2A7D89A9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Group II</w:t>
            </w:r>
          </w:p>
        </w:tc>
        <w:tc>
          <w:tcPr>
            <w:tcW w:w="1620" w:type="dxa"/>
            <w:tcBorders>
              <w:bottom w:val="single" w:color="auto" w:sz="4" w:space="0"/>
            </w:tcBorders>
            <w:vAlign w:val="top"/>
          </w:tcPr>
          <w:p w14:paraId="61B5A5AD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Group IV</w:t>
            </w:r>
          </w:p>
        </w:tc>
        <w:tc>
          <w:tcPr>
            <w:tcW w:w="1040" w:type="dxa"/>
            <w:tcBorders>
              <w:bottom w:val="single" w:color="auto" w:sz="4" w:space="0"/>
            </w:tcBorders>
            <w:vAlign w:val="top"/>
          </w:tcPr>
          <w:p w14:paraId="3F1D0857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P value</w:t>
            </w:r>
          </w:p>
        </w:tc>
        <w:tc>
          <w:tcPr>
            <w:tcW w:w="1480" w:type="dxa"/>
            <w:tcBorders>
              <w:bottom w:val="single" w:color="auto" w:sz="4" w:space="0"/>
            </w:tcBorders>
            <w:vAlign w:val="top"/>
          </w:tcPr>
          <w:p w14:paraId="0E6D73AA">
            <w:pPr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2"/>
                <w:szCs w:val="36"/>
              </w:rPr>
              <w:t>BH-adjusted P value</w:t>
            </w:r>
          </w:p>
        </w:tc>
      </w:tr>
      <w:tr w14:paraId="231C74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tcBorders>
              <w:top w:val="single" w:color="auto" w:sz="4" w:space="0"/>
            </w:tcBorders>
            <w:vAlign w:val="center"/>
          </w:tcPr>
          <w:p w14:paraId="26A2092D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vAlign w:val="center"/>
          </w:tcPr>
          <w:p w14:paraId="639976E8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≤3 days, n (%)</w:t>
            </w:r>
          </w:p>
        </w:tc>
        <w:tc>
          <w:tcPr>
            <w:tcW w:w="1500" w:type="dxa"/>
            <w:tcBorders>
              <w:top w:val="single" w:color="auto" w:sz="4" w:space="0"/>
            </w:tcBorders>
            <w:vAlign w:val="center"/>
          </w:tcPr>
          <w:p w14:paraId="66A71E76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620" w:type="dxa"/>
            <w:tcBorders>
              <w:top w:val="single" w:color="auto" w:sz="4" w:space="0"/>
            </w:tcBorders>
            <w:vAlign w:val="center"/>
          </w:tcPr>
          <w:p w14:paraId="2CDCBE1B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vAlign w:val="center"/>
          </w:tcPr>
          <w:p w14:paraId="714F4B3E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  <w:tc>
          <w:tcPr>
            <w:tcW w:w="1480" w:type="dxa"/>
            <w:tcBorders>
              <w:top w:val="single" w:color="auto" w:sz="4" w:space="0"/>
            </w:tcBorders>
            <w:vAlign w:val="center"/>
          </w:tcPr>
          <w:p w14:paraId="15919344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</w:tr>
      <w:tr w14:paraId="761F38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280" w:type="dxa"/>
            <w:vAlign w:val="center"/>
          </w:tcPr>
          <w:p w14:paraId="3DAFA44E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60" w:type="dxa"/>
            <w:vAlign w:val="center"/>
          </w:tcPr>
          <w:p w14:paraId="5E1473D5">
            <w:pPr>
              <w:spacing w:before="0" w:after="0" w:line="24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Deaths during hospital stays of ≤7 days, n (%)</w:t>
            </w:r>
          </w:p>
        </w:tc>
        <w:tc>
          <w:tcPr>
            <w:tcW w:w="1500" w:type="dxa"/>
            <w:vAlign w:val="center"/>
          </w:tcPr>
          <w:p w14:paraId="0D9F5C6F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620" w:type="dxa"/>
            <w:vAlign w:val="center"/>
          </w:tcPr>
          <w:p w14:paraId="0ED7D675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 (0.0%)</w:t>
            </w:r>
          </w:p>
        </w:tc>
        <w:tc>
          <w:tcPr>
            <w:tcW w:w="1040" w:type="dxa"/>
            <w:vAlign w:val="center"/>
          </w:tcPr>
          <w:p w14:paraId="35745153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  <w:tc>
          <w:tcPr>
            <w:tcW w:w="1480" w:type="dxa"/>
            <w:vAlign w:val="center"/>
          </w:tcPr>
          <w:p w14:paraId="4BED3CF6">
            <w:pPr>
              <w:spacing w:before="0" w:after="0" w:line="240" w:lineRule="auto"/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</w:tr>
      <w:tr w14:paraId="220702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686CF69D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60" w:type="dxa"/>
            <w:vAlign w:val="center"/>
          </w:tcPr>
          <w:p w14:paraId="26C706C9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Length of stay, days</w:t>
            </w:r>
          </w:p>
        </w:tc>
        <w:tc>
          <w:tcPr>
            <w:tcW w:w="1500" w:type="dxa"/>
            <w:vAlign w:val="center"/>
          </w:tcPr>
          <w:p w14:paraId="1A6D84AA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(9.0-12.2)</w:t>
            </w:r>
          </w:p>
        </w:tc>
        <w:tc>
          <w:tcPr>
            <w:tcW w:w="1620" w:type="dxa"/>
            <w:vAlign w:val="center"/>
          </w:tcPr>
          <w:p w14:paraId="084C091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11.0 (8.0-14.0)</w:t>
            </w:r>
          </w:p>
        </w:tc>
        <w:tc>
          <w:tcPr>
            <w:tcW w:w="1040" w:type="dxa"/>
            <w:vAlign w:val="center"/>
          </w:tcPr>
          <w:p w14:paraId="334B764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0.786</w:t>
            </w:r>
          </w:p>
        </w:tc>
        <w:tc>
          <w:tcPr>
            <w:tcW w:w="1480" w:type="dxa"/>
            <w:vAlign w:val="center"/>
          </w:tcPr>
          <w:p w14:paraId="48FCDB6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1.000</w:t>
            </w:r>
          </w:p>
        </w:tc>
      </w:tr>
      <w:tr w14:paraId="7942BD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280" w:type="dxa"/>
            <w:vAlign w:val="center"/>
          </w:tcPr>
          <w:p w14:paraId="766644C8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Excluding deaths during hospital stays of ≤7 days</w:t>
            </w:r>
          </w:p>
        </w:tc>
        <w:tc>
          <w:tcPr>
            <w:tcW w:w="2160" w:type="dxa"/>
            <w:vAlign w:val="center"/>
          </w:tcPr>
          <w:p w14:paraId="0E38F1A1">
            <w:pPr>
              <w:spacing w:before="0" w:after="0" w:line="240" w:lineRule="auto"/>
              <w:jc w:val="left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Hospitalization cost per day, CNY/day</w:t>
            </w:r>
          </w:p>
        </w:tc>
        <w:tc>
          <w:tcPr>
            <w:tcW w:w="1500" w:type="dxa"/>
            <w:vAlign w:val="center"/>
          </w:tcPr>
          <w:p w14:paraId="25106D73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2103.19 (1885.54-2335.09)</w:t>
            </w:r>
          </w:p>
        </w:tc>
        <w:tc>
          <w:tcPr>
            <w:tcW w:w="1620" w:type="dxa"/>
            <w:vAlign w:val="center"/>
          </w:tcPr>
          <w:p w14:paraId="3901C4A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3629.58 (2112.58-4252.53)</w:t>
            </w:r>
          </w:p>
        </w:tc>
        <w:tc>
          <w:tcPr>
            <w:tcW w:w="1040" w:type="dxa"/>
            <w:vAlign w:val="center"/>
          </w:tcPr>
          <w:p w14:paraId="0DF5C46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0.013</w:t>
            </w:r>
          </w:p>
        </w:tc>
        <w:tc>
          <w:tcPr>
            <w:tcW w:w="1480" w:type="dxa"/>
            <w:vAlign w:val="center"/>
          </w:tcPr>
          <w:p w14:paraId="161725DE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0.044</w:t>
            </w:r>
          </w:p>
        </w:tc>
      </w:tr>
    </w:tbl>
    <w:p w14:paraId="506CC449">
      <w:pPr>
        <w:spacing w:before="0" w:after="20"/>
        <w:rPr>
          <w:sz w:val="22"/>
          <w:szCs w:val="22"/>
        </w:rPr>
      </w:pPr>
      <w:r>
        <w:rPr>
          <w:rFonts w:hint="default" w:ascii="Times New Roman" w:hAnsi="Times New Roman" w:eastAsia="宋体" w:cs="Times New Roman"/>
          <w:sz w:val="22"/>
          <w:szCs w:val="22"/>
          <w:lang w:eastAsia="zh-CN"/>
        </w:rPr>
        <w:t>Notes: Group II, low risk of high-cost hospitalization and high risk of in-hospital mortality; Group IV, high risk of high-cost hospitalization and low risk of in-hospital mortality.Continuous variables were compared using the Mann–Whitney U test, and categorical variables were compared using Fisher’s exact test. P values were adjusted within each cohort and analysis population using the Benjamini–Hochberg method.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75C1F"/>
    <w:rsid w:val="11E75C1F"/>
    <w:rsid w:val="44E3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7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2026-08-03T02:47:00Z</dcterms:created>
  <dc:creator>BYV</dc:creator>
  <cp:lastModifiedBy>BYV</cp:lastModifiedBy>
  <dcterms:modified xsi:type="dcterms:W3CDTF">2026-08-03T03:15:49Z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4F154EB606CF4E8990B79D17A00E7B45_11</vt:lpwstr>
  </property>
  <property fmtid="{D5CDD505-2E9C-101B-9397-08002B2CF9AE}" pid="4" name="KSOTemplateDocerSaveRecord">
    <vt:lpwstr>eyJoZGlkIjoiZTg3ODQ2ZWVjZWRiMGYyZjQzMGYzZDUxMDI1MDExZjEiLCJ1c2VySWQiOiIxMTM4NzYxMzA4In0=</vt:lpwstr>
  </property>
</Properties>
</file>