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A2AA1">
      <w:pPr>
        <w:rPr>
          <w:rFonts w:ascii="Times New Roman" w:hAnsi="Times New Roman" w:eastAsia="宋体" w:cs="宋体"/>
          <w:b/>
          <w:bCs/>
          <w:sz w:val="32"/>
          <w:szCs w:val="32"/>
        </w:rPr>
      </w:pPr>
      <w:r>
        <w:rPr>
          <w:rFonts w:ascii="Times New Roman" w:hAnsi="Times New Roman" w:eastAsia="宋体" w:cs="宋体"/>
          <w:b/>
          <w:bCs/>
          <w:sz w:val="32"/>
          <w:szCs w:val="32"/>
        </w:rPr>
        <w:t>Supplement material</w:t>
      </w:r>
    </w:p>
    <w:p w14:paraId="09508E62">
      <w:pPr>
        <w:rPr>
          <w:rFonts w:hint="eastAsia" w:ascii="Times New Roman" w:hAnsi="Times New Roman" w:eastAsia="宋体" w:cs="宋体"/>
          <w:b/>
          <w:bCs/>
          <w:sz w:val="32"/>
          <w:szCs w:val="32"/>
        </w:rPr>
      </w:pPr>
    </w:p>
    <w:p w14:paraId="355A1DB4">
      <w:pPr>
        <w:rPr>
          <w:rFonts w:hint="eastAsia" w:ascii="Times New Roman" w:hAnsi="Times New Roman" w:eastAsia="宋体"/>
          <w:b/>
          <w:bCs/>
          <w:sz w:val="24"/>
        </w:rPr>
      </w:pPr>
      <w:r>
        <w:rPr>
          <w:rFonts w:hint="eastAsia" w:ascii="Times New Roman" w:hAnsi="Times New Roman" w:eastAsia="宋体"/>
          <w:b/>
          <w:bCs/>
          <w:sz w:val="24"/>
        </w:rPr>
        <w:t>Cognitive Function Modifies the Association Between Heatwave Exposure and Cardiovascular Disease Risk in Older Adults: Evidence From The CHARLS</w:t>
      </w:r>
    </w:p>
    <w:p w14:paraId="5B37A30B">
      <w:pPr>
        <w:rPr>
          <w:rFonts w:hint="eastAsia" w:ascii="Times New Roman" w:hAnsi="Times New Roman" w:eastAsia="宋体"/>
          <w:b/>
          <w:bCs/>
          <w:sz w:val="24"/>
        </w:rPr>
      </w:pPr>
    </w:p>
    <w:p w14:paraId="17278935">
      <w:pPr>
        <w:rPr>
          <w:rFonts w:hint="default" w:ascii="Times New Roman" w:hAnsi="Times New Roman" w:eastAsia="宋体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>Table of contents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6103"/>
        <w:gridCol w:w="865"/>
      </w:tblGrid>
      <w:tr w14:paraId="35ADB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4" w:type="dxa"/>
            <w:tcBorders>
              <w:left w:val="nil"/>
              <w:bottom w:val="single" w:color="000000" w:sz="4" w:space="0"/>
              <w:right w:val="nil"/>
            </w:tcBorders>
          </w:tcPr>
          <w:p w14:paraId="3BDD1F09">
            <w:pPr>
              <w:rPr>
                <w:rFonts w:hint="default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Table/Figure</w:t>
            </w:r>
          </w:p>
        </w:tc>
        <w:tc>
          <w:tcPr>
            <w:tcW w:w="6103" w:type="dxa"/>
            <w:tcBorders>
              <w:left w:val="nil"/>
              <w:bottom w:val="single" w:color="000000" w:sz="4" w:space="0"/>
              <w:right w:val="nil"/>
            </w:tcBorders>
          </w:tcPr>
          <w:p w14:paraId="68FBD8AA">
            <w:pPr>
              <w:rPr>
                <w:rFonts w:hint="default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Contents</w:t>
            </w:r>
          </w:p>
        </w:tc>
        <w:tc>
          <w:tcPr>
            <w:tcW w:w="865" w:type="dxa"/>
            <w:tcBorders>
              <w:left w:val="nil"/>
              <w:bottom w:val="single" w:color="000000" w:sz="4" w:space="0"/>
              <w:right w:val="nil"/>
            </w:tcBorders>
          </w:tcPr>
          <w:p w14:paraId="34B94C85">
            <w:pP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Page</w:t>
            </w:r>
          </w:p>
        </w:tc>
      </w:tr>
      <w:tr w14:paraId="7F184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4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44A6FE42">
            <w:pPr>
              <w:rPr>
                <w:rFonts w:hint="default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Tables1</w:t>
            </w:r>
          </w:p>
        </w:tc>
        <w:tc>
          <w:tcPr>
            <w:tcW w:w="6103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386101BC">
            <w:pP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lang w:val="en-US" w:eastAsia="zh-CN"/>
              </w:rPr>
              <w:t>Heatwave Definition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4AE57BCF">
            <w:pP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2</w:t>
            </w:r>
          </w:p>
        </w:tc>
      </w:tr>
      <w:tr w14:paraId="38A0B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2EE6C544">
            <w:pPr>
              <w:rPr>
                <w:rFonts w:hint="default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Tables2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</w:tcPr>
          <w:p w14:paraId="45939AA8">
            <w:pP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lang w:val="en-US" w:eastAsia="zh-CN"/>
              </w:rPr>
              <w:t>Number of heatwave-during days and number of heatwave events under different definitions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16FA8A3A">
            <w:pP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2</w:t>
            </w:r>
          </w:p>
        </w:tc>
      </w:tr>
      <w:tr w14:paraId="0DDC8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532EEA26">
            <w:pPr>
              <w:rPr>
                <w:rFonts w:hint="default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Tables3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</w:tcPr>
          <w:p w14:paraId="083B9D07">
            <w:pP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lang w:val="en-US" w:eastAsia="zh-CN"/>
              </w:rPr>
              <w:t>The association between thermal exposure and the incidence of CVD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3D584E5E">
            <w:pP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3</w:t>
            </w:r>
          </w:p>
        </w:tc>
      </w:tr>
      <w:tr w14:paraId="321D8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79A9CF1F">
            <w:pPr>
              <w:rPr>
                <w:rFonts w:hint="default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Tables4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</w:tcPr>
          <w:p w14:paraId="2C4FD517">
            <w:pPr>
              <w:rPr>
                <w:rFonts w:hint="eastAsia" w:ascii="Times New Roman" w:hAnsi="Times New Roman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lang w:val="en-US" w:eastAsia="zh-CN"/>
              </w:rPr>
              <w:t>The moderating effect of spatiotemporal localization ability on the association between non-summer nighttime heatwave exposure and the CVD incidence in older adults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1DE01ED2">
            <w:pPr>
              <w:rPr>
                <w:rFonts w:hint="default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4</w:t>
            </w:r>
          </w:p>
        </w:tc>
      </w:tr>
      <w:tr w14:paraId="6B649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2D267462">
            <w:pPr>
              <w:rPr>
                <w:rFonts w:hint="default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Tables5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</w:tcPr>
          <w:p w14:paraId="03573D5D">
            <w:pPr>
              <w:rPr>
                <w:rFonts w:hint="eastAsia" w:ascii="Times New Roman" w:hAnsi="Times New Roman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lang w:val="en-US" w:eastAsia="zh-CN"/>
              </w:rPr>
              <w:t>The moderating effect of computational capacity on the association between non-summer nighttime heatwave exposure and the CVD incidence in older adults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3C766A64">
            <w:pPr>
              <w:rPr>
                <w:rFonts w:hint="default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4</w:t>
            </w:r>
          </w:p>
        </w:tc>
      </w:tr>
      <w:tr w14:paraId="69B05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6D110AD1">
            <w:pPr>
              <w:rPr>
                <w:rFonts w:hint="default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Tables6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</w:tcPr>
          <w:p w14:paraId="22FF810E">
            <w:pPr>
              <w:rPr>
                <w:rFonts w:hint="eastAsia" w:ascii="Times New Roman" w:hAnsi="Times New Roman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lang w:val="en-US" w:eastAsia="zh-CN"/>
              </w:rPr>
              <w:t>The moderating effect of memory capacity on the association between non-summer nighttime heatwave exposure and the CVD incidence in older adults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3BDB7FEF">
            <w:pPr>
              <w:rPr>
                <w:rFonts w:hint="default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5</w:t>
            </w:r>
          </w:p>
        </w:tc>
      </w:tr>
      <w:tr w14:paraId="56E92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08215C34">
            <w:pPr>
              <w:rPr>
                <w:rFonts w:hint="default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Tables7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</w:tcPr>
          <w:p w14:paraId="4D5913C8">
            <w:pPr>
              <w:rPr>
                <w:rFonts w:hint="eastAsia" w:ascii="Times New Roman" w:hAnsi="Times New Roman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lang w:val="en-US" w:eastAsia="zh-CN"/>
              </w:rPr>
              <w:t>The moderating effect of executive function on the association between non-summer nighttime heatwave exposure and the CVD incidence in older adults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682976B1">
            <w:pPr>
              <w:rPr>
                <w:rFonts w:hint="default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6</w:t>
            </w:r>
          </w:p>
        </w:tc>
      </w:tr>
      <w:tr w14:paraId="26563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879CF9">
            <w:pPr>
              <w:rPr>
                <w:rFonts w:hint="eastAsia" w:ascii="Times New Roman" w:hAnsi="Times New Roman" w:eastAsia="宋体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Figures1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5C3892">
            <w:pPr>
              <w:rPr>
                <w:rFonts w:hint="eastAsia" w:ascii="Times New Roman" w:hAnsi="Times New Roman" w:eastAsia="宋体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Association between non-summer nighttime heatwave exposure and all age groups and the CVD incidence in older adults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DF2E94">
            <w:pPr>
              <w:rPr>
                <w:rFonts w:hint="eastAsia" w:ascii="Times New Roman" w:hAnsi="Times New Roman" w:eastAsia="宋体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7</w:t>
            </w:r>
          </w:p>
        </w:tc>
      </w:tr>
      <w:tr w14:paraId="0954E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2C555176">
            <w:pPr>
              <w:rPr>
                <w:rFonts w:hint="eastAsia" w:ascii="Times New Roman" w:hAnsi="Times New Roman" w:eastAsia="宋体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Figures2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05A7622A">
            <w:pPr>
              <w:rPr>
                <w:rFonts w:hint="eastAsia" w:ascii="Times New Roman" w:hAnsi="Times New Roman" w:eastAsia="宋体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Using the MICE method to impute data and test the association between non-summer nighttime heatwave exposure and the CVD incidence in older adults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22CDAA49">
            <w:pPr>
              <w:rPr>
                <w:rFonts w:hint="eastAsia" w:ascii="Times New Roman" w:hAnsi="Times New Roman" w:eastAsia="宋体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vertAlign w:val="baseline"/>
                <w:lang w:val="en-US" w:eastAsia="zh-CN"/>
              </w:rPr>
              <w:t>7</w:t>
            </w:r>
            <w:bookmarkStart w:id="5" w:name="_GoBack"/>
            <w:bookmarkEnd w:id="5"/>
          </w:p>
        </w:tc>
      </w:tr>
    </w:tbl>
    <w:p w14:paraId="4F5C9441">
      <w:pPr>
        <w:rPr>
          <w:rFonts w:hint="eastAsia" w:ascii="Times New Roman" w:hAnsi="Times New Roman" w:eastAsia="宋体"/>
          <w:b/>
          <w:bCs/>
          <w:sz w:val="24"/>
        </w:rPr>
      </w:pPr>
    </w:p>
    <w:p w14:paraId="1DA6B2AA">
      <w:pPr>
        <w:rPr>
          <w:rFonts w:hint="eastAsia" w:ascii="Times New Roman" w:hAnsi="Times New Roman" w:eastAsia="宋体"/>
          <w:b/>
          <w:bCs/>
          <w:sz w:val="24"/>
        </w:rPr>
      </w:pPr>
    </w:p>
    <w:p w14:paraId="5C662018">
      <w:pPr>
        <w:rPr>
          <w:rFonts w:hint="eastAsia" w:ascii="Times New Roman" w:hAnsi="Times New Roman" w:eastAsia="宋体"/>
          <w:b/>
          <w:bCs/>
          <w:sz w:val="24"/>
        </w:rPr>
      </w:pPr>
    </w:p>
    <w:p w14:paraId="7D4277F3">
      <w:pPr>
        <w:rPr>
          <w:rFonts w:hint="eastAsia" w:ascii="Times New Roman" w:hAnsi="Times New Roman" w:eastAsia="宋体"/>
          <w:b/>
          <w:bCs/>
          <w:sz w:val="24"/>
        </w:rPr>
      </w:pPr>
    </w:p>
    <w:p w14:paraId="484AA66F">
      <w:pPr>
        <w:rPr>
          <w:rFonts w:hint="eastAsia" w:ascii="Times New Roman" w:hAnsi="Times New Roman" w:eastAsia="宋体"/>
          <w:b/>
          <w:bCs/>
          <w:sz w:val="24"/>
        </w:rPr>
      </w:pPr>
    </w:p>
    <w:p w14:paraId="53328497">
      <w:pPr>
        <w:rPr>
          <w:rFonts w:hint="eastAsia" w:ascii="Times New Roman" w:hAnsi="Times New Roman" w:eastAsia="宋体"/>
          <w:b/>
          <w:bCs/>
          <w:sz w:val="24"/>
        </w:rPr>
      </w:pPr>
    </w:p>
    <w:p w14:paraId="4F1B725C">
      <w:pPr>
        <w:rPr>
          <w:rFonts w:hint="eastAsia" w:ascii="Times New Roman" w:hAnsi="Times New Roman" w:eastAsia="宋体"/>
          <w:b/>
          <w:bCs/>
          <w:sz w:val="24"/>
        </w:rPr>
      </w:pPr>
    </w:p>
    <w:p w14:paraId="6DB6BD1A">
      <w:pPr>
        <w:rPr>
          <w:rFonts w:hint="eastAsia" w:ascii="Times New Roman" w:hAnsi="Times New Roman" w:eastAsia="宋体"/>
          <w:b/>
          <w:bCs/>
          <w:sz w:val="24"/>
        </w:rPr>
      </w:pPr>
    </w:p>
    <w:p w14:paraId="0411DAE7">
      <w:pPr>
        <w:rPr>
          <w:rFonts w:hint="eastAsia" w:ascii="Times New Roman" w:hAnsi="Times New Roman" w:eastAsia="宋体"/>
          <w:b/>
          <w:bCs/>
          <w:sz w:val="24"/>
        </w:rPr>
      </w:pPr>
    </w:p>
    <w:p w14:paraId="01D6FEF3">
      <w:pPr>
        <w:rPr>
          <w:rFonts w:hint="eastAsia" w:ascii="Times New Roman" w:hAnsi="Times New Roman" w:eastAsia="宋体"/>
          <w:b/>
          <w:bCs/>
          <w:sz w:val="24"/>
        </w:rPr>
      </w:pPr>
    </w:p>
    <w:p w14:paraId="02A951A3">
      <w:pPr>
        <w:rPr>
          <w:rFonts w:hint="eastAsia" w:ascii="Times New Roman" w:hAnsi="Times New Roman" w:eastAsia="宋体"/>
          <w:b/>
          <w:bCs/>
          <w:sz w:val="24"/>
        </w:rPr>
      </w:pPr>
    </w:p>
    <w:p w14:paraId="6C40E852">
      <w:pPr>
        <w:rPr>
          <w:rFonts w:hint="eastAsia" w:ascii="Times New Roman" w:hAnsi="Times New Roman" w:eastAsia="宋体"/>
          <w:b/>
          <w:bCs/>
          <w:sz w:val="24"/>
        </w:rPr>
      </w:pPr>
    </w:p>
    <w:p w14:paraId="472CA491">
      <w:pPr>
        <w:rPr>
          <w:rFonts w:hint="eastAsia" w:ascii="Times New Roman" w:hAnsi="Times New Roman" w:eastAsia="宋体"/>
          <w:b/>
          <w:bCs/>
          <w:sz w:val="24"/>
        </w:rPr>
      </w:pPr>
    </w:p>
    <w:p w14:paraId="7402852F">
      <w:pPr>
        <w:rPr>
          <w:rFonts w:hint="eastAsia" w:ascii="Times New Roman" w:hAnsi="Times New Roman" w:eastAsia="宋体"/>
          <w:b/>
          <w:bCs/>
          <w:sz w:val="24"/>
        </w:rPr>
      </w:pPr>
    </w:p>
    <w:p w14:paraId="64CED48A">
      <w:pPr>
        <w:rPr>
          <w:rFonts w:hint="eastAsia" w:ascii="Times New Roman" w:hAnsi="Times New Roman" w:eastAsia="宋体"/>
          <w:b/>
          <w:bCs/>
          <w:sz w:val="24"/>
        </w:rPr>
      </w:pPr>
    </w:p>
    <w:p w14:paraId="15AEA7C5">
      <w:pPr>
        <w:rPr>
          <w:rFonts w:hint="eastAsia" w:ascii="Times New Roman" w:hAnsi="Times New Roman" w:eastAsia="宋体"/>
          <w:b/>
          <w:bCs/>
          <w:sz w:val="24"/>
        </w:rPr>
      </w:pPr>
    </w:p>
    <w:p w14:paraId="671C5BFD">
      <w:pPr>
        <w:rPr>
          <w:rFonts w:hint="eastAsia" w:ascii="Times New Roman" w:hAnsi="Times New Roman" w:eastAsia="宋体"/>
          <w:b/>
          <w:bCs/>
          <w:sz w:val="24"/>
        </w:rPr>
      </w:pPr>
    </w:p>
    <w:p w14:paraId="3A173894">
      <w:pPr>
        <w:rPr>
          <w:rFonts w:hint="eastAsia" w:ascii="Times New Roman" w:hAnsi="Times New Roman" w:eastAsia="宋体"/>
          <w:b/>
          <w:bCs/>
          <w:sz w:val="24"/>
        </w:rPr>
      </w:pPr>
    </w:p>
    <w:p w14:paraId="728405C9">
      <w:pPr>
        <w:rPr>
          <w:rFonts w:hint="eastAsia" w:ascii="Times New Roman" w:hAnsi="Times New Roman" w:eastAsia="宋体"/>
          <w:b/>
          <w:bCs/>
          <w:sz w:val="24"/>
        </w:rPr>
      </w:pPr>
    </w:p>
    <w:p w14:paraId="37AEA090">
      <w:pPr>
        <w:rPr>
          <w:rFonts w:hint="eastAsia" w:ascii="Times New Roman" w:hAnsi="Times New Roman" w:eastAsia="宋体"/>
          <w:b/>
          <w:bCs/>
          <w:sz w:val="24"/>
        </w:rPr>
      </w:pPr>
    </w:p>
    <w:p w14:paraId="57B50424">
      <w:pPr>
        <w:rPr>
          <w:rFonts w:hint="default" w:ascii="Times New Roman" w:hAnsi="Times New Roman" w:eastAsia="宋体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4"/>
        </w:rPr>
        <w:t>Tables1</w:t>
      </w: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 xml:space="preserve"> Heatwave Definition</w:t>
      </w:r>
    </w:p>
    <w:tbl>
      <w:tblPr>
        <w:tblStyle w:val="7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373"/>
        <w:gridCol w:w="1888"/>
        <w:gridCol w:w="2131"/>
      </w:tblGrid>
      <w:tr w14:paraId="6E24C52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  <w:insideH w:val="single" w:sz="8" w:space="0"/>
              <w:insideV w:val="nil"/>
              <w:tl2br w:val="nil"/>
              <w:tr2bl w:val="nil"/>
            </w:tcBorders>
            <w:vAlign w:val="center"/>
          </w:tcPr>
          <w:p w14:paraId="566CB7B6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Heatwave definitions</w:t>
            </w:r>
          </w:p>
        </w:tc>
        <w:tc>
          <w:tcPr>
            <w:tcW w:w="2373" w:type="dxa"/>
            <w:tcBorders>
              <w:top w:val="single" w:color="auto" w:sz="8" w:space="0"/>
              <w:bottom w:val="single" w:color="auto" w:sz="8" w:space="0"/>
              <w:right w:val="nil"/>
              <w:insideH w:val="single" w:sz="8" w:space="0"/>
              <w:insideV w:val="nil"/>
              <w:tl2br w:val="nil"/>
              <w:tr2bl w:val="nil"/>
            </w:tcBorders>
            <w:vAlign w:val="center"/>
          </w:tcPr>
          <w:p w14:paraId="23D0AAC5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Threshold percentile('C) for temperature</w:t>
            </w:r>
          </w:p>
        </w:tc>
        <w:tc>
          <w:tcPr>
            <w:tcW w:w="1888" w:type="dxa"/>
            <w:tcBorders>
              <w:top w:val="single" w:color="auto" w:sz="8" w:space="0"/>
              <w:bottom w:val="single" w:color="auto" w:sz="8" w:space="0"/>
              <w:right w:val="nil"/>
              <w:insideH w:val="single" w:sz="8" w:space="0"/>
              <w:insideV w:val="nil"/>
              <w:tl2br w:val="nil"/>
              <w:tr2bl w:val="nil"/>
            </w:tcBorders>
            <w:vAlign w:val="center"/>
          </w:tcPr>
          <w:p w14:paraId="1733FF64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Duration (Day)</w:t>
            </w:r>
          </w:p>
        </w:tc>
        <w:tc>
          <w:tcPr>
            <w:tcW w:w="2131" w:type="dxa"/>
            <w:tcBorders>
              <w:top w:val="single" w:color="auto" w:sz="8" w:space="0"/>
              <w:bottom w:val="single" w:color="auto" w:sz="8" w:space="0"/>
              <w:right w:val="nil"/>
              <w:insideH w:val="single" w:sz="8" w:space="0"/>
              <w:insideV w:val="nil"/>
              <w:tl2br w:val="nil"/>
              <w:tr2bl w:val="nil"/>
            </w:tcBorders>
            <w:vAlign w:val="center"/>
          </w:tcPr>
          <w:p w14:paraId="40D95F2B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Intensity categories</w:t>
            </w:r>
          </w:p>
        </w:tc>
      </w:tr>
      <w:tr w14:paraId="1C57B7F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13ACE694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HW1(90th-2D)</w:t>
            </w:r>
          </w:p>
        </w:tc>
        <w:tc>
          <w:tcPr>
            <w:tcW w:w="2373" w:type="dxa"/>
            <w:vAlign w:val="center"/>
          </w:tcPr>
          <w:p w14:paraId="6B167B3A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90th</w:t>
            </w:r>
          </w:p>
        </w:tc>
        <w:tc>
          <w:tcPr>
            <w:tcW w:w="1888" w:type="dxa"/>
            <w:vAlign w:val="center"/>
          </w:tcPr>
          <w:p w14:paraId="58825A81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bookmarkStart w:id="0" w:name="OLE_LINK4"/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≥</w:t>
            </w:r>
            <w:bookmarkEnd w:id="0"/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</w:t>
            </w:r>
          </w:p>
        </w:tc>
        <w:tc>
          <w:tcPr>
            <w:tcW w:w="2131" w:type="dxa"/>
            <w:vAlign w:val="center"/>
          </w:tcPr>
          <w:p w14:paraId="1BD6D936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Low intensity</w:t>
            </w:r>
          </w:p>
        </w:tc>
      </w:tr>
      <w:tr w14:paraId="13CA2A6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6C3A8122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HW2(90th-3D)</w:t>
            </w:r>
          </w:p>
        </w:tc>
        <w:tc>
          <w:tcPr>
            <w:tcW w:w="2373" w:type="dxa"/>
            <w:vAlign w:val="center"/>
          </w:tcPr>
          <w:p w14:paraId="1B78EAD7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90th</w:t>
            </w:r>
          </w:p>
        </w:tc>
        <w:tc>
          <w:tcPr>
            <w:tcW w:w="1888" w:type="dxa"/>
            <w:vAlign w:val="center"/>
          </w:tcPr>
          <w:p w14:paraId="08D60CC1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≥3</w:t>
            </w:r>
          </w:p>
        </w:tc>
        <w:tc>
          <w:tcPr>
            <w:tcW w:w="2131" w:type="dxa"/>
            <w:vAlign w:val="center"/>
          </w:tcPr>
          <w:p w14:paraId="16B40901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Low intensity</w:t>
            </w:r>
          </w:p>
        </w:tc>
      </w:tr>
      <w:tr w14:paraId="38C6A5A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4DC89BDC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HW3(90th-4D)</w:t>
            </w:r>
          </w:p>
        </w:tc>
        <w:tc>
          <w:tcPr>
            <w:tcW w:w="2373" w:type="dxa"/>
            <w:vAlign w:val="center"/>
          </w:tcPr>
          <w:p w14:paraId="241031D9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90th</w:t>
            </w:r>
          </w:p>
        </w:tc>
        <w:tc>
          <w:tcPr>
            <w:tcW w:w="1888" w:type="dxa"/>
            <w:vAlign w:val="center"/>
          </w:tcPr>
          <w:p w14:paraId="1C550D07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≥4</w:t>
            </w:r>
          </w:p>
        </w:tc>
        <w:tc>
          <w:tcPr>
            <w:tcW w:w="2131" w:type="dxa"/>
            <w:vAlign w:val="center"/>
          </w:tcPr>
          <w:p w14:paraId="05E18C0E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Low </w:t>
            </w:r>
            <w:bookmarkStart w:id="1" w:name="OLE_LINK5"/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intensity</w:t>
            </w:r>
            <w:bookmarkEnd w:id="1"/>
          </w:p>
        </w:tc>
      </w:tr>
      <w:tr w14:paraId="6B5B90F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37CD5307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HW4(92.5th- 2D)</w:t>
            </w:r>
          </w:p>
        </w:tc>
        <w:tc>
          <w:tcPr>
            <w:tcW w:w="2373" w:type="dxa"/>
            <w:vAlign w:val="center"/>
          </w:tcPr>
          <w:p w14:paraId="5AF71433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92.5th</w:t>
            </w:r>
          </w:p>
        </w:tc>
        <w:tc>
          <w:tcPr>
            <w:tcW w:w="1888" w:type="dxa"/>
            <w:vAlign w:val="center"/>
          </w:tcPr>
          <w:p w14:paraId="53CECE81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≥2</w:t>
            </w:r>
          </w:p>
        </w:tc>
        <w:tc>
          <w:tcPr>
            <w:tcW w:w="2131" w:type="dxa"/>
            <w:vAlign w:val="center"/>
          </w:tcPr>
          <w:p w14:paraId="3FD50CDF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bookmarkStart w:id="2" w:name="OLE_LINK6"/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Middle-low intensity</w:t>
            </w:r>
            <w:bookmarkEnd w:id="2"/>
          </w:p>
        </w:tc>
      </w:tr>
      <w:tr w14:paraId="4B652F1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32D53849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HW5(92.5th-3D)</w:t>
            </w:r>
          </w:p>
        </w:tc>
        <w:tc>
          <w:tcPr>
            <w:tcW w:w="2373" w:type="dxa"/>
            <w:vAlign w:val="center"/>
          </w:tcPr>
          <w:p w14:paraId="38DD195E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92.5th</w:t>
            </w:r>
          </w:p>
        </w:tc>
        <w:tc>
          <w:tcPr>
            <w:tcW w:w="1888" w:type="dxa"/>
            <w:vAlign w:val="center"/>
          </w:tcPr>
          <w:p w14:paraId="1523049E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≥3</w:t>
            </w:r>
          </w:p>
        </w:tc>
        <w:tc>
          <w:tcPr>
            <w:tcW w:w="2131" w:type="dxa"/>
            <w:vAlign w:val="center"/>
          </w:tcPr>
          <w:p w14:paraId="7B74D03A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Middle-low intensity</w:t>
            </w:r>
          </w:p>
        </w:tc>
      </w:tr>
      <w:tr w14:paraId="708B488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03CB6B88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HW6(92.5th-4D)</w:t>
            </w:r>
          </w:p>
        </w:tc>
        <w:tc>
          <w:tcPr>
            <w:tcW w:w="2373" w:type="dxa"/>
            <w:vAlign w:val="center"/>
          </w:tcPr>
          <w:p w14:paraId="2DE8F768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92.5th</w:t>
            </w:r>
          </w:p>
        </w:tc>
        <w:tc>
          <w:tcPr>
            <w:tcW w:w="1888" w:type="dxa"/>
            <w:vAlign w:val="center"/>
          </w:tcPr>
          <w:p w14:paraId="5D6810B2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≥4</w:t>
            </w:r>
          </w:p>
        </w:tc>
        <w:tc>
          <w:tcPr>
            <w:tcW w:w="2131" w:type="dxa"/>
            <w:vAlign w:val="center"/>
          </w:tcPr>
          <w:p w14:paraId="7C55542D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Middle-low intensity</w:t>
            </w:r>
          </w:p>
        </w:tc>
      </w:tr>
      <w:tr w14:paraId="05E02DA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2A6AE2A0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HW7(95th-2D)</w:t>
            </w:r>
          </w:p>
        </w:tc>
        <w:tc>
          <w:tcPr>
            <w:tcW w:w="2373" w:type="dxa"/>
            <w:vAlign w:val="center"/>
          </w:tcPr>
          <w:p w14:paraId="6184DDC7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95th</w:t>
            </w:r>
          </w:p>
        </w:tc>
        <w:tc>
          <w:tcPr>
            <w:tcW w:w="1888" w:type="dxa"/>
            <w:vAlign w:val="center"/>
          </w:tcPr>
          <w:p w14:paraId="413D0A56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≥2</w:t>
            </w:r>
          </w:p>
        </w:tc>
        <w:tc>
          <w:tcPr>
            <w:tcW w:w="2131" w:type="dxa"/>
            <w:vAlign w:val="center"/>
          </w:tcPr>
          <w:p w14:paraId="5DC2666C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bookmarkStart w:id="3" w:name="OLE_LINK7"/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Middle intensity</w:t>
            </w:r>
            <w:bookmarkEnd w:id="3"/>
          </w:p>
        </w:tc>
      </w:tr>
      <w:tr w14:paraId="00E9F07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04433EA7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HW8(95th-3D)</w:t>
            </w:r>
          </w:p>
        </w:tc>
        <w:tc>
          <w:tcPr>
            <w:tcW w:w="2373" w:type="dxa"/>
            <w:vAlign w:val="center"/>
          </w:tcPr>
          <w:p w14:paraId="22C732E2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95th</w:t>
            </w:r>
          </w:p>
        </w:tc>
        <w:tc>
          <w:tcPr>
            <w:tcW w:w="1888" w:type="dxa"/>
            <w:vAlign w:val="center"/>
          </w:tcPr>
          <w:p w14:paraId="4EF7D401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≥3</w:t>
            </w:r>
          </w:p>
        </w:tc>
        <w:tc>
          <w:tcPr>
            <w:tcW w:w="2131" w:type="dxa"/>
            <w:vAlign w:val="center"/>
          </w:tcPr>
          <w:p w14:paraId="148D0448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Middle intensity</w:t>
            </w:r>
          </w:p>
        </w:tc>
      </w:tr>
      <w:tr w14:paraId="7A527FC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29B9A798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HW9(95th-4D)</w:t>
            </w:r>
          </w:p>
        </w:tc>
        <w:tc>
          <w:tcPr>
            <w:tcW w:w="2373" w:type="dxa"/>
            <w:vAlign w:val="center"/>
          </w:tcPr>
          <w:p w14:paraId="525F40D2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95th</w:t>
            </w:r>
          </w:p>
        </w:tc>
        <w:tc>
          <w:tcPr>
            <w:tcW w:w="1888" w:type="dxa"/>
            <w:vAlign w:val="center"/>
          </w:tcPr>
          <w:p w14:paraId="2B468C06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≥4</w:t>
            </w:r>
          </w:p>
        </w:tc>
        <w:tc>
          <w:tcPr>
            <w:tcW w:w="2131" w:type="dxa"/>
            <w:vAlign w:val="center"/>
          </w:tcPr>
          <w:p w14:paraId="4C76882A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Middle intensity</w:t>
            </w:r>
          </w:p>
        </w:tc>
      </w:tr>
      <w:tr w14:paraId="244A6BC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49FC20C6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HW10(97.5th-2D)</w:t>
            </w:r>
          </w:p>
        </w:tc>
        <w:tc>
          <w:tcPr>
            <w:tcW w:w="2373" w:type="dxa"/>
            <w:vAlign w:val="center"/>
          </w:tcPr>
          <w:p w14:paraId="688229F6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97.5th</w:t>
            </w:r>
          </w:p>
        </w:tc>
        <w:tc>
          <w:tcPr>
            <w:tcW w:w="1888" w:type="dxa"/>
            <w:vAlign w:val="center"/>
          </w:tcPr>
          <w:p w14:paraId="6490C0FE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≥2</w:t>
            </w:r>
          </w:p>
        </w:tc>
        <w:tc>
          <w:tcPr>
            <w:tcW w:w="2131" w:type="dxa"/>
            <w:vAlign w:val="center"/>
          </w:tcPr>
          <w:p w14:paraId="2048CF6E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bookmarkStart w:id="4" w:name="OLE_LINK8"/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High intensity</w:t>
            </w:r>
            <w:bookmarkEnd w:id="4"/>
          </w:p>
        </w:tc>
      </w:tr>
      <w:tr w14:paraId="489201F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56168431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HW11(97.5th-3D)</w:t>
            </w:r>
          </w:p>
        </w:tc>
        <w:tc>
          <w:tcPr>
            <w:tcW w:w="2373" w:type="dxa"/>
            <w:vAlign w:val="center"/>
          </w:tcPr>
          <w:p w14:paraId="38DA3B25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97.5th</w:t>
            </w:r>
          </w:p>
        </w:tc>
        <w:tc>
          <w:tcPr>
            <w:tcW w:w="1888" w:type="dxa"/>
            <w:vAlign w:val="center"/>
          </w:tcPr>
          <w:p w14:paraId="271BD123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≥3</w:t>
            </w:r>
          </w:p>
        </w:tc>
        <w:tc>
          <w:tcPr>
            <w:tcW w:w="2131" w:type="dxa"/>
            <w:vAlign w:val="center"/>
          </w:tcPr>
          <w:p w14:paraId="7132E542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High intensity</w:t>
            </w:r>
          </w:p>
        </w:tc>
      </w:tr>
      <w:tr w14:paraId="07C947E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24637891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HW12(97.5th-4D)</w:t>
            </w:r>
          </w:p>
        </w:tc>
        <w:tc>
          <w:tcPr>
            <w:tcW w:w="2373" w:type="dxa"/>
            <w:vAlign w:val="center"/>
          </w:tcPr>
          <w:p w14:paraId="17151FDB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97.5th</w:t>
            </w:r>
          </w:p>
        </w:tc>
        <w:tc>
          <w:tcPr>
            <w:tcW w:w="1888" w:type="dxa"/>
            <w:vAlign w:val="center"/>
          </w:tcPr>
          <w:p w14:paraId="2073CB7C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≥4</w:t>
            </w:r>
          </w:p>
        </w:tc>
        <w:tc>
          <w:tcPr>
            <w:tcW w:w="2131" w:type="dxa"/>
            <w:vAlign w:val="center"/>
          </w:tcPr>
          <w:p w14:paraId="15520CFF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High intensity</w:t>
            </w:r>
          </w:p>
        </w:tc>
      </w:tr>
    </w:tbl>
    <w:p w14:paraId="36B5BF59">
      <w:pPr>
        <w:rPr>
          <w:rFonts w:ascii="Times New Roman" w:hAnsi="Times New Roman" w:eastAsia="宋体"/>
        </w:rPr>
      </w:pPr>
    </w:p>
    <w:p w14:paraId="14AF2BB1">
      <w:pPr>
        <w:rPr>
          <w:rFonts w:ascii="Times New Roman" w:hAnsi="Times New Roman" w:eastAsia="宋体"/>
        </w:rPr>
      </w:pPr>
    </w:p>
    <w:p w14:paraId="0079BDEA">
      <w:pPr>
        <w:rPr>
          <w:rFonts w:hint="default" w:ascii="Times New Roman" w:hAnsi="Times New Roman" w:eastAsia="宋体"/>
          <w:b/>
          <w:bCs/>
          <w:sz w:val="24"/>
          <w:lang w:val="en-US" w:eastAsia="zh-CN"/>
        </w:rPr>
      </w:pPr>
      <w:r>
        <w:rPr>
          <w:rFonts w:ascii="Times New Roman" w:hAnsi="Times New Roman" w:eastAsia="宋体"/>
          <w:b/>
          <w:bCs/>
          <w:sz w:val="24"/>
        </w:rPr>
        <w:t>Tables2</w:t>
      </w: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 xml:space="preserve"> Number of heatwave-during days and number of heatwave events under different definitions</w:t>
      </w:r>
    </w:p>
    <w:tbl>
      <w:tblPr>
        <w:tblStyle w:val="7"/>
        <w:tblW w:w="8536" w:type="dxa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2"/>
        <w:gridCol w:w="5184"/>
      </w:tblGrid>
      <w:tr w14:paraId="4549490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  <w:insideH w:val="single" w:sz="8" w:space="0"/>
              <w:insideV w:val="nil"/>
              <w:tl2br w:val="nil"/>
              <w:tr2bl w:val="nil"/>
            </w:tcBorders>
          </w:tcPr>
          <w:p w14:paraId="4876C65E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Variable</w:t>
            </w:r>
          </w:p>
        </w:tc>
        <w:tc>
          <w:tcPr>
            <w:tcW w:w="5184" w:type="dxa"/>
            <w:tcBorders>
              <w:top w:val="single" w:color="auto" w:sz="8" w:space="0"/>
              <w:bottom w:val="single" w:color="auto" w:sz="8" w:space="0"/>
              <w:right w:val="nil"/>
              <w:insideH w:val="single" w:sz="8" w:space="0"/>
              <w:insideV w:val="nil"/>
              <w:tl2br w:val="nil"/>
              <w:tr2bl w:val="nil"/>
            </w:tcBorders>
          </w:tcPr>
          <w:p w14:paraId="0FA4EDF3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Overall (N=5566)</w:t>
            </w:r>
          </w:p>
        </w:tc>
      </w:tr>
      <w:tr w14:paraId="353186D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</w:tcPr>
          <w:p w14:paraId="2783BC3B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HW1day</w:t>
            </w:r>
          </w:p>
        </w:tc>
        <w:tc>
          <w:tcPr>
            <w:tcW w:w="5184" w:type="dxa"/>
            <w:vAlign w:val="center"/>
          </w:tcPr>
          <w:p w14:paraId="03D8F4BC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7.5 ± 8.4</w:t>
            </w:r>
          </w:p>
        </w:tc>
      </w:tr>
      <w:tr w14:paraId="7A8256C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</w:tcPr>
          <w:p w14:paraId="480EEF4D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HW2day</w:t>
            </w:r>
          </w:p>
        </w:tc>
        <w:tc>
          <w:tcPr>
            <w:tcW w:w="5184" w:type="dxa"/>
            <w:vAlign w:val="center"/>
          </w:tcPr>
          <w:p w14:paraId="7FFF26D9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6.87 ± 8.52</w:t>
            </w:r>
          </w:p>
        </w:tc>
      </w:tr>
      <w:tr w14:paraId="7B33D6B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</w:tcPr>
          <w:p w14:paraId="75480B8C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HW3day</w:t>
            </w:r>
          </w:p>
        </w:tc>
        <w:tc>
          <w:tcPr>
            <w:tcW w:w="5184" w:type="dxa"/>
            <w:vAlign w:val="center"/>
          </w:tcPr>
          <w:p w14:paraId="67EFF26B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5.65 ± 8.95</w:t>
            </w:r>
          </w:p>
        </w:tc>
      </w:tr>
      <w:tr w14:paraId="3212665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</w:tcPr>
          <w:p w14:paraId="0EC26276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HW4day</w:t>
            </w:r>
          </w:p>
        </w:tc>
        <w:tc>
          <w:tcPr>
            <w:tcW w:w="5184" w:type="dxa"/>
            <w:vAlign w:val="center"/>
          </w:tcPr>
          <w:p w14:paraId="5248131F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6.18 ± 7.69</w:t>
            </w:r>
          </w:p>
        </w:tc>
      </w:tr>
      <w:tr w14:paraId="19A07AB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</w:tcPr>
          <w:p w14:paraId="06EC64BC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HW5day</w:t>
            </w:r>
          </w:p>
        </w:tc>
        <w:tc>
          <w:tcPr>
            <w:tcW w:w="5184" w:type="dxa"/>
            <w:vAlign w:val="center"/>
          </w:tcPr>
          <w:p w14:paraId="35E126F6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5.51 ± 7.47</w:t>
            </w:r>
          </w:p>
        </w:tc>
      </w:tr>
      <w:tr w14:paraId="3754614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</w:tcPr>
          <w:p w14:paraId="3C90A608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HW6day</w:t>
            </w:r>
          </w:p>
        </w:tc>
        <w:tc>
          <w:tcPr>
            <w:tcW w:w="5184" w:type="dxa"/>
            <w:vAlign w:val="center"/>
          </w:tcPr>
          <w:p w14:paraId="143E5BCC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3.25 ± 7.57</w:t>
            </w:r>
          </w:p>
        </w:tc>
      </w:tr>
      <w:tr w14:paraId="39EB04C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</w:tcPr>
          <w:p w14:paraId="3B239A4F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HW7day</w:t>
            </w:r>
          </w:p>
        </w:tc>
        <w:tc>
          <w:tcPr>
            <w:tcW w:w="5184" w:type="dxa"/>
            <w:vAlign w:val="center"/>
          </w:tcPr>
          <w:p w14:paraId="5FE39C2B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4.31 ± 6.17</w:t>
            </w:r>
          </w:p>
        </w:tc>
      </w:tr>
      <w:tr w14:paraId="526A04F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</w:tcPr>
          <w:p w14:paraId="0823E486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HW8day</w:t>
            </w:r>
          </w:p>
        </w:tc>
        <w:tc>
          <w:tcPr>
            <w:tcW w:w="5184" w:type="dxa"/>
            <w:vAlign w:val="center"/>
          </w:tcPr>
          <w:p w14:paraId="6402970F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2.51 ± 5.43</w:t>
            </w:r>
          </w:p>
        </w:tc>
      </w:tr>
      <w:tr w14:paraId="6990AE4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</w:tcPr>
          <w:p w14:paraId="484E8FB7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HW9day</w:t>
            </w:r>
          </w:p>
        </w:tc>
        <w:tc>
          <w:tcPr>
            <w:tcW w:w="5184" w:type="dxa"/>
            <w:vAlign w:val="center"/>
          </w:tcPr>
          <w:p w14:paraId="08EC3A99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0.2 ± 5.47</w:t>
            </w:r>
          </w:p>
        </w:tc>
      </w:tr>
      <w:tr w14:paraId="682D65F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</w:tcPr>
          <w:p w14:paraId="6E7A2065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HW10day</w:t>
            </w:r>
          </w:p>
        </w:tc>
        <w:tc>
          <w:tcPr>
            <w:tcW w:w="5184" w:type="dxa"/>
            <w:vAlign w:val="center"/>
          </w:tcPr>
          <w:p w14:paraId="5E39BDA6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0.64 ± 4.39</w:t>
            </w:r>
          </w:p>
        </w:tc>
      </w:tr>
      <w:tr w14:paraId="4557FB0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</w:tcPr>
          <w:p w14:paraId="30AE8F33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HW11day</w:t>
            </w:r>
          </w:p>
        </w:tc>
        <w:tc>
          <w:tcPr>
            <w:tcW w:w="5184" w:type="dxa"/>
            <w:vAlign w:val="center"/>
          </w:tcPr>
          <w:p w14:paraId="33B86DC5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0.89 ± 4.39</w:t>
            </w:r>
          </w:p>
        </w:tc>
      </w:tr>
      <w:tr w14:paraId="7C1D4CB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</w:tcPr>
          <w:p w14:paraId="5B461AED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HW12day</w:t>
            </w:r>
          </w:p>
        </w:tc>
        <w:tc>
          <w:tcPr>
            <w:tcW w:w="5184" w:type="dxa"/>
            <w:vAlign w:val="center"/>
          </w:tcPr>
          <w:p w14:paraId="2B83D8B4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1.7 ± 4.48</w:t>
            </w:r>
          </w:p>
        </w:tc>
      </w:tr>
      <w:tr w14:paraId="2D22CF8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  <w:vAlign w:val="center"/>
          </w:tcPr>
          <w:p w14:paraId="0B156586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HW1event</w:t>
            </w:r>
          </w:p>
        </w:tc>
        <w:tc>
          <w:tcPr>
            <w:tcW w:w="5184" w:type="dxa"/>
            <w:vAlign w:val="center"/>
          </w:tcPr>
          <w:p w14:paraId="4EE47329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1.88 ± 1.74</w:t>
            </w:r>
          </w:p>
        </w:tc>
      </w:tr>
      <w:tr w14:paraId="5C5702D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  <w:vAlign w:val="center"/>
          </w:tcPr>
          <w:p w14:paraId="2B811E07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HW2event</w:t>
            </w:r>
          </w:p>
        </w:tc>
        <w:tc>
          <w:tcPr>
            <w:tcW w:w="5184" w:type="dxa"/>
            <w:vAlign w:val="center"/>
          </w:tcPr>
          <w:p w14:paraId="1369C92A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1.57 ± 1.46</w:t>
            </w:r>
          </w:p>
        </w:tc>
      </w:tr>
      <w:tr w14:paraId="5B2B6BD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  <w:vAlign w:val="center"/>
          </w:tcPr>
          <w:p w14:paraId="11149686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HW3event</w:t>
            </w:r>
          </w:p>
        </w:tc>
        <w:tc>
          <w:tcPr>
            <w:tcW w:w="5184" w:type="dxa"/>
            <w:vAlign w:val="center"/>
          </w:tcPr>
          <w:p w14:paraId="5DDF50CB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1.16 ± 1.29</w:t>
            </w:r>
          </w:p>
        </w:tc>
      </w:tr>
      <w:tr w14:paraId="5F0E23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  <w:vAlign w:val="center"/>
          </w:tcPr>
          <w:p w14:paraId="2BD4E6C1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HW4event</w:t>
            </w:r>
          </w:p>
        </w:tc>
        <w:tc>
          <w:tcPr>
            <w:tcW w:w="5184" w:type="dxa"/>
            <w:vAlign w:val="center"/>
          </w:tcPr>
          <w:p w14:paraId="21A5572D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2.04 ± 1.83</w:t>
            </w:r>
          </w:p>
        </w:tc>
      </w:tr>
      <w:tr w14:paraId="129931C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  <w:vAlign w:val="center"/>
          </w:tcPr>
          <w:p w14:paraId="3C7E64C0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HW5event</w:t>
            </w:r>
          </w:p>
        </w:tc>
        <w:tc>
          <w:tcPr>
            <w:tcW w:w="5184" w:type="dxa"/>
            <w:vAlign w:val="center"/>
          </w:tcPr>
          <w:p w14:paraId="57EBF815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1.71 ± 1.45</w:t>
            </w:r>
          </w:p>
        </w:tc>
      </w:tr>
      <w:tr w14:paraId="4B0A681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  <w:vAlign w:val="center"/>
          </w:tcPr>
          <w:p w14:paraId="1A171AE0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HW6event</w:t>
            </w:r>
          </w:p>
        </w:tc>
        <w:tc>
          <w:tcPr>
            <w:tcW w:w="5184" w:type="dxa"/>
            <w:vAlign w:val="center"/>
          </w:tcPr>
          <w:p w14:paraId="036EC1B8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0.95 ± 1.15</w:t>
            </w:r>
          </w:p>
        </w:tc>
      </w:tr>
      <w:tr w14:paraId="72A3492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  <w:vAlign w:val="center"/>
          </w:tcPr>
          <w:p w14:paraId="69490A2F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HW7event</w:t>
            </w:r>
          </w:p>
        </w:tc>
        <w:tc>
          <w:tcPr>
            <w:tcW w:w="5184" w:type="dxa"/>
            <w:vAlign w:val="center"/>
          </w:tcPr>
          <w:p w14:paraId="32188B43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2.02 ± 1.84</w:t>
            </w:r>
          </w:p>
        </w:tc>
      </w:tr>
      <w:tr w14:paraId="2756451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  <w:vAlign w:val="center"/>
          </w:tcPr>
          <w:p w14:paraId="7D3B3A41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HW8event</w:t>
            </w:r>
          </w:p>
        </w:tc>
        <w:tc>
          <w:tcPr>
            <w:tcW w:w="5184" w:type="dxa"/>
            <w:vAlign w:val="center"/>
          </w:tcPr>
          <w:p w14:paraId="6436DA01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1.12 ± 1.18</w:t>
            </w:r>
          </w:p>
        </w:tc>
      </w:tr>
      <w:tr w14:paraId="020FC9B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  <w:vAlign w:val="center"/>
          </w:tcPr>
          <w:p w14:paraId="33A525F9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HW9event</w:t>
            </w:r>
          </w:p>
        </w:tc>
        <w:tc>
          <w:tcPr>
            <w:tcW w:w="5184" w:type="dxa"/>
            <w:vAlign w:val="center"/>
          </w:tcPr>
          <w:p w14:paraId="61AE9826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0.35 ± 0.93</w:t>
            </w:r>
          </w:p>
        </w:tc>
      </w:tr>
      <w:tr w14:paraId="39796D4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  <w:vAlign w:val="center"/>
          </w:tcPr>
          <w:p w14:paraId="32BA3824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HW10event</w:t>
            </w:r>
          </w:p>
        </w:tc>
        <w:tc>
          <w:tcPr>
            <w:tcW w:w="5184" w:type="dxa"/>
            <w:vAlign w:val="center"/>
          </w:tcPr>
          <w:p w14:paraId="2D087B92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0.83 ± 1.25</w:t>
            </w:r>
          </w:p>
        </w:tc>
      </w:tr>
      <w:tr w14:paraId="35212E1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  <w:vAlign w:val="center"/>
          </w:tcPr>
          <w:p w14:paraId="02610898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HW11event</w:t>
            </w:r>
          </w:p>
        </w:tc>
        <w:tc>
          <w:tcPr>
            <w:tcW w:w="5184" w:type="dxa"/>
            <w:vAlign w:val="center"/>
          </w:tcPr>
          <w:p w14:paraId="5F93689D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0.07 ± 0.93</w:t>
            </w:r>
          </w:p>
        </w:tc>
      </w:tr>
      <w:tr w14:paraId="1DB0F29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2" w:type="dxa"/>
            <w:vAlign w:val="center"/>
          </w:tcPr>
          <w:p w14:paraId="54F338FF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HW12event</w:t>
            </w:r>
          </w:p>
        </w:tc>
        <w:tc>
          <w:tcPr>
            <w:tcW w:w="5184" w:type="dxa"/>
            <w:vAlign w:val="center"/>
          </w:tcPr>
          <w:p w14:paraId="11DE7165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0.21 ± 0.8</w:t>
            </w:r>
          </w:p>
        </w:tc>
      </w:tr>
    </w:tbl>
    <w:p w14:paraId="50B8178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/>
        <w:ind w:right="100"/>
        <w:rPr>
          <w:rFonts w:hint="eastAsia" w:ascii="Times New Roman" w:hAnsi="Times New Roman" w:eastAsia="宋体" w:cs="Times New Roman"/>
          <w:bCs/>
          <w:color w:val="000000"/>
          <w:sz w:val="24"/>
        </w:rPr>
      </w:pPr>
    </w:p>
    <w:p w14:paraId="15D78C27">
      <w:pPr>
        <w:rPr>
          <w:rFonts w:hint="eastAsia" w:ascii="Times New Roman" w:hAnsi="Times New Roman" w:eastAsia="宋体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>Tables3 The association between thermal exposure and the incidence of CVD</w:t>
      </w:r>
    </w:p>
    <w:tbl>
      <w:tblPr>
        <w:tblStyle w:val="5"/>
        <w:tblW w:w="98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929"/>
        <w:gridCol w:w="750"/>
        <w:gridCol w:w="1984"/>
        <w:gridCol w:w="750"/>
        <w:gridCol w:w="2337"/>
        <w:gridCol w:w="900"/>
      </w:tblGrid>
      <w:tr w14:paraId="3D4F6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1236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4FA79C8F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Exposure</w:t>
            </w:r>
          </w:p>
        </w:tc>
        <w:tc>
          <w:tcPr>
            <w:tcW w:w="2679" w:type="dxa"/>
            <w:gridSpan w:val="2"/>
            <w:tcBorders>
              <w:left w:val="nil"/>
              <w:bottom w:val="single" w:color="000000" w:sz="4" w:space="0"/>
              <w:right w:val="nil"/>
            </w:tcBorders>
          </w:tcPr>
          <w:p w14:paraId="09DFEA0A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Modle1</w:t>
            </w:r>
          </w:p>
        </w:tc>
        <w:tc>
          <w:tcPr>
            <w:tcW w:w="2734" w:type="dxa"/>
            <w:gridSpan w:val="2"/>
            <w:tcBorders>
              <w:left w:val="nil"/>
              <w:bottom w:val="single" w:color="000000" w:sz="4" w:space="0"/>
              <w:right w:val="nil"/>
            </w:tcBorders>
          </w:tcPr>
          <w:p w14:paraId="44F102FD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Modle2</w:t>
            </w:r>
          </w:p>
        </w:tc>
        <w:tc>
          <w:tcPr>
            <w:tcW w:w="3237" w:type="dxa"/>
            <w:gridSpan w:val="2"/>
            <w:tcBorders>
              <w:left w:val="nil"/>
              <w:bottom w:val="single" w:color="000000" w:sz="4" w:space="0"/>
              <w:right w:val="nil"/>
            </w:tcBorders>
          </w:tcPr>
          <w:p w14:paraId="38965290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Modle3</w:t>
            </w:r>
          </w:p>
        </w:tc>
      </w:tr>
      <w:tr w14:paraId="085D2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7126C8C5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73531B16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OR(95%CI)</w:t>
            </w: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5E434718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top"/>
          </w:tcPr>
          <w:p w14:paraId="24D895AC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OR(95%CI)</w:t>
            </w: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top"/>
          </w:tcPr>
          <w:p w14:paraId="562964F4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233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top"/>
          </w:tcPr>
          <w:p w14:paraId="52AB2EFD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OR(95%CI)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top"/>
          </w:tcPr>
          <w:p w14:paraId="0A9CF777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</w:tr>
      <w:tr w14:paraId="36D3D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44479CF7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HW1day</w:t>
            </w:r>
          </w:p>
        </w:tc>
        <w:tc>
          <w:tcPr>
            <w:tcW w:w="1929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676F8A81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1.001(0.984-1.017)</w:t>
            </w: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1A7F9657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0.951</w:t>
            </w:r>
          </w:p>
        </w:tc>
        <w:tc>
          <w:tcPr>
            <w:tcW w:w="1984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77B0DF26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1.000(0.980-1.021)</w:t>
            </w: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3F67ABBE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0.999</w:t>
            </w:r>
          </w:p>
        </w:tc>
        <w:tc>
          <w:tcPr>
            <w:tcW w:w="2337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1F272C64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1.003（0.975-1.032）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49070A15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0.830</w:t>
            </w:r>
          </w:p>
        </w:tc>
      </w:tr>
      <w:tr w14:paraId="15F28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1D842DB0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HW2day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202CDA2C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1.005（0.989-1.020）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1C16166F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0.559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9DD174B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1.004（0.986-1.024）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B132D5C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0.646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19484FC9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1.010（0.984-1.037）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27D4C24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0.458</w:t>
            </w:r>
          </w:p>
        </w:tc>
      </w:tr>
      <w:tr w14:paraId="24546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4C949D7F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HW3day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01999D9F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1.001（0.986-1.015）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673C1EEA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0.943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ADDE856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1.006（0.987-1.025）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5D5A5900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0.538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2572558A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1.013（0.987-1.039）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BD2DED8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0.329</w:t>
            </w:r>
          </w:p>
        </w:tc>
      </w:tr>
      <w:tr w14:paraId="1403F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19206B2F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HW4day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4D0E8B14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1.003（0.986-1.021）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777762F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0.721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D9A6BFA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1.006（0.984-1.029）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6C6A6E79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0.580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3B8A6D2D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0.998（0.968-1.030）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7FB7A1F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0.909</w:t>
            </w:r>
          </w:p>
        </w:tc>
      </w:tr>
      <w:tr w14:paraId="0B7A7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40AC42BC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HW5day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32E0CB82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1.003（0.986-1.021）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E044C7E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0.701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238A5E4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1.005（0.984-1.027）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2A92159D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0.641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0E706E5C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1.010（0.981-1.040）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4D715F0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0.495</w:t>
            </w:r>
          </w:p>
        </w:tc>
      </w:tr>
      <w:tr w14:paraId="3DFB9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029665A7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HW6day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43E29A72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0.999（0.982-1.016）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2E3A4858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3854091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1.004（0.983-1.025）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3591DD26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0.729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1D951F99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1.016（0.985-1.047）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497F5F0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0.316</w:t>
            </w:r>
          </w:p>
        </w:tc>
      </w:tr>
      <w:tr w14:paraId="7F6D9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40BA8994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HW7day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17157ABC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0.997（0.997-1.016）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0209278F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0.724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167DA59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0.998（0.974-1.023）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0D414C8B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0.875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6A3CF334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0.991（0.957-1.027）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57BCFE7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0.630</w:t>
            </w:r>
          </w:p>
        </w:tc>
      </w:tr>
      <w:tr w14:paraId="3AA2A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4786DCD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HW8day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62F177E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0.994（0.974-1.015）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2917E9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0.595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8DAFDD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0.999（0.974-1.025）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61DCDAE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0.952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1E3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1.011（0.974-1.050）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7CC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0.574</w:t>
            </w:r>
          </w:p>
        </w:tc>
      </w:tr>
      <w:tr w14:paraId="70FA6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3EEFDB5A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HW9day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20CA0391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1.009（0.989-1.030）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112DE32C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0.390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1A3A72E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1.019（0.994-1.045）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6C2F2DCA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0.133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419AB254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1.025（0.987-1.064）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395727B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0.194</w:t>
            </w:r>
          </w:p>
        </w:tc>
      </w:tr>
      <w:tr w14:paraId="34E7B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6C135892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HW10day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270694CD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1.002（0.972-1.034）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380F4054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0.882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E2E5643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1.013（0.977-1.051）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571D668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0.480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52BF7781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1.024（0.975-1.075）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D041BBC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0.346</w:t>
            </w:r>
          </w:p>
        </w:tc>
      </w:tr>
      <w:tr w14:paraId="02791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05048394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HW11day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3376E653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1.003（0.974-1.034）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7087E7ED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0.832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DED86DF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1.032（0.998-1.068）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32D10BC0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0.068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4972F70C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1.052（1.004-1.104）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4CEEBDA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0.035</w:t>
            </w:r>
          </w:p>
        </w:tc>
      </w:tr>
      <w:tr w14:paraId="5E3AD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45D20DDC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HW12day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5BB4819A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1.007（0.979-1.035）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094F5DDC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0.641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DF78FDF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1.036（1.014-1.079）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CCE6D1D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0.004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6E830611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1.056（1.008-1.106）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08DADC3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0.022</w:t>
            </w:r>
          </w:p>
        </w:tc>
      </w:tr>
      <w:tr w14:paraId="61E15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21080DD3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HW1event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4683FD0A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1.009（0.947-1.074）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71BD776E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0.784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7E2233A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0.975（0.904-1.053）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538B3119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0.523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49F13A5D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0.953（0.851-1.068）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78EE4D0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0.408</w:t>
            </w:r>
          </w:p>
        </w:tc>
      </w:tr>
      <w:tr w14:paraId="34475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3780BB72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HW2event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78E74321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1.060（0.986-1.139）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1F1A3A9E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0.115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E7F7C13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1.022（0.934-1.119）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1E42D14C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0.634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5C76A638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1.027（0.901-1.171）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7206F3D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0.690</w:t>
            </w:r>
          </w:p>
        </w:tc>
      </w:tr>
      <w:tr w14:paraId="2C6F2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313E28">
            <w:pPr>
              <w:jc w:val="center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HW3event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6B220EDB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1.039（0.955-1.131）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4EC6FE4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0.374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E0D7195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1.051（0.941-1.173）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14EC2A68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0.378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1BD65598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1.090（0.926-1.283）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0BC5662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0.299</w:t>
            </w:r>
          </w:p>
        </w:tc>
      </w:tr>
      <w:tr w14:paraId="62585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7AEB2A">
            <w:pPr>
              <w:jc w:val="center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HW4event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3360918A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1.002（0.944-1.063）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522635E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0.948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BCAE78A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1.008（0.936-1.086）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245C3636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0.837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3A3037D8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0.929（0.835-1.033）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5ACCB9C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0.173</w:t>
            </w:r>
          </w:p>
        </w:tc>
      </w:tr>
      <w:tr w14:paraId="037E5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856386">
            <w:pPr>
              <w:jc w:val="center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HW5event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703F29B2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1.006（0.935-1.082）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0FD41231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0.874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24D10A0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1.005（0.918-1.100）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3705F5AC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0.915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32D383BA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1.005（0.882-1.145）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7819662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0.936</w:t>
            </w:r>
          </w:p>
        </w:tc>
      </w:tr>
      <w:tr w14:paraId="75E66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00218E">
            <w:pPr>
              <w:jc w:val="center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HW6event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6C950E89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0.969（0.885-1.060）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6C44CA7B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0.486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4CA6988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0.994（0.886-1.116）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1B5909BC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0.924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23E4FBD3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1.059（0.895-1.254）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834CE1A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0.501</w:t>
            </w:r>
          </w:p>
        </w:tc>
      </w:tr>
      <w:tr w14:paraId="5887A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7BDC88">
            <w:pPr>
              <w:jc w:val="center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HW7event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5A9D7A71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0.982（0.927-1.041）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A7D838A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0.540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2B61BFC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0.974（0.907-1.047）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9EA4D29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0.475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3F74F2FF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0.924（0.835-1.022）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0F1F80B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0.125</w:t>
            </w:r>
          </w:p>
        </w:tc>
      </w:tr>
      <w:tr w14:paraId="0E4B3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9B0D08">
            <w:pPr>
              <w:jc w:val="center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HW8event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742C0A7B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0.945（0.865-1.032）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38A6EC3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0.210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D95979E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0.954（0.853-1.067）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02FAA9CB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0.409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10EFB984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0.994（0.850-1.163）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0F85669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0.943</w:t>
            </w:r>
          </w:p>
        </w:tc>
      </w:tr>
      <w:tr w14:paraId="50773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48A687">
            <w:pPr>
              <w:jc w:val="center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HW9event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57DE4B47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1.047（0.942-1.165）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522F60A7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0.393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DF98F4F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1.116（0.977-1.275）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788BEE79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0.106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1D877114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1.124（0.924-1.367）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8EE1AF8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0.242</w:t>
            </w:r>
          </w:p>
        </w:tc>
      </w:tr>
      <w:tr w14:paraId="55A74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135C0A">
            <w:pPr>
              <w:jc w:val="center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HW10event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7FEC295B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0.985（0.900-1.078）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62FE0E8C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0.742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E6C3236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0.932（0.831-1.044）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5AABDF08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0.224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405BE564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0.913（0.785-1.061）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0D28424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0.235</w:t>
            </w:r>
          </w:p>
        </w:tc>
      </w:tr>
      <w:tr w14:paraId="6A879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333141">
            <w:pPr>
              <w:jc w:val="center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HW11event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14:paraId="2BFBDAFA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0.979（0.863-1.112）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528A66F5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0.746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B7C113E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1.048（0.895-1.227）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1629113B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0.561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41AEAEBB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1.105（0.889-1.373）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44C3A49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0.369</w:t>
            </w:r>
          </w:p>
        </w:tc>
      </w:tr>
      <w:tr w14:paraId="360D5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18425969">
            <w:pPr>
              <w:jc w:val="center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HW12event</w:t>
            </w:r>
          </w:p>
        </w:tc>
        <w:tc>
          <w:tcPr>
            <w:tcW w:w="1929" w:type="dxa"/>
            <w:tcBorders>
              <w:top w:val="nil"/>
              <w:left w:val="nil"/>
              <w:right w:val="nil"/>
            </w:tcBorders>
          </w:tcPr>
          <w:p w14:paraId="67725A8E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1.003（0.865-1.164）</w:t>
            </w:r>
          </w:p>
        </w:tc>
        <w:tc>
          <w:tcPr>
            <w:tcW w:w="750" w:type="dxa"/>
            <w:tcBorders>
              <w:top w:val="nil"/>
              <w:left w:val="nil"/>
              <w:right w:val="nil"/>
            </w:tcBorders>
          </w:tcPr>
          <w:p w14:paraId="4FC4FD59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0.966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14:paraId="4FF50C93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1.235（1.047-1.457）</w:t>
            </w:r>
          </w:p>
        </w:tc>
        <w:tc>
          <w:tcPr>
            <w:tcW w:w="750" w:type="dxa"/>
            <w:tcBorders>
              <w:top w:val="nil"/>
              <w:left w:val="nil"/>
              <w:right w:val="nil"/>
            </w:tcBorders>
          </w:tcPr>
          <w:p w14:paraId="6F56C1C9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0.012</w:t>
            </w:r>
          </w:p>
        </w:tc>
        <w:tc>
          <w:tcPr>
            <w:tcW w:w="2337" w:type="dxa"/>
            <w:tcBorders>
              <w:top w:val="nil"/>
              <w:left w:val="nil"/>
              <w:right w:val="nil"/>
            </w:tcBorders>
          </w:tcPr>
          <w:p w14:paraId="360691B9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1.212（0.944-1.556）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4B0928A4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0.131</w:t>
            </w:r>
          </w:p>
        </w:tc>
      </w:tr>
    </w:tbl>
    <w:p w14:paraId="4ACF2238">
      <w:pPr>
        <w:rPr>
          <w:rFonts w:ascii="Times New Roman" w:hAnsi="Times New Roman" w:eastAsia="宋体"/>
        </w:rPr>
      </w:pPr>
    </w:p>
    <w:p w14:paraId="0784852E">
      <w:pPr>
        <w:rPr>
          <w:rFonts w:ascii="Times New Roman" w:hAnsi="Times New Roman" w:eastAsia="宋体"/>
        </w:rPr>
      </w:pPr>
    </w:p>
    <w:p w14:paraId="0B7FDA28">
      <w:pPr>
        <w:rPr>
          <w:rFonts w:ascii="Times New Roman" w:hAnsi="Times New Roman" w:eastAsia="宋体"/>
        </w:rPr>
      </w:pPr>
    </w:p>
    <w:p w14:paraId="30B4F31C">
      <w:pPr>
        <w:rPr>
          <w:rFonts w:ascii="Times New Roman" w:hAnsi="Times New Roman" w:eastAsia="宋体"/>
        </w:rPr>
      </w:pPr>
    </w:p>
    <w:p w14:paraId="793966A5">
      <w:pPr>
        <w:rPr>
          <w:rFonts w:ascii="Times New Roman" w:hAnsi="Times New Roman" w:eastAsia="宋体"/>
        </w:rPr>
      </w:pPr>
    </w:p>
    <w:p w14:paraId="50340571">
      <w:pPr>
        <w:rPr>
          <w:rFonts w:ascii="Times New Roman" w:hAnsi="Times New Roman" w:eastAsia="宋体"/>
        </w:rPr>
      </w:pPr>
    </w:p>
    <w:p w14:paraId="59C14E7B">
      <w:pPr>
        <w:rPr>
          <w:rFonts w:ascii="Times New Roman" w:hAnsi="Times New Roman" w:eastAsia="宋体"/>
        </w:rPr>
      </w:pPr>
    </w:p>
    <w:p w14:paraId="60D05CC2">
      <w:pPr>
        <w:rPr>
          <w:rFonts w:hint="default" w:ascii="Times New Roman" w:hAnsi="Times New Roman" w:eastAsia="宋体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>Tables4 The moderating effect of spatiotemporal localization ability on the association between non-summer nighttime heatwave exposure and the CVD incidence in older adults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0D974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bottom w:val="single" w:color="000000" w:sz="4" w:space="0"/>
              <w:right w:val="nil"/>
            </w:tcBorders>
            <w:vAlign w:val="top"/>
          </w:tcPr>
          <w:p w14:paraId="1A60055D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Exposure</w:t>
            </w:r>
          </w:p>
        </w:tc>
        <w:tc>
          <w:tcPr>
            <w:tcW w:w="2841" w:type="dxa"/>
            <w:tcBorders>
              <w:left w:val="nil"/>
              <w:bottom w:val="single" w:color="000000" w:sz="4" w:space="0"/>
              <w:right w:val="nil"/>
            </w:tcBorders>
            <w:vAlign w:val="top"/>
          </w:tcPr>
          <w:p w14:paraId="3B493B58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OR (95%CI)</w:t>
            </w:r>
          </w:p>
        </w:tc>
        <w:tc>
          <w:tcPr>
            <w:tcW w:w="2841" w:type="dxa"/>
            <w:tcBorders>
              <w:left w:val="nil"/>
              <w:bottom w:val="single" w:color="000000" w:sz="4" w:space="0"/>
              <w:right w:val="nil"/>
            </w:tcBorders>
            <w:vAlign w:val="top"/>
          </w:tcPr>
          <w:p w14:paraId="6C419F28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</w:tr>
      <w:tr w14:paraId="0E033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top"/>
          </w:tcPr>
          <w:p w14:paraId="5C234613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HW1day</w:t>
            </w:r>
          </w:p>
        </w:tc>
        <w:tc>
          <w:tcPr>
            <w:tcW w:w="2841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top"/>
          </w:tcPr>
          <w:p w14:paraId="6D424AC2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0.984 (0.939, 1.031)</w:t>
            </w:r>
          </w:p>
        </w:tc>
        <w:tc>
          <w:tcPr>
            <w:tcW w:w="2841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top"/>
          </w:tcPr>
          <w:p w14:paraId="6AED446A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0.501</w:t>
            </w:r>
          </w:p>
        </w:tc>
      </w:tr>
      <w:tr w14:paraId="2DF37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154939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HW2day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6F1239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0.982 (0.938, 1.027)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E6B313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0.428</w:t>
            </w:r>
          </w:p>
        </w:tc>
      </w:tr>
      <w:tr w14:paraId="22E9F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C9D70E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HW3day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F684B1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0.980 (0.938, 1.024)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94E621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0.361</w:t>
            </w:r>
          </w:p>
        </w:tc>
      </w:tr>
      <w:tr w14:paraId="2C2BD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53502C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HW4day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993182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0.977 (0.928, 1.028)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6B4D4B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0.361</w:t>
            </w:r>
          </w:p>
        </w:tc>
      </w:tr>
      <w:tr w14:paraId="17198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91665C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HW5day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BCD888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0.965 (0.915, 1.018)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E5ABAE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0.192</w:t>
            </w:r>
          </w:p>
        </w:tc>
      </w:tr>
      <w:tr w14:paraId="5A907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A8A61C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HW6day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32B77F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0.960 (0.910, 1.012)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20C8E1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0.127</w:t>
            </w:r>
          </w:p>
        </w:tc>
      </w:tr>
      <w:tr w14:paraId="623EA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53835B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HW7day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A73759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0.998 (0.936, 1.063)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33B090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0.938</w:t>
            </w:r>
          </w:p>
        </w:tc>
      </w:tr>
      <w:tr w14:paraId="3B2D9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3F78D5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HW8day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EB86C2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0.958 (0.894, 1.027)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92EF69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0.224</w:t>
            </w:r>
          </w:p>
        </w:tc>
      </w:tr>
      <w:tr w14:paraId="7C77F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A0BC69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HW9day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54F914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0.943 (0.881, 1.010)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DCA533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0.095</w:t>
            </w:r>
          </w:p>
        </w:tc>
      </w:tr>
      <w:tr w14:paraId="098EB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759BB9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HW10day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6C291F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0.947 (0.868, 1.033)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78A168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0.219</w:t>
            </w:r>
          </w:p>
        </w:tc>
      </w:tr>
      <w:tr w14:paraId="4A0C9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F07C2F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HW11day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027F76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0.929 (0.853, 1.011)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54FD83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0.039</w:t>
            </w:r>
          </w:p>
        </w:tc>
      </w:tr>
      <w:tr w14:paraId="031AE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C32CE6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HW12day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F20C2D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0.965 (0.887, 1.050)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6B9074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0.408</w:t>
            </w:r>
          </w:p>
        </w:tc>
      </w:tr>
      <w:tr w14:paraId="65F58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D18C41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HW1event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6BB2BF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0.978 (0.791, 1.209)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F3C1E0">
            <w:pPr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vertAlign w:val="baseline"/>
                <w:lang w:val="en-US" w:eastAsia="zh-CN"/>
              </w:rPr>
              <w:t>0.835</w:t>
            </w:r>
          </w:p>
        </w:tc>
      </w:tr>
      <w:tr w14:paraId="1174D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B41899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HW2event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C46736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0.919 (0.708, 1.194)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61A98C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0.528</w:t>
            </w:r>
          </w:p>
        </w:tc>
      </w:tr>
      <w:tr w14:paraId="5F65D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1F794C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HW3event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D5F532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0.856 (0.632, 1.158)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D5BF9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0.313</w:t>
            </w:r>
          </w:p>
        </w:tc>
      </w:tr>
      <w:tr w14:paraId="07D09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A498A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HW4event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50F226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1.008 (0.825, 1.232)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DBB3C2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0.937</w:t>
            </w:r>
          </w:p>
        </w:tc>
      </w:tr>
      <w:tr w14:paraId="0D1F7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79AB20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HW5event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A887C3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0.917 (0.701, 1.199)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EDCE027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0.525</w:t>
            </w:r>
          </w:p>
        </w:tc>
      </w:tr>
      <w:tr w14:paraId="295E3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B5888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HW6event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C109F9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0.824 (0.586, 1.159)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B2ACB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0.265</w:t>
            </w:r>
          </w:p>
        </w:tc>
      </w:tr>
      <w:tr w14:paraId="01220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B7A019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HW7event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02F545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1.103 (0.901, 1.349)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EBB184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0.342</w:t>
            </w:r>
          </w:p>
        </w:tc>
      </w:tr>
      <w:tr w14:paraId="3934C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F1BCE2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HW8event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880DD0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0.851 (0.620, 1.169)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3C574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0.320</w:t>
            </w:r>
          </w:p>
        </w:tc>
      </w:tr>
      <w:tr w14:paraId="6420D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ECFE05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HW9event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8E9EC3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0.664 (0.447, 0.985)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4D664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0.042</w:t>
            </w:r>
          </w:p>
        </w:tc>
      </w:tr>
      <w:tr w14:paraId="69B6B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8C8883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HW10event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6755E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0.885 (0.662, 1.183)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D23043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0.410</w:t>
            </w:r>
          </w:p>
        </w:tc>
      </w:tr>
      <w:tr w14:paraId="601B9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006025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HW11event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EB590D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0.655 (0.434, 0.988)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FBC00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0.044</w:t>
            </w:r>
          </w:p>
        </w:tc>
      </w:tr>
      <w:tr w14:paraId="311AB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right w:val="nil"/>
            </w:tcBorders>
            <w:vAlign w:val="top"/>
          </w:tcPr>
          <w:p w14:paraId="1235185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HW12event</w:t>
            </w:r>
          </w:p>
        </w:tc>
        <w:tc>
          <w:tcPr>
            <w:tcW w:w="2841" w:type="dxa"/>
            <w:tcBorders>
              <w:top w:val="nil"/>
              <w:left w:val="nil"/>
              <w:right w:val="nil"/>
            </w:tcBorders>
            <w:vAlign w:val="top"/>
          </w:tcPr>
          <w:p w14:paraId="679AD17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0.821 (0.509, 1.324)</w:t>
            </w:r>
          </w:p>
        </w:tc>
        <w:tc>
          <w:tcPr>
            <w:tcW w:w="2841" w:type="dxa"/>
            <w:tcBorders>
              <w:top w:val="nil"/>
              <w:left w:val="nil"/>
              <w:right w:val="nil"/>
            </w:tcBorders>
            <w:vAlign w:val="top"/>
          </w:tcPr>
          <w:p w14:paraId="7F7DF123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0.418</w:t>
            </w:r>
          </w:p>
        </w:tc>
      </w:tr>
    </w:tbl>
    <w:p w14:paraId="7A4BB5E1">
      <w:pPr>
        <w:rPr>
          <w:rFonts w:ascii="Times New Roman" w:hAnsi="Times New Roman" w:eastAsia="宋体"/>
        </w:rPr>
      </w:pPr>
    </w:p>
    <w:p w14:paraId="3A3912D9">
      <w:pPr>
        <w:rPr>
          <w:rFonts w:ascii="Times New Roman" w:hAnsi="Times New Roman" w:eastAsia="宋体"/>
        </w:rPr>
      </w:pPr>
    </w:p>
    <w:p w14:paraId="40D9EE48">
      <w:pPr>
        <w:rPr>
          <w:rFonts w:hint="default" w:ascii="Times New Roman" w:hAnsi="Times New Roman" w:eastAsia="宋体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>Tables5 The moderating effect of computational capacity on the association between non-summer nighttime heatwave exposure and the CVD incidence in older adults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0F4B9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bottom w:val="single" w:color="000000" w:sz="4" w:space="0"/>
              <w:right w:val="nil"/>
            </w:tcBorders>
            <w:vAlign w:val="top"/>
          </w:tcPr>
          <w:p w14:paraId="3254EF6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b/>
                <w:sz w:val="22"/>
              </w:rPr>
              <w:t>Exposure</w:t>
            </w:r>
          </w:p>
        </w:tc>
        <w:tc>
          <w:tcPr>
            <w:tcW w:w="2841" w:type="dxa"/>
            <w:tcBorders>
              <w:left w:val="nil"/>
              <w:bottom w:val="single" w:color="000000" w:sz="4" w:space="0"/>
              <w:right w:val="nil"/>
            </w:tcBorders>
            <w:vAlign w:val="top"/>
          </w:tcPr>
          <w:p w14:paraId="48CE6BB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b/>
                <w:sz w:val="22"/>
              </w:rPr>
              <w:t>OR (95%CI)</w:t>
            </w:r>
          </w:p>
        </w:tc>
        <w:tc>
          <w:tcPr>
            <w:tcW w:w="2841" w:type="dxa"/>
            <w:tcBorders>
              <w:left w:val="nil"/>
              <w:bottom w:val="single" w:color="000000" w:sz="4" w:space="0"/>
              <w:right w:val="nil"/>
            </w:tcBorders>
            <w:vAlign w:val="top"/>
          </w:tcPr>
          <w:p w14:paraId="194EE565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b/>
                <w:sz w:val="22"/>
              </w:rPr>
              <w:t>P</w:t>
            </w:r>
          </w:p>
        </w:tc>
      </w:tr>
      <w:tr w14:paraId="10DCD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top"/>
          </w:tcPr>
          <w:p w14:paraId="52219B6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HW1day</w:t>
            </w:r>
          </w:p>
        </w:tc>
        <w:tc>
          <w:tcPr>
            <w:tcW w:w="2841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top"/>
          </w:tcPr>
          <w:p w14:paraId="29C7814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0.965 (0.921, 1.011)</w:t>
            </w:r>
          </w:p>
        </w:tc>
        <w:tc>
          <w:tcPr>
            <w:tcW w:w="2841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top"/>
          </w:tcPr>
          <w:p w14:paraId="6200057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0.133</w:t>
            </w:r>
          </w:p>
        </w:tc>
      </w:tr>
      <w:tr w14:paraId="6E647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8E1AE5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HW2day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E3F58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0.976 (0.933, 1.021)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FF93C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0.297</w:t>
            </w:r>
          </w:p>
        </w:tc>
      </w:tr>
      <w:tr w14:paraId="061D0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F88FD6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HW3day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D24D0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0.971 (0.930, 1.015)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FDA39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0.192</w:t>
            </w:r>
          </w:p>
        </w:tc>
      </w:tr>
      <w:tr w14:paraId="445AA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C1BC46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HW4day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B33FBC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0.957 (0.909, 1.006)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91861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0.087</w:t>
            </w:r>
          </w:p>
        </w:tc>
      </w:tr>
      <w:tr w14:paraId="06E3E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C2A15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HW5day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3E2BC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0.963 (0.914, 1.015)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744E49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0.159</w:t>
            </w:r>
          </w:p>
        </w:tc>
      </w:tr>
      <w:tr w14:paraId="7D030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41BE2C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HW6day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2FA06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0.961 (0.912, 1.013)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C104E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0.143</w:t>
            </w:r>
          </w:p>
        </w:tc>
      </w:tr>
      <w:tr w14:paraId="24642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276E7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HW7day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40E3B3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0.964 (0.906, 1.027)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2DC7B5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0.258</w:t>
            </w:r>
          </w:p>
        </w:tc>
      </w:tr>
      <w:tr w14:paraId="4C0FB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26EF5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HW8day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2BF297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0.941 (0.877, 1.009)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A09D1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0.089</w:t>
            </w:r>
          </w:p>
        </w:tc>
      </w:tr>
      <w:tr w14:paraId="76512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9792F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HW9day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15483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0.943 (0.881, 1.010)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5CDED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0.091</w:t>
            </w:r>
          </w:p>
        </w:tc>
      </w:tr>
      <w:tr w14:paraId="72119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9130C6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HW10day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8A46E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0.937 (0.861, 1.021)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9740E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0.138</w:t>
            </w:r>
          </w:p>
        </w:tc>
      </w:tr>
      <w:tr w14:paraId="2B77D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982FB5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HW11day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FF2AE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0.925 (0.851, 1.005)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75D1E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0.066</w:t>
            </w:r>
          </w:p>
        </w:tc>
      </w:tr>
      <w:tr w14:paraId="097C9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E726E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HW12day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75AFA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0.936 (0.862, 1.016)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F14DC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0.116</w:t>
            </w:r>
          </w:p>
        </w:tc>
      </w:tr>
      <w:tr w14:paraId="027BC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9529D6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AB8557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0.934 (0.754, 1.157)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77237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0.532</w:t>
            </w:r>
          </w:p>
        </w:tc>
      </w:tr>
      <w:tr w14:paraId="6A38B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132F5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HW2event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7E432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1.054 (0.810, 1.371)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673515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0.696</w:t>
            </w:r>
          </w:p>
        </w:tc>
      </w:tr>
      <w:tr w14:paraId="174BA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B4F25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HW3event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54591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0.981 (0.726, 1.324)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8E019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0.899</w:t>
            </w:r>
          </w:p>
        </w:tc>
      </w:tr>
      <w:tr w14:paraId="303C4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92F70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HW4event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D01E1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0.920 (0.752, 1.125)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26AB7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0.416</w:t>
            </w:r>
          </w:p>
        </w:tc>
      </w:tr>
      <w:tr w14:paraId="1463B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20D1A6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HW5event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B46749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0.993 (0.758, 1.302)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62673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0.962</w:t>
            </w:r>
          </w:p>
        </w:tc>
      </w:tr>
      <w:tr w14:paraId="03167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9A7463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HW6event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A2E8B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0.989 (0.697, 1.404)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CE3665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0.951</w:t>
            </w:r>
          </w:p>
        </w:tc>
      </w:tr>
      <w:tr w14:paraId="0C531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95CF6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HW7event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7ACA02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1.030 (0.842, 1.261)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4BDD66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0.773</w:t>
            </w:r>
          </w:p>
        </w:tc>
      </w:tr>
      <w:tr w14:paraId="7239D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6CAAD6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HW8event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FCCB7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0.924 (0.666, 1.281)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7967F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0.635</w:t>
            </w:r>
          </w:p>
        </w:tc>
      </w:tr>
      <w:tr w14:paraId="4C084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8F4982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HW9event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872161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0.875 (0.587, 1.304)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95ADE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0.512</w:t>
            </w:r>
          </w:p>
        </w:tc>
      </w:tr>
      <w:tr w14:paraId="68228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A49D6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HW10event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02ADA3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0.903 (0.675, 1.208)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7CFA3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0.491</w:t>
            </w:r>
          </w:p>
        </w:tc>
      </w:tr>
      <w:tr w14:paraId="4D6EF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BF770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HW11event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514ADC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0.699 (0.461, 1.059)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D4EF70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0.091</w:t>
            </w:r>
          </w:p>
        </w:tc>
      </w:tr>
      <w:tr w14:paraId="01A63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right w:val="nil"/>
            </w:tcBorders>
            <w:vAlign w:val="top"/>
          </w:tcPr>
          <w:p w14:paraId="049E7AD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HW12event</w:t>
            </w:r>
          </w:p>
        </w:tc>
        <w:tc>
          <w:tcPr>
            <w:tcW w:w="2841" w:type="dxa"/>
            <w:tcBorders>
              <w:top w:val="nil"/>
              <w:left w:val="nil"/>
              <w:right w:val="nil"/>
            </w:tcBorders>
            <w:vAlign w:val="top"/>
          </w:tcPr>
          <w:p w14:paraId="08CC64C3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0.693 (0.433, 1.109)</w:t>
            </w:r>
          </w:p>
        </w:tc>
        <w:tc>
          <w:tcPr>
            <w:tcW w:w="2841" w:type="dxa"/>
            <w:tcBorders>
              <w:top w:val="nil"/>
              <w:left w:val="nil"/>
              <w:right w:val="nil"/>
            </w:tcBorders>
            <w:vAlign w:val="top"/>
          </w:tcPr>
          <w:p w14:paraId="07A90B35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0.126</w:t>
            </w:r>
          </w:p>
        </w:tc>
      </w:tr>
    </w:tbl>
    <w:p w14:paraId="0844FB08">
      <w:pPr>
        <w:rPr>
          <w:rFonts w:ascii="Times New Roman" w:hAnsi="Times New Roman" w:eastAsia="宋体"/>
        </w:rPr>
      </w:pPr>
    </w:p>
    <w:p w14:paraId="426DF9B3">
      <w:pPr>
        <w:rPr>
          <w:rFonts w:ascii="Times New Roman" w:hAnsi="Times New Roman" w:eastAsia="宋体"/>
        </w:rPr>
      </w:pPr>
    </w:p>
    <w:p w14:paraId="0E633E4F">
      <w:pPr>
        <w:rPr>
          <w:rFonts w:ascii="Times New Roman" w:hAnsi="Times New Roman" w:eastAsia="宋体"/>
        </w:rPr>
      </w:pPr>
    </w:p>
    <w:p w14:paraId="5692D726">
      <w:pPr>
        <w:rPr>
          <w:rFonts w:ascii="Times New Roman" w:hAnsi="Times New Roman" w:eastAsia="宋体"/>
        </w:rPr>
      </w:pPr>
    </w:p>
    <w:p w14:paraId="4282731E">
      <w:pPr>
        <w:rPr>
          <w:rFonts w:ascii="Times New Roman" w:hAnsi="Times New Roman" w:eastAsia="宋体"/>
        </w:rPr>
      </w:pPr>
    </w:p>
    <w:p w14:paraId="009FEC19">
      <w:pPr>
        <w:rPr>
          <w:rFonts w:hint="default" w:ascii="Times New Roman" w:hAnsi="Times New Roman" w:eastAsia="宋体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>Tables6 The moderating effect of memory capacity on the association between non-summer nighttime heatwave exposure and the CVD incidence in older adults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4C7A8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bottom w:val="single" w:color="000000" w:sz="4" w:space="0"/>
              <w:right w:val="nil"/>
            </w:tcBorders>
            <w:vAlign w:val="top"/>
          </w:tcPr>
          <w:p w14:paraId="4C503913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b/>
                <w:sz w:val="22"/>
              </w:rPr>
              <w:t>Exposure</w:t>
            </w:r>
          </w:p>
        </w:tc>
        <w:tc>
          <w:tcPr>
            <w:tcW w:w="2841" w:type="dxa"/>
            <w:tcBorders>
              <w:left w:val="nil"/>
              <w:bottom w:val="single" w:color="000000" w:sz="4" w:space="0"/>
              <w:right w:val="nil"/>
            </w:tcBorders>
            <w:vAlign w:val="top"/>
          </w:tcPr>
          <w:p w14:paraId="7052513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b/>
                <w:sz w:val="22"/>
              </w:rPr>
              <w:t>OR (95%CI)</w:t>
            </w:r>
          </w:p>
        </w:tc>
        <w:tc>
          <w:tcPr>
            <w:tcW w:w="2841" w:type="dxa"/>
            <w:tcBorders>
              <w:left w:val="nil"/>
              <w:bottom w:val="single" w:color="000000" w:sz="4" w:space="0"/>
              <w:right w:val="nil"/>
            </w:tcBorders>
            <w:vAlign w:val="top"/>
          </w:tcPr>
          <w:p w14:paraId="0CB09BA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b/>
                <w:sz w:val="22"/>
              </w:rPr>
              <w:t>P</w:t>
            </w:r>
          </w:p>
        </w:tc>
      </w:tr>
      <w:tr w14:paraId="79013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top"/>
          </w:tcPr>
          <w:p w14:paraId="4A71D97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HW1day</w:t>
            </w:r>
          </w:p>
        </w:tc>
        <w:tc>
          <w:tcPr>
            <w:tcW w:w="2841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top"/>
          </w:tcPr>
          <w:p w14:paraId="1D9EAA81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1.016 (0.966, 1.069)</w:t>
            </w:r>
          </w:p>
        </w:tc>
        <w:tc>
          <w:tcPr>
            <w:tcW w:w="2841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top"/>
          </w:tcPr>
          <w:p w14:paraId="06F4DC5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0.526</w:t>
            </w:r>
          </w:p>
        </w:tc>
      </w:tr>
      <w:tr w14:paraId="37E82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58A002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HW2day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A3222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1.015 (0.965, 1.068)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393DA2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0.553</w:t>
            </w:r>
          </w:p>
        </w:tc>
      </w:tr>
      <w:tr w14:paraId="2FE17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255A16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HW3day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63B272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1.007 (0.959, 1.056)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F99D4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0.786</w:t>
            </w:r>
          </w:p>
        </w:tc>
      </w:tr>
      <w:tr w14:paraId="5658F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7FF5B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HW4day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0D44B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1.010 (0.957, 1.067)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F78B52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0.705</w:t>
            </w:r>
          </w:p>
        </w:tc>
      </w:tr>
      <w:tr w14:paraId="7FC70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2631E7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HW5day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D34BAC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1.000 (0.945, 1.059)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BE007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0.993</w:t>
            </w:r>
          </w:p>
        </w:tc>
      </w:tr>
      <w:tr w14:paraId="76758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48D400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HW6day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020C83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0.993 (0.939, 1.051)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F4195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0.811</w:t>
            </w:r>
          </w:p>
        </w:tc>
      </w:tr>
      <w:tr w14:paraId="1AC34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1FC52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HW7day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8BD79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1.014 (0.949, 1.084)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75DD77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0.684</w:t>
            </w:r>
          </w:p>
        </w:tc>
      </w:tr>
      <w:tr w14:paraId="61DAF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68D73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HW8day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E0F0D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1.011 (0.940, 1.087)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0135A6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0.778</w:t>
            </w:r>
          </w:p>
        </w:tc>
      </w:tr>
      <w:tr w14:paraId="34CC8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5214C9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HW9day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742966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0.987 (0.919, 1.060)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687BF1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0.723</w:t>
            </w:r>
          </w:p>
        </w:tc>
      </w:tr>
      <w:tr w14:paraId="0C9BA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C23B7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HW10day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3CF6FC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0.965 (0.879, 1.058)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A8B4D1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0.446</w:t>
            </w:r>
          </w:p>
        </w:tc>
      </w:tr>
      <w:tr w14:paraId="4A0B9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59E10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HW11day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DF93C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0.983 (0.899, 1.075)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794C06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0.709</w:t>
            </w:r>
          </w:p>
        </w:tc>
      </w:tr>
      <w:tr w14:paraId="4BA50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D1611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HW12day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0E2AB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0.965 (0.883, 1.055)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A9673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0.435</w:t>
            </w:r>
          </w:p>
        </w:tc>
      </w:tr>
      <w:tr w14:paraId="4B99D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F306D0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27D7C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0.984 (0.779, 1.245)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83A0CC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0.895</w:t>
            </w:r>
          </w:p>
        </w:tc>
      </w:tr>
      <w:tr w14:paraId="5533C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14162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HW2event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B46422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0.957 (0.716, 1.278)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685BD0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0.763</w:t>
            </w:r>
          </w:p>
        </w:tc>
      </w:tr>
      <w:tr w14:paraId="1D88B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CF27F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HW3event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E07BC5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0.825 (0.586, 1.163)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0D111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0.273</w:t>
            </w:r>
          </w:p>
        </w:tc>
      </w:tr>
      <w:tr w14:paraId="6BCDF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BEE649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HW4event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A92C9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1.058 (0.847, 1.322)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9D8B6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0.620</w:t>
            </w:r>
          </w:p>
        </w:tc>
      </w:tr>
      <w:tr w14:paraId="7E178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AA5EC7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HW5event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AAB22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0.934 (0.697, 1.253)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251FD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0.651</w:t>
            </w:r>
          </w:p>
        </w:tc>
      </w:tr>
      <w:tr w14:paraId="1040E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F3708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HW6event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F4C11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0.831 (0.578, 1.193)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3D4890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0.315</w:t>
            </w:r>
          </w:p>
        </w:tc>
      </w:tr>
      <w:tr w14:paraId="6E98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9A3C2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HW7event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CD773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1.041 (0.840, 1.290)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6D592C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0.716</w:t>
            </w:r>
          </w:p>
        </w:tc>
      </w:tr>
      <w:tr w14:paraId="0E1BD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A83415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HW8event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AC254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1.020 (0.725, 1.434)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DE50E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0.910</w:t>
            </w:r>
          </w:p>
        </w:tc>
      </w:tr>
      <w:tr w14:paraId="52373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BE7BE7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HW9event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05C141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0.791 (0.524, 1.196)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22E8D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0.266</w:t>
            </w:r>
          </w:p>
        </w:tc>
      </w:tr>
      <w:tr w14:paraId="60DE7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E2DD5C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HW10event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6856F1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0.908 (0.660, 1.248)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D5472C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0.551</w:t>
            </w:r>
          </w:p>
        </w:tc>
      </w:tr>
      <w:tr w14:paraId="6B013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7F7029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HW11event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24B27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0.986 (0.634, 1.534)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BB899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0.951</w:t>
            </w:r>
          </w:p>
        </w:tc>
      </w:tr>
      <w:tr w14:paraId="7727C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right w:val="nil"/>
            </w:tcBorders>
            <w:vAlign w:val="top"/>
          </w:tcPr>
          <w:p w14:paraId="76043B4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HW12event</w:t>
            </w:r>
          </w:p>
        </w:tc>
        <w:tc>
          <w:tcPr>
            <w:tcW w:w="2841" w:type="dxa"/>
            <w:tcBorders>
              <w:top w:val="nil"/>
              <w:left w:val="nil"/>
              <w:right w:val="nil"/>
            </w:tcBorders>
            <w:vAlign w:val="top"/>
          </w:tcPr>
          <w:p w14:paraId="4061EC3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0.821 (0.495, 1.360)</w:t>
            </w:r>
          </w:p>
        </w:tc>
        <w:tc>
          <w:tcPr>
            <w:tcW w:w="2841" w:type="dxa"/>
            <w:tcBorders>
              <w:top w:val="nil"/>
              <w:left w:val="nil"/>
              <w:right w:val="nil"/>
            </w:tcBorders>
            <w:vAlign w:val="top"/>
          </w:tcPr>
          <w:p w14:paraId="05331B6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0.444</w:t>
            </w:r>
          </w:p>
        </w:tc>
      </w:tr>
    </w:tbl>
    <w:p w14:paraId="012A4353">
      <w:pPr>
        <w:rPr>
          <w:rFonts w:ascii="Times New Roman" w:hAnsi="Times New Roman" w:eastAsia="宋体"/>
        </w:rPr>
      </w:pPr>
    </w:p>
    <w:p w14:paraId="06ADA912">
      <w:pPr>
        <w:rPr>
          <w:rFonts w:ascii="Times New Roman" w:hAnsi="Times New Roman" w:eastAsia="宋体"/>
        </w:rPr>
      </w:pPr>
    </w:p>
    <w:p w14:paraId="25E170CC">
      <w:pPr>
        <w:rPr>
          <w:rFonts w:hint="default" w:ascii="Times New Roman" w:hAnsi="Times New Roman" w:eastAsia="宋体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>Tables7 The moderating effect of executive function on the association between non-summer nighttime heatwave exposure and the CVD incidence in older adults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69B0E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bottom w:val="single" w:color="000000" w:sz="4" w:space="0"/>
              <w:right w:val="nil"/>
            </w:tcBorders>
            <w:vAlign w:val="top"/>
          </w:tcPr>
          <w:p w14:paraId="21C1887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b/>
                <w:sz w:val="22"/>
              </w:rPr>
              <w:t>Exposure</w:t>
            </w:r>
          </w:p>
        </w:tc>
        <w:tc>
          <w:tcPr>
            <w:tcW w:w="2841" w:type="dxa"/>
            <w:tcBorders>
              <w:left w:val="nil"/>
              <w:bottom w:val="single" w:color="000000" w:sz="4" w:space="0"/>
              <w:right w:val="nil"/>
            </w:tcBorders>
            <w:vAlign w:val="top"/>
          </w:tcPr>
          <w:p w14:paraId="76B5DD1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b/>
                <w:sz w:val="22"/>
              </w:rPr>
              <w:t>OR (95%CI)</w:t>
            </w:r>
          </w:p>
        </w:tc>
        <w:tc>
          <w:tcPr>
            <w:tcW w:w="2841" w:type="dxa"/>
            <w:tcBorders>
              <w:left w:val="nil"/>
              <w:bottom w:val="single" w:color="000000" w:sz="4" w:space="0"/>
              <w:right w:val="nil"/>
            </w:tcBorders>
            <w:vAlign w:val="top"/>
          </w:tcPr>
          <w:p w14:paraId="7B403E2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b/>
                <w:sz w:val="22"/>
              </w:rPr>
              <w:t>P</w:t>
            </w:r>
          </w:p>
        </w:tc>
      </w:tr>
      <w:tr w14:paraId="0FCB9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top"/>
          </w:tcPr>
          <w:p w14:paraId="2D93EF7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HW1day</w:t>
            </w:r>
          </w:p>
        </w:tc>
        <w:tc>
          <w:tcPr>
            <w:tcW w:w="2841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top"/>
          </w:tcPr>
          <w:p w14:paraId="648A4CF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1.019 (0.972, 1.069)</w:t>
            </w:r>
          </w:p>
        </w:tc>
        <w:tc>
          <w:tcPr>
            <w:tcW w:w="2841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top"/>
          </w:tcPr>
          <w:p w14:paraId="56615E26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0.432</w:t>
            </w:r>
          </w:p>
        </w:tc>
      </w:tr>
      <w:tr w14:paraId="6BEF4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823192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HW2day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A2BE6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1.014 (0.968, 1.063)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0E2C3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0.555</w:t>
            </w:r>
          </w:p>
        </w:tc>
      </w:tr>
      <w:tr w14:paraId="7C4DD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18938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HW3day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1054C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1.010 (0.966, 1.057)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985FBC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0.650</w:t>
            </w:r>
          </w:p>
        </w:tc>
      </w:tr>
      <w:tr w14:paraId="3351D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DD094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HW4day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1410A0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1.027 (0.976, 1.082)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5E9F2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0.306</w:t>
            </w:r>
          </w:p>
        </w:tc>
      </w:tr>
      <w:tr w14:paraId="4EE73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85BEB3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HW5day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31032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1.030 (0.975, 1.088)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DCB4A2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0.294</w:t>
            </w:r>
          </w:p>
        </w:tc>
      </w:tr>
      <w:tr w14:paraId="6587B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9A4DC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HW6day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17EB66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1.035 (0.979, 1.094)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257FE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0.229</w:t>
            </w:r>
          </w:p>
        </w:tc>
      </w:tr>
      <w:tr w14:paraId="6B3A3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BE3915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HW7day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62220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0.968 (0.939, 0.998)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5CB66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0.034</w:t>
            </w:r>
          </w:p>
        </w:tc>
      </w:tr>
      <w:tr w14:paraId="37C83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488A09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HW8day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EEB2F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1.010 (0.941, 1.084)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007A55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0.783</w:t>
            </w:r>
          </w:p>
        </w:tc>
      </w:tr>
      <w:tr w14:paraId="2E04D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1D2E3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HW9day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2585A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1.016 (0.947, 1.091)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FBE1E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0.658</w:t>
            </w:r>
          </w:p>
        </w:tc>
      </w:tr>
      <w:tr w14:paraId="16A4B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EB837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HW10day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0E2FF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0.956 (0.876, 1.044)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4BA10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0.321</w:t>
            </w:r>
          </w:p>
        </w:tc>
      </w:tr>
      <w:tr w14:paraId="6E1F4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80BC4C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HW11day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F0C33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0.971 (0.891, 1.058)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56A91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0.496</w:t>
            </w:r>
          </w:p>
        </w:tc>
      </w:tr>
      <w:tr w14:paraId="41B61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F32A91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HW12day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1C622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0.971 (0.891, 1.058)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3E929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0.504</w:t>
            </w:r>
          </w:p>
        </w:tc>
      </w:tr>
      <w:tr w14:paraId="2DD38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59923C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88E79C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0.990 (0.799, 1.228)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1B5F31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0.930</w:t>
            </w:r>
          </w:p>
        </w:tc>
      </w:tr>
      <w:tr w14:paraId="712F1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0FDB51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HW2event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F5B95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0.914 (0.704, 1.187)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2C13F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0.500</w:t>
            </w:r>
          </w:p>
        </w:tc>
      </w:tr>
      <w:tr w14:paraId="734AB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BC7DC1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HW3event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6761C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0.860 (0.634, 1.167)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3F979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0.333</w:t>
            </w:r>
          </w:p>
        </w:tc>
      </w:tr>
      <w:tr w14:paraId="09324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D4BA4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HW4event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476E6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1.010 (0.826, 1.236)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1C954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0.922</w:t>
            </w:r>
          </w:p>
        </w:tc>
      </w:tr>
      <w:tr w14:paraId="51F0B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8977E5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HW5event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077A32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1.023 (0.784, 1.335)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742D33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0.866</w:t>
            </w:r>
          </w:p>
        </w:tc>
      </w:tr>
      <w:tr w14:paraId="4E515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580DE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HW6event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EAE001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1.129 (0.801, 1.591)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4A0DFF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0.489</w:t>
            </w:r>
          </w:p>
        </w:tc>
      </w:tr>
      <w:tr w14:paraId="227F5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EB6E7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HW7event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660CB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0.954 (0.912, 0.999)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38904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0.043</w:t>
            </w:r>
          </w:p>
        </w:tc>
      </w:tr>
      <w:tr w14:paraId="32D0C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7D2C26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HW8event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053E2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0.944 (0.686, 1.299)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B6A53D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0.722</w:t>
            </w:r>
          </w:p>
        </w:tc>
      </w:tr>
      <w:tr w14:paraId="7A65D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A36CDE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HW9event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ADEEE7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0.992 (0.668, 1.471)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AAE9C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0.967</w:t>
            </w:r>
          </w:p>
        </w:tc>
      </w:tr>
      <w:tr w14:paraId="303C3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B18D46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HW10event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83BE83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0.832 (0.619, 1.119)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3E6D5B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0.223</w:t>
            </w:r>
          </w:p>
        </w:tc>
      </w:tr>
      <w:tr w14:paraId="4B9FD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34DE6C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HW11event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4502AA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0.834 (0.553, 1.258)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6459E4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0.387</w:t>
            </w:r>
          </w:p>
        </w:tc>
      </w:tr>
      <w:tr w14:paraId="15927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right w:val="nil"/>
            </w:tcBorders>
            <w:vAlign w:val="top"/>
          </w:tcPr>
          <w:p w14:paraId="7546EEE1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HW12event</w:t>
            </w:r>
          </w:p>
        </w:tc>
        <w:tc>
          <w:tcPr>
            <w:tcW w:w="2841" w:type="dxa"/>
            <w:tcBorders>
              <w:top w:val="nil"/>
              <w:left w:val="nil"/>
              <w:right w:val="nil"/>
            </w:tcBorders>
            <w:vAlign w:val="top"/>
          </w:tcPr>
          <w:p w14:paraId="3BAF74C8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0.797 (0.494, 1.285)</w:t>
            </w:r>
          </w:p>
        </w:tc>
        <w:tc>
          <w:tcPr>
            <w:tcW w:w="2841" w:type="dxa"/>
            <w:tcBorders>
              <w:top w:val="nil"/>
              <w:left w:val="nil"/>
              <w:right w:val="nil"/>
            </w:tcBorders>
            <w:vAlign w:val="top"/>
          </w:tcPr>
          <w:p w14:paraId="068A597C">
            <w:pPr>
              <w:spacing w:after="0" w:line="240" w:lineRule="auto"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ascii="Times New Roman" w:hAnsi="Times New Roman"/>
                <w:sz w:val="22"/>
              </w:rPr>
              <w:t>0.352</w:t>
            </w:r>
          </w:p>
        </w:tc>
      </w:tr>
    </w:tbl>
    <w:p w14:paraId="74CC532A">
      <w:pPr>
        <w:rPr>
          <w:rFonts w:ascii="Times New Roman" w:hAnsi="Times New Roman" w:eastAsia="宋体"/>
        </w:rPr>
      </w:pPr>
    </w:p>
    <w:p w14:paraId="59EB2D8E">
      <w:pPr>
        <w:rPr>
          <w:rFonts w:ascii="Times New Roman" w:hAnsi="Times New Roman" w:eastAsia="宋体"/>
        </w:rPr>
      </w:pPr>
    </w:p>
    <w:p w14:paraId="53A9ADF4">
      <w:pPr>
        <w:rPr>
          <w:rFonts w:ascii="Times New Roman" w:hAnsi="Times New Roman" w:eastAsia="宋体"/>
        </w:rPr>
      </w:pPr>
    </w:p>
    <w:p w14:paraId="561B2C35">
      <w:pPr>
        <w:rPr>
          <w:rFonts w:ascii="Times New Roman" w:hAnsi="Times New Roman" w:eastAsia="宋体"/>
        </w:rPr>
      </w:pPr>
    </w:p>
    <w:p w14:paraId="7E50D10A">
      <w:pPr>
        <w:rPr>
          <w:rFonts w:ascii="Times New Roman" w:hAnsi="Times New Roman" w:eastAsia="宋体"/>
        </w:rPr>
      </w:pPr>
    </w:p>
    <w:p w14:paraId="00F42021">
      <w:pPr>
        <w:rPr>
          <w:rFonts w:ascii="Times New Roman" w:hAnsi="Times New Roman" w:eastAsia="宋体"/>
        </w:rPr>
      </w:pPr>
    </w:p>
    <w:p w14:paraId="027D8B9B">
      <w:pPr>
        <w:rPr>
          <w:rFonts w:ascii="Times New Roman" w:hAnsi="Times New Roman" w:eastAsia="宋体"/>
        </w:rPr>
      </w:pPr>
    </w:p>
    <w:p w14:paraId="6A53221F">
      <w:pPr>
        <w:rPr>
          <w:rFonts w:ascii="Times New Roman" w:hAnsi="Times New Roman" w:eastAsia="宋体"/>
        </w:rPr>
      </w:pPr>
    </w:p>
    <w:p w14:paraId="3DDFE0C4">
      <w:pPr>
        <w:rPr>
          <w:rFonts w:ascii="Times New Roman" w:hAnsi="Times New Roman" w:eastAsia="宋体"/>
        </w:rPr>
      </w:pPr>
    </w:p>
    <w:p w14:paraId="31F975C2">
      <w:pPr>
        <w:rPr>
          <w:rFonts w:ascii="Times New Roman" w:hAnsi="Times New Roman" w:eastAsia="宋体"/>
        </w:rPr>
      </w:pPr>
    </w:p>
    <w:p w14:paraId="72E6DB75">
      <w:pPr>
        <w:rPr>
          <w:rFonts w:ascii="Times New Roman" w:hAnsi="Times New Roman" w:eastAsia="宋体"/>
        </w:rPr>
      </w:pPr>
    </w:p>
    <w:p w14:paraId="14F72E88">
      <w:pPr>
        <w:rPr>
          <w:rFonts w:hint="default" w:ascii="Times New Roman" w:hAnsi="Times New Roman" w:eastAsia="宋体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 xml:space="preserve">Figures1 </w:t>
      </w:r>
      <w:r>
        <w:rPr>
          <w:rFonts w:hint="eastAsia" w:ascii="Times New Roman" w:hAnsi="Times New Roman" w:eastAsia="宋体"/>
          <w:b/>
          <w:bCs/>
          <w:sz w:val="24"/>
          <w:szCs w:val="24"/>
          <w:lang w:val="en-US" w:eastAsia="zh-CN"/>
        </w:rPr>
        <w:t>Association between non-summer nighttime heatwave exposure and all age groups and the CVD incidence in older adults</w:t>
      </w:r>
    </w:p>
    <w:p w14:paraId="7DB9BFBE">
      <w:pPr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drawing>
          <wp:inline distT="0" distB="0" distL="114300" distR="114300">
            <wp:extent cx="5266690" cy="2340610"/>
            <wp:effectExtent l="0" t="0" r="10160" b="2540"/>
            <wp:docPr id="2" name="图片 2" descr="combined_models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ombined_models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65346">
      <w:pPr>
        <w:rPr>
          <w:rFonts w:hint="default" w:ascii="Times New Roman" w:hAnsi="Times New Roman" w:eastAsia="宋体"/>
          <w:lang w:val="en-US" w:eastAsia="zh-CN"/>
        </w:rPr>
      </w:pPr>
    </w:p>
    <w:p w14:paraId="3AD09B47">
      <w:pPr>
        <w:rPr>
          <w:rFonts w:hint="default" w:ascii="Times New Roman" w:hAnsi="Times New Roman" w:eastAsia="宋体"/>
          <w:lang w:val="en-US" w:eastAsia="zh-CN"/>
        </w:rPr>
      </w:pPr>
    </w:p>
    <w:p w14:paraId="1852F67D">
      <w:pPr>
        <w:rPr>
          <w:rFonts w:hint="default" w:ascii="Times New Roman" w:hAnsi="Times New Roman" w:eastAsia="宋体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 xml:space="preserve">Figures2 </w:t>
      </w:r>
      <w:r>
        <w:rPr>
          <w:rFonts w:hint="eastAsia" w:ascii="Times New Roman" w:hAnsi="Times New Roman" w:eastAsia="宋体"/>
          <w:b/>
          <w:bCs/>
          <w:sz w:val="24"/>
          <w:szCs w:val="24"/>
          <w:lang w:val="en-US" w:eastAsia="zh-CN"/>
        </w:rPr>
        <w:t>Using the MICE method to impute data and test the association between non-summer nighttime heatwave exposure and the CVD incidence in older adults</w:t>
      </w:r>
    </w:p>
    <w:p w14:paraId="1E8B3BE8">
      <w:pPr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drawing>
          <wp:inline distT="0" distB="0" distL="114300" distR="114300">
            <wp:extent cx="5266690" cy="2340610"/>
            <wp:effectExtent l="0" t="0" r="10160" b="2540"/>
            <wp:docPr id="1" name="图片 1" descr="combined_modelsm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ombined_modelsmic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9B13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/>
        <w:ind w:left="100" w:right="100"/>
        <w:rPr>
          <w:rFonts w:ascii="Times New Roman" w:hAnsi="Times New Roman" w:eastAsia="宋体" w:cs="Times New Roman"/>
          <w:bCs/>
          <w:color w:val="000000"/>
          <w:sz w:val="24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66D8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ABDD6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ABDD6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lMjk3MzJhMjUzYmIwOGIyNGVlOGE3NTcyNTgzZTMifQ=="/>
  </w:docVars>
  <w:rsids>
    <w:rsidRoot w:val="00000000"/>
    <w:rsid w:val="03D746CC"/>
    <w:rsid w:val="0B1D330C"/>
    <w:rsid w:val="0E2B0FC9"/>
    <w:rsid w:val="11502A1B"/>
    <w:rsid w:val="18696E08"/>
    <w:rsid w:val="1C5A38F9"/>
    <w:rsid w:val="21190222"/>
    <w:rsid w:val="238E0864"/>
    <w:rsid w:val="279679F2"/>
    <w:rsid w:val="27B6783A"/>
    <w:rsid w:val="27D6128A"/>
    <w:rsid w:val="31676CEE"/>
    <w:rsid w:val="343D7852"/>
    <w:rsid w:val="3AC95B14"/>
    <w:rsid w:val="3D9B264A"/>
    <w:rsid w:val="40810A88"/>
    <w:rsid w:val="43EC4D17"/>
    <w:rsid w:val="48375B97"/>
    <w:rsid w:val="493B3C51"/>
    <w:rsid w:val="4E3A12CC"/>
    <w:rsid w:val="4F53618A"/>
    <w:rsid w:val="502C1D2E"/>
    <w:rsid w:val="537D3F15"/>
    <w:rsid w:val="53A16E74"/>
    <w:rsid w:val="551F080C"/>
    <w:rsid w:val="57EB2E70"/>
    <w:rsid w:val="5AB35186"/>
    <w:rsid w:val="6AC1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三线表1"/>
    <w:basedOn w:val="4"/>
    <w:qFormat/>
    <w:uiPriority w:val="99"/>
    <w:pPr>
      <w:spacing w:after="0" w:line="240" w:lineRule="auto"/>
    </w:pPr>
    <w:rPr>
      <w:rFonts w:ascii="Times New Roman" w:hAnsi="Times New Roman" w:eastAsia="宋体" w:cs="Times New Roman"/>
      <w:kern w:val="0"/>
      <w:sz w:val="21"/>
      <w:szCs w:val="20"/>
      <w14:ligatures w14:val="none"/>
    </w:rPr>
    <w:tblPr>
      <w:tblBorders>
        <w:top w:val="single" w:color="auto" w:sz="8" w:space="0"/>
        <w:bottom w:val="single" w:color="auto" w:sz="8" w:space="0"/>
      </w:tblBorders>
    </w:tblPr>
    <w:tblStylePr w:type="firstRow">
      <w:rPr>
        <w:rFonts w:eastAsia="宋体"/>
        <w:sz w:val="21"/>
      </w:rPr>
      <w:tcPr>
        <w:tcBorders>
          <w:top w:val="single" w:color="auto" w:sz="8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1529</Words>
  <Characters>6453</Characters>
  <Lines>0</Lines>
  <Paragraphs>0</Paragraphs>
  <TotalTime>5</TotalTime>
  <ScaleCrop>false</ScaleCrop>
  <LinksUpToDate>false</LinksUpToDate>
  <CharactersWithSpaces>6731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2026-07-07T17:37:00Z</dcterms:created>
  <dc:creator>meng-qing</dc:creator>
  <cp:lastModifiedBy>we</cp:lastModifiedBy>
  <dcterms:modified xsi:type="dcterms:W3CDTF">2026-08-06T07:50:01Z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eyJoZGlkIjoiYzQzZmQ2ZTk5Y2FlNGNkMDc5YTY3OTkxYjVkMDE1ZWMiLCJ1c2VySWQiOiI3OTI5MjMyMDQifQ==</vt:lpwstr>
  </property>
  <property fmtid="{D5CDD505-2E9C-101B-9397-08002B2CF9AE}" pid="4" name="ICV">
    <vt:lpwstr>DD39FE8078F64417B29BBE0375A46F4B_12</vt:lpwstr>
  </property>
</Properties>
</file>