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C1C6" w14:textId="77777777" w:rsidR="00240290" w:rsidRPr="00240290" w:rsidRDefault="00240290" w:rsidP="002402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0290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38299565" w14:textId="77777777" w:rsidR="007408D8" w:rsidRDefault="007408D8" w:rsidP="007408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5916">
        <w:rPr>
          <w:rFonts w:ascii="Times New Roman" w:hAnsi="Times New Roman" w:cs="Times New Roman"/>
          <w:b/>
          <w:bCs/>
          <w:sz w:val="24"/>
          <w:szCs w:val="24"/>
        </w:rPr>
        <w:t xml:space="preserve">Frustration-mediated structural-state selection tunes ionic conductivity in confined </w:t>
      </w:r>
      <w:proofErr w:type="gramStart"/>
      <w:r w:rsidRPr="00225916">
        <w:rPr>
          <w:rFonts w:ascii="Times New Roman" w:hAnsi="Times New Roman" w:cs="Times New Roman"/>
          <w:b/>
          <w:bCs/>
          <w:sz w:val="24"/>
          <w:szCs w:val="24"/>
        </w:rPr>
        <w:t>polymer--ionic</w:t>
      </w:r>
      <w:proofErr w:type="gramEnd"/>
      <w:r w:rsidRPr="00225916">
        <w:rPr>
          <w:rFonts w:ascii="Times New Roman" w:hAnsi="Times New Roman" w:cs="Times New Roman"/>
          <w:b/>
          <w:bCs/>
          <w:sz w:val="24"/>
          <w:szCs w:val="24"/>
        </w:rPr>
        <w:t xml:space="preserve"> liquid materials</w:t>
      </w:r>
    </w:p>
    <w:p w14:paraId="2D2ABB20" w14:textId="3CEEF33F" w:rsidR="00240290" w:rsidRPr="007408D8" w:rsidRDefault="00240290" w:rsidP="00240290">
      <w:pPr>
        <w:rPr>
          <w:rFonts w:ascii="Times New Roman" w:hAnsi="Times New Roman" w:cs="Times New Roman"/>
          <w:sz w:val="24"/>
          <w:szCs w:val="24"/>
        </w:rPr>
      </w:pPr>
    </w:p>
    <w:p w14:paraId="5B5985ED" w14:textId="565D26D9" w:rsidR="00240290" w:rsidRDefault="00492367" w:rsidP="002402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367">
        <w:rPr>
          <w:noProof/>
        </w:rPr>
        <w:drawing>
          <wp:inline distT="0" distB="0" distL="0" distR="0" wp14:anchorId="1ABA166A" wp14:editId="3F916782">
            <wp:extent cx="5400040" cy="1965325"/>
            <wp:effectExtent l="0" t="0" r="0" b="0"/>
            <wp:docPr id="5471761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0740" w14:textId="77777777" w:rsidR="00492367" w:rsidRPr="00240290" w:rsidRDefault="00492367" w:rsidP="002402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76A69E" w14:textId="77777777" w:rsidR="00492367" w:rsidRPr="00492367" w:rsidRDefault="00492367" w:rsidP="004923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S1 | PXRD patterns of the neat polymer hosts.</w:t>
      </w:r>
    </w:p>
    <w:p w14:paraId="0BE2CD39" w14:textId="77777777" w:rsidR="00492367" w:rsidRPr="00492367" w:rsidRDefault="00492367" w:rsidP="00492367">
      <w:pPr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PXRD patterns of crystalline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pMBA-Cryst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), amorphous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-Amorph),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. The diffraction data confirm the distinct structural states of the polymer hosts used in this study, with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pMBA-Cryst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 exhibiting clear crystalline reflections, whereas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-Amorph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 show predominantly amorphous diffraction profiles. The data provide the structural basis for evaluating frustration accommodation in the corresponding polymer–ionic liquid composites.</w:t>
      </w:r>
    </w:p>
    <w:p w14:paraId="0D2A5297" w14:textId="10D63C6F" w:rsidR="00951006" w:rsidRDefault="0095100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D9252D" w14:textId="77777777" w:rsidR="00240290" w:rsidRPr="00951006" w:rsidRDefault="00240290" w:rsidP="00240290">
      <w:pPr>
        <w:rPr>
          <w:rFonts w:ascii="Times New Roman" w:hAnsi="Times New Roman" w:cs="Times New Roman"/>
          <w:sz w:val="24"/>
          <w:szCs w:val="24"/>
        </w:rPr>
      </w:pPr>
    </w:p>
    <w:p w14:paraId="26ECB9D6" w14:textId="55CB5125" w:rsidR="00240290" w:rsidRPr="00240290" w:rsidRDefault="00CF0F4E" w:rsidP="00240290">
      <w:pPr>
        <w:rPr>
          <w:rFonts w:ascii="Times New Roman" w:hAnsi="Times New Roman" w:cs="Times New Roman"/>
          <w:sz w:val="24"/>
          <w:szCs w:val="24"/>
        </w:rPr>
      </w:pPr>
      <w:r w:rsidRPr="00CF0F4E">
        <w:rPr>
          <w:noProof/>
        </w:rPr>
        <w:drawing>
          <wp:inline distT="0" distB="0" distL="0" distR="0" wp14:anchorId="39809196" wp14:editId="5C110394">
            <wp:extent cx="5400040" cy="2861945"/>
            <wp:effectExtent l="0" t="0" r="0" b="0"/>
            <wp:docPr id="7333974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0A3F" w14:textId="77777777" w:rsidR="00492367" w:rsidRPr="00492367" w:rsidRDefault="00492367" w:rsidP="00492367">
      <w:pPr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S2 | XRF confirmation of PF₆-containing ionic liquid retention.</w:t>
      </w:r>
    </w:p>
    <w:p w14:paraId="5EB21230" w14:textId="77777777" w:rsidR="00492367" w:rsidRPr="00492367" w:rsidRDefault="00492367" w:rsidP="00492367">
      <w:pPr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>XRF spectra of PF₆-containing composites. Characteristic phosphorus signals derived from the PF₆⁻ anion confirm successful retention of BMIM–PF₆ within the polymer matrix after methanol washing and drying.</w:t>
      </w:r>
    </w:p>
    <w:p w14:paraId="6BFB473A" w14:textId="7673E152" w:rsidR="00951006" w:rsidRDefault="0095100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980CE9" w14:textId="77777777" w:rsidR="00240290" w:rsidRPr="00492367" w:rsidRDefault="00240290" w:rsidP="00240290">
      <w:pPr>
        <w:rPr>
          <w:rFonts w:ascii="Times New Roman" w:hAnsi="Times New Roman" w:cs="Times New Roman"/>
          <w:sz w:val="24"/>
          <w:szCs w:val="24"/>
        </w:rPr>
      </w:pPr>
    </w:p>
    <w:p w14:paraId="3050F1DC" w14:textId="0CFB9101" w:rsidR="00593573" w:rsidRDefault="00CF0F4E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F0F4E">
        <w:rPr>
          <w:noProof/>
        </w:rPr>
        <w:drawing>
          <wp:inline distT="0" distB="0" distL="0" distR="0" wp14:anchorId="5806343B" wp14:editId="0FCC4009">
            <wp:extent cx="5400040" cy="3703320"/>
            <wp:effectExtent l="0" t="0" r="0" b="0"/>
            <wp:docPr id="93925192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AD25" w14:textId="7777777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S3 | SEM images of polymer–ionic liquid composites.</w:t>
      </w:r>
    </w:p>
    <w:p w14:paraId="66F54313" w14:textId="7777777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SEM micrographs of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–FSI,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>–FSI. All composites exhibit particulate morphologies without evidence of macroscopic phase separation, indicating relatively homogeneous incorporation of ionic-liquid domains within the polymer matrices.</w:t>
      </w:r>
    </w:p>
    <w:p w14:paraId="741DDBD0" w14:textId="223425E1" w:rsidR="00951006" w:rsidRDefault="0095100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9DFD68" w14:textId="77777777" w:rsid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203335B" w14:textId="1489869B" w:rsid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hint="eastAsia"/>
          <w:noProof/>
        </w:rPr>
        <w:drawing>
          <wp:inline distT="0" distB="0" distL="0" distR="0" wp14:anchorId="17F9499D" wp14:editId="22F29FDB">
            <wp:extent cx="5400040" cy="1771015"/>
            <wp:effectExtent l="0" t="0" r="0" b="635"/>
            <wp:docPr id="194876400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6B1DF" w14:textId="055912CB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492367">
        <w:rPr>
          <w:rFonts w:ascii="Times New Roman" w:hAnsi="Times New Roman" w:cs="Times New Roman"/>
          <w:b/>
          <w:bCs/>
          <w:sz w:val="24"/>
          <w:szCs w:val="24"/>
        </w:rPr>
        <w:t xml:space="preserve"> | Thermal behavior of the neat polymers.</w:t>
      </w:r>
    </w:p>
    <w:p w14:paraId="2F62862A" w14:textId="2BD1B21A" w:rsidR="00492367" w:rsidRPr="00492367" w:rsidRDefault="00492367" w:rsidP="00C14917">
      <w:pPr>
        <w:widowControl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DSC thermograms of crystalline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, amorphous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>. The</w:t>
      </w:r>
      <w:r w:rsidR="00C14917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492367">
        <w:rPr>
          <w:rFonts w:ascii="Times New Roman" w:hAnsi="Times New Roman" w:cs="Times New Roman"/>
          <w:sz w:val="24"/>
          <w:szCs w:val="24"/>
        </w:rPr>
        <w:t>measurements reveal the intrinsic thermal responses of the polymer hosts and provide reference data for interpreting the thermal behavior of the polymer–ionic liquid composites discussed in the main text.</w:t>
      </w:r>
    </w:p>
    <w:p w14:paraId="76A9B5DE" w14:textId="77777777" w:rsid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1067827" w14:textId="3CE9E718" w:rsidR="00492367" w:rsidRDefault="00CF0F4E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F0F4E">
        <w:rPr>
          <w:noProof/>
        </w:rPr>
        <w:drawing>
          <wp:inline distT="0" distB="0" distL="0" distR="0" wp14:anchorId="1597CB62" wp14:editId="20C417E9">
            <wp:extent cx="5400040" cy="3141345"/>
            <wp:effectExtent l="0" t="0" r="0" b="1905"/>
            <wp:docPr id="6117144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B0919" w14:textId="76A5C383" w:rsidR="00492367" w:rsidRPr="00492367" w:rsidRDefault="00492367" w:rsidP="00C14917">
      <w:pPr>
        <w:widowControl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492367">
        <w:rPr>
          <w:rFonts w:ascii="Times New Roman" w:hAnsi="Times New Roman" w:cs="Times New Roman"/>
          <w:b/>
          <w:bCs/>
          <w:sz w:val="24"/>
          <w:szCs w:val="24"/>
        </w:rPr>
        <w:t xml:space="preserve"> | Thermogravimetric analysis of polymer–ionic liquid composites.</w:t>
      </w:r>
    </w:p>
    <w:p w14:paraId="2AF8E8A3" w14:textId="77777777" w:rsidR="00492367" w:rsidRPr="00492367" w:rsidRDefault="00492367" w:rsidP="00C14917">
      <w:pPr>
        <w:widowControl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TGA curves of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–FSI,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>–FSI. The retained ionic-liquid content was estimated approximately from the weight loss observed prior to the onset of significant polymer degradation. These data were used to evaluate ionic-liquid loading in the composites.</w:t>
      </w:r>
    </w:p>
    <w:p w14:paraId="63D1C23E" w14:textId="7777777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81963E3" w14:textId="31680199" w:rsidR="00492367" w:rsidRDefault="00CF0F4E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F0F4E">
        <w:rPr>
          <w:noProof/>
        </w:rPr>
        <w:lastRenderedPageBreak/>
        <w:drawing>
          <wp:inline distT="0" distB="0" distL="0" distR="0" wp14:anchorId="35DCA985" wp14:editId="24A183E3">
            <wp:extent cx="5400040" cy="1974215"/>
            <wp:effectExtent l="0" t="0" r="0" b="6985"/>
            <wp:docPr id="204017660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31AA" w14:textId="279C756C" w:rsidR="00492367" w:rsidRDefault="00CF0F4E" w:rsidP="0049236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F0F4E">
        <w:rPr>
          <w:noProof/>
        </w:rPr>
        <w:drawing>
          <wp:inline distT="0" distB="0" distL="0" distR="0" wp14:anchorId="4A8F8950" wp14:editId="130CBB56">
            <wp:extent cx="5400040" cy="1974215"/>
            <wp:effectExtent l="0" t="0" r="0" b="6985"/>
            <wp:docPr id="119379611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5126" w14:textId="3B0364A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492367">
        <w:rPr>
          <w:rFonts w:ascii="Times New Roman" w:hAnsi="Times New Roman" w:cs="Times New Roman"/>
          <w:b/>
          <w:bCs/>
          <w:sz w:val="24"/>
          <w:szCs w:val="24"/>
        </w:rPr>
        <w:t xml:space="preserve"> | FT-IR spectra of polymer–ionic liquid composites.</w:t>
      </w:r>
    </w:p>
    <w:p w14:paraId="307F0190" w14:textId="7777777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FT-IR spectra of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–FSI,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–PF₆,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>–FSI. Characteristic absorption bands originating from both the polymer matrix and ionic-liquid components are observed, confirming successful incorporation of the ionic liquids into the composites.</w:t>
      </w:r>
    </w:p>
    <w:p w14:paraId="26ACD676" w14:textId="77777777" w:rsidR="00492367" w:rsidRP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3566352" w14:textId="3D161B73" w:rsid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2367">
        <w:rPr>
          <w:rFonts w:hint="eastAsia"/>
          <w:noProof/>
        </w:rPr>
        <w:drawing>
          <wp:inline distT="0" distB="0" distL="0" distR="0" wp14:anchorId="57BBBC3B" wp14:editId="0586EAC0">
            <wp:extent cx="5400040" cy="1406525"/>
            <wp:effectExtent l="0" t="0" r="0" b="3175"/>
            <wp:docPr id="161607620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29102" w14:textId="2D5D3ACA" w:rsidR="00492367" w:rsidRPr="00492367" w:rsidRDefault="00492367" w:rsidP="00C14917">
      <w:pPr>
        <w:widowControl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492367">
        <w:rPr>
          <w:rFonts w:ascii="Times New Roman" w:hAnsi="Times New Roman" w:cs="Times New Roman"/>
          <w:b/>
          <w:bCs/>
          <w:sz w:val="24"/>
          <w:szCs w:val="24"/>
        </w:rPr>
        <w:t xml:space="preserve"> | SEM images of the neat polymers.</w:t>
      </w:r>
    </w:p>
    <w:p w14:paraId="6641F85A" w14:textId="77777777" w:rsidR="00492367" w:rsidRPr="00492367" w:rsidRDefault="00492367" w:rsidP="00C14917">
      <w:pPr>
        <w:widowControl/>
        <w:rPr>
          <w:rFonts w:ascii="Times New Roman" w:hAnsi="Times New Roman" w:cs="Times New Roman"/>
          <w:sz w:val="24"/>
          <w:szCs w:val="24"/>
        </w:rPr>
      </w:pPr>
      <w:r w:rsidRPr="00492367">
        <w:rPr>
          <w:rFonts w:ascii="Times New Roman" w:hAnsi="Times New Roman" w:cs="Times New Roman"/>
          <w:sz w:val="24"/>
          <w:szCs w:val="24"/>
        </w:rPr>
        <w:t xml:space="preserve">SEM micrographs of crystalline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, amorphous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92367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492367">
        <w:rPr>
          <w:rFonts w:ascii="Times New Roman" w:hAnsi="Times New Roman" w:cs="Times New Roman"/>
          <w:sz w:val="24"/>
          <w:szCs w:val="24"/>
        </w:rPr>
        <w:t>. Morphological differences between the neat polymers are shown for comparison with the corresponding polymer–ionic liquid composites.</w:t>
      </w:r>
    </w:p>
    <w:p w14:paraId="0DB845DD" w14:textId="77777777" w:rsidR="00492367" w:rsidRDefault="00492367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07404C" w14:textId="590F625C" w:rsidR="00492367" w:rsidRPr="00951006" w:rsidRDefault="00513AA3" w:rsidP="0095100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069A6" w:rsidRPr="009510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</w:t>
      </w:r>
      <w:r w:rsidR="009069A6" w:rsidRPr="0095100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069A6" w:rsidRPr="0095100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9069A6" w:rsidRPr="00951006">
        <w:rPr>
          <w:rFonts w:ascii="Times New Roman" w:hAnsi="Times New Roman" w:cs="Times New Roman"/>
          <w:b/>
          <w:bCs/>
          <w:sz w:val="24"/>
          <w:szCs w:val="24"/>
        </w:rPr>
        <w:t xml:space="preserve"> | Estimated ionic-liquid contents and ionic conductivities of the composites</w:t>
      </w:r>
    </w:p>
    <w:tbl>
      <w:tblPr>
        <w:tblW w:w="8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835"/>
        <w:gridCol w:w="1843"/>
        <w:gridCol w:w="2126"/>
      </w:tblGrid>
      <w:tr w:rsidR="00513AA3" w:rsidRPr="00513AA3" w14:paraId="746E5D0C" w14:textId="77777777" w:rsidTr="00513AA3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B5D14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Composite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E846F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Polymer/IL structural state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8F660" w14:textId="4E8A4EA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ILcontent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5D9E" w14:textId="59B21EB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Ionic conductivity</w:t>
            </w:r>
            <w:r w:rsidRPr="0095100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(S cm⁻¹)</w:t>
            </w:r>
          </w:p>
        </w:tc>
      </w:tr>
      <w:tr w:rsidR="00513AA3" w:rsidRPr="00513AA3" w14:paraId="107A0AC2" w14:textId="77777777" w:rsidTr="00513AA3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48FB8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pMBA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–PF₆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A5125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Crystalline / Crystalline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7E755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~10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2A17D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3.7 × 10⁻⁵</w:t>
            </w:r>
          </w:p>
        </w:tc>
      </w:tr>
      <w:tr w:rsidR="00513AA3" w:rsidRPr="00513AA3" w14:paraId="2353B79D" w14:textId="77777777" w:rsidTr="00513AA3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B7FDB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pMBA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–FSI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4C40F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Amorphous / Amorphous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24293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~30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0D40D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3.7 × 10⁻⁴</w:t>
            </w:r>
          </w:p>
        </w:tc>
      </w:tr>
      <w:tr w:rsidR="00513AA3" w:rsidRPr="00513AA3" w14:paraId="3882B077" w14:textId="77777777" w:rsidTr="00513AA3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7C10D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pMOB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–PF₆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5F759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Amorphous / Crystalline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EF330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~30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45AF8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8.2 × 10⁻⁵</w:t>
            </w:r>
          </w:p>
        </w:tc>
      </w:tr>
      <w:tr w:rsidR="00513AA3" w:rsidRPr="00513AA3" w14:paraId="5E42D318" w14:textId="77777777" w:rsidTr="00513AA3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88CF1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pMOB</w:t>
            </w:r>
            <w:proofErr w:type="spellEnd"/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–FSI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3A682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Amorphous / Crystalline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7A277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~40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095E3" w14:textId="77777777" w:rsidR="00513AA3" w:rsidRPr="00951006" w:rsidRDefault="00513AA3" w:rsidP="00513AA3"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1006">
              <w:rPr>
                <w:rFonts w:ascii="Times New Roman" w:hAnsi="Times New Roman" w:cs="Times New Roman"/>
                <w:sz w:val="24"/>
                <w:szCs w:val="24"/>
              </w:rPr>
              <w:t>7.6 × 10⁻⁵</w:t>
            </w:r>
          </w:p>
        </w:tc>
      </w:tr>
    </w:tbl>
    <w:p w14:paraId="48AD1247" w14:textId="77777777" w:rsidR="00513AA3" w:rsidRPr="00513AA3" w:rsidRDefault="00513AA3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0F91519" w14:textId="47067375" w:rsidR="0015338B" w:rsidRPr="00951006" w:rsidRDefault="0015338B" w:rsidP="001533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100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95100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51006">
        <w:rPr>
          <w:rFonts w:ascii="Times New Roman" w:hAnsi="Times New Roman" w:cs="Times New Roman"/>
          <w:b/>
          <w:bCs/>
          <w:sz w:val="24"/>
          <w:szCs w:val="24"/>
        </w:rPr>
        <w:t xml:space="preserve"> | NMR </w:t>
      </w:r>
      <w:r w:rsidR="00282B1F" w:rsidRPr="00951006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951006">
        <w:rPr>
          <w:rFonts w:ascii="Times New Roman" w:hAnsi="Times New Roman" w:cs="Times New Roman"/>
          <w:b/>
          <w:bCs/>
          <w:sz w:val="24"/>
          <w:szCs w:val="24"/>
        </w:rPr>
        <w:t>elaxation-component analysis of meta-linked aromatic polymers.</w:t>
      </w:r>
    </w:p>
    <w:p w14:paraId="7EAB3F9D" w14:textId="210228F9" w:rsidR="0015338B" w:rsidRPr="00951006" w:rsidRDefault="0015338B" w:rsidP="0015338B">
      <w:pPr>
        <w:rPr>
          <w:rFonts w:ascii="Times New Roman" w:hAnsi="Times New Roman" w:cs="Times New Roman"/>
          <w:sz w:val="24"/>
          <w:szCs w:val="24"/>
        </w:rPr>
      </w:pPr>
      <w:r w:rsidRPr="00951006">
        <w:rPr>
          <w:rFonts w:ascii="Times New Roman" w:hAnsi="Times New Roman" w:cs="Times New Roman"/>
          <w:sz w:val="24"/>
          <w:szCs w:val="24"/>
        </w:rPr>
        <w:t xml:space="preserve">Parameters obtained by decomposition of the solid-echo relaxation </w:t>
      </w:r>
      <w:proofErr w:type="gramStart"/>
      <w:r w:rsidRPr="00951006">
        <w:rPr>
          <w:rFonts w:ascii="Times New Roman" w:hAnsi="Times New Roman" w:cs="Times New Roman"/>
          <w:sz w:val="24"/>
          <w:szCs w:val="24"/>
        </w:rPr>
        <w:t>decays</w:t>
      </w:r>
      <w:proofErr w:type="gramEnd"/>
      <w:r w:rsidRPr="00951006">
        <w:rPr>
          <w:rFonts w:ascii="Times New Roman" w:hAnsi="Times New Roman" w:cs="Times New Roman"/>
          <w:sz w:val="24"/>
          <w:szCs w:val="24"/>
        </w:rPr>
        <w:t xml:space="preserve"> into short-, middle-, and long-relaxation components. The amplitude (a) represents the relative contribution of each component, and T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2B1F" w:rsidRPr="00951006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951006">
        <w:rPr>
          <w:rFonts w:ascii="Times New Roman" w:hAnsi="Times New Roman" w:cs="Times New Roman"/>
          <w:sz w:val="24"/>
          <w:szCs w:val="24"/>
        </w:rPr>
        <w:t xml:space="preserve"> represents the corresponding apparent transverse relaxation time. The analysis reveals differences in the populations of dynamically constrained and mobile environments among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pMBA-Cryst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-Amorph, and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70"/>
        <w:gridCol w:w="1220"/>
        <w:gridCol w:w="1360"/>
        <w:gridCol w:w="1185"/>
        <w:gridCol w:w="1328"/>
      </w:tblGrid>
      <w:tr w:rsidR="0015338B" w:rsidRPr="00BE5187" w14:paraId="68A22AC4" w14:textId="77777777" w:rsidTr="002E3C91">
        <w:tc>
          <w:tcPr>
            <w:tcW w:w="0" w:type="auto"/>
            <w:hideMark/>
          </w:tcPr>
          <w:p w14:paraId="0AB45A95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0" w:type="auto"/>
            <w:hideMark/>
          </w:tcPr>
          <w:p w14:paraId="4403B303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Short amp.</w:t>
            </w:r>
          </w:p>
        </w:tc>
        <w:tc>
          <w:tcPr>
            <w:tcW w:w="0" w:type="auto"/>
            <w:hideMark/>
          </w:tcPr>
          <w:p w14:paraId="5CF74C5C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Middle amp.</w:t>
            </w:r>
          </w:p>
        </w:tc>
        <w:tc>
          <w:tcPr>
            <w:tcW w:w="0" w:type="auto"/>
            <w:hideMark/>
          </w:tcPr>
          <w:p w14:paraId="16395033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Long amp.</w:t>
            </w:r>
          </w:p>
        </w:tc>
        <w:tc>
          <w:tcPr>
            <w:tcW w:w="0" w:type="auto"/>
            <w:hideMark/>
          </w:tcPr>
          <w:p w14:paraId="2FC661C9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Long T₂ (</w:t>
            </w:r>
            <w:proofErr w:type="spellStart"/>
            <w:r w:rsidRPr="00BE5187">
              <w:rPr>
                <w:rFonts w:ascii="Times New Roman" w:hAnsi="Times New Roman" w:cs="Times New Roman"/>
                <w:b/>
                <w:bCs/>
              </w:rPr>
              <w:t>μs</w:t>
            </w:r>
            <w:proofErr w:type="spellEnd"/>
            <w:r w:rsidRPr="00BE518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15338B" w:rsidRPr="00BE5187" w14:paraId="52B9F3DF" w14:textId="77777777" w:rsidTr="002E3C91">
        <w:tc>
          <w:tcPr>
            <w:tcW w:w="0" w:type="auto"/>
            <w:hideMark/>
          </w:tcPr>
          <w:p w14:paraId="304F9DBC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pMBA-Cryst</w:t>
            </w:r>
            <w:proofErr w:type="spellEnd"/>
          </w:p>
        </w:tc>
        <w:tc>
          <w:tcPr>
            <w:tcW w:w="0" w:type="auto"/>
            <w:hideMark/>
          </w:tcPr>
          <w:p w14:paraId="79630AC9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0.812</w:t>
            </w:r>
          </w:p>
        </w:tc>
        <w:tc>
          <w:tcPr>
            <w:tcW w:w="0" w:type="auto"/>
            <w:hideMark/>
          </w:tcPr>
          <w:p w14:paraId="67A1CAE3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0" w:type="auto"/>
            <w:hideMark/>
          </w:tcPr>
          <w:p w14:paraId="44F148B2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0" w:type="auto"/>
            <w:hideMark/>
          </w:tcPr>
          <w:p w14:paraId="777EB385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200</w:t>
            </w:r>
          </w:p>
        </w:tc>
      </w:tr>
      <w:tr w:rsidR="0015338B" w:rsidRPr="00BE5187" w14:paraId="1634917D" w14:textId="77777777" w:rsidTr="002E3C91">
        <w:tc>
          <w:tcPr>
            <w:tcW w:w="0" w:type="auto"/>
            <w:hideMark/>
          </w:tcPr>
          <w:p w14:paraId="42CD83E9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pMBA</w:t>
            </w:r>
            <w:proofErr w:type="spellEnd"/>
            <w:r w:rsidRPr="00BE5187">
              <w:rPr>
                <w:rFonts w:ascii="Times New Roman" w:hAnsi="Times New Roman" w:cs="Times New Roman"/>
              </w:rPr>
              <w:t>-Amorph</w:t>
            </w:r>
          </w:p>
        </w:tc>
        <w:tc>
          <w:tcPr>
            <w:tcW w:w="0" w:type="auto"/>
            <w:hideMark/>
          </w:tcPr>
          <w:p w14:paraId="614A4993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0" w:type="auto"/>
            <w:hideMark/>
          </w:tcPr>
          <w:p w14:paraId="79F574A0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0" w:type="auto"/>
            <w:hideMark/>
          </w:tcPr>
          <w:p w14:paraId="5888115D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hideMark/>
          </w:tcPr>
          <w:p w14:paraId="770F04B5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2000</w:t>
            </w:r>
          </w:p>
        </w:tc>
      </w:tr>
      <w:tr w:rsidR="0015338B" w:rsidRPr="00BE5187" w14:paraId="632DEC4A" w14:textId="77777777" w:rsidTr="002E3C91">
        <w:tc>
          <w:tcPr>
            <w:tcW w:w="0" w:type="auto"/>
            <w:hideMark/>
          </w:tcPr>
          <w:p w14:paraId="79BE1417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pMOB</w:t>
            </w:r>
            <w:proofErr w:type="spellEnd"/>
          </w:p>
        </w:tc>
        <w:tc>
          <w:tcPr>
            <w:tcW w:w="0" w:type="auto"/>
            <w:hideMark/>
          </w:tcPr>
          <w:p w14:paraId="0C15B297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0.849</w:t>
            </w:r>
          </w:p>
        </w:tc>
        <w:tc>
          <w:tcPr>
            <w:tcW w:w="0" w:type="auto"/>
            <w:hideMark/>
          </w:tcPr>
          <w:p w14:paraId="377104A0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0" w:type="auto"/>
            <w:hideMark/>
          </w:tcPr>
          <w:p w14:paraId="05CB49B1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0" w:type="auto"/>
            <w:hideMark/>
          </w:tcPr>
          <w:p w14:paraId="62D6BD6D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925</w:t>
            </w:r>
          </w:p>
        </w:tc>
      </w:tr>
    </w:tbl>
    <w:p w14:paraId="73CED016" w14:textId="77777777" w:rsidR="0015338B" w:rsidRPr="00BE5187" w:rsidRDefault="0015338B" w:rsidP="0015338B">
      <w:pPr>
        <w:rPr>
          <w:rFonts w:ascii="Times New Roman" w:hAnsi="Times New Roman" w:cs="Times New Roman"/>
        </w:rPr>
      </w:pPr>
    </w:p>
    <w:p w14:paraId="6011C9D6" w14:textId="77777777" w:rsidR="0015338B" w:rsidRPr="00951006" w:rsidRDefault="0015338B" w:rsidP="001533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100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95100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51006">
        <w:rPr>
          <w:rFonts w:ascii="Times New Roman" w:hAnsi="Times New Roman" w:cs="Times New Roman"/>
          <w:b/>
          <w:bCs/>
          <w:sz w:val="24"/>
          <w:szCs w:val="24"/>
        </w:rPr>
        <w:t xml:space="preserve"> | Average TD-NMR relaxation parameters of meta-linked aromatic polymers.</w:t>
      </w:r>
    </w:p>
    <w:p w14:paraId="2578FBAC" w14:textId="001CF125" w:rsidR="0015338B" w:rsidRPr="00951006" w:rsidRDefault="0015338B" w:rsidP="0015338B">
      <w:pPr>
        <w:rPr>
          <w:rFonts w:ascii="Times New Roman" w:hAnsi="Times New Roman" w:cs="Times New Roman"/>
          <w:sz w:val="24"/>
          <w:szCs w:val="24"/>
        </w:rPr>
      </w:pPr>
      <w:r w:rsidRPr="00951006">
        <w:rPr>
          <w:rFonts w:ascii="Times New Roman" w:hAnsi="Times New Roman" w:cs="Times New Roman"/>
          <w:sz w:val="24"/>
          <w:szCs w:val="24"/>
        </w:rPr>
        <w:t>Average apparent relaxation times (T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10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1006">
        <w:rPr>
          <w:rFonts w:ascii="Times New Roman" w:hAnsi="Times New Roman" w:cs="Times New Roman"/>
          <w:sz w:val="24"/>
          <w:szCs w:val="24"/>
        </w:rPr>
        <w:t>average) and average second moments (M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2B1F" w:rsidRPr="00951006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Pr="00951006">
        <w:rPr>
          <w:rFonts w:ascii="Times New Roman" w:hAnsi="Times New Roman" w:cs="Times New Roman"/>
          <w:sz w:val="24"/>
          <w:szCs w:val="24"/>
        </w:rPr>
        <w:t xml:space="preserve">average) obtained from the relaxation-component analysis of crystalline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pMBA-Cryst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), amorphous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 xml:space="preserve">-Amorph), and </w:t>
      </w:r>
      <w:proofErr w:type="spellStart"/>
      <w:r w:rsidRPr="00951006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951006">
        <w:rPr>
          <w:rFonts w:ascii="Times New Roman" w:hAnsi="Times New Roman" w:cs="Times New Roman"/>
          <w:sz w:val="24"/>
          <w:szCs w:val="24"/>
        </w:rPr>
        <w:t>. Larger T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10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1006">
        <w:rPr>
          <w:rFonts w:ascii="Times New Roman" w:hAnsi="Times New Roman" w:cs="Times New Roman"/>
          <w:sz w:val="24"/>
          <w:szCs w:val="24"/>
        </w:rPr>
        <w:t>average values indicate less constrained molecular dynamics, whereas larger M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10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51006">
        <w:rPr>
          <w:rFonts w:ascii="Times New Roman" w:hAnsi="Times New Roman" w:cs="Times New Roman"/>
          <w:sz w:val="24"/>
          <w:szCs w:val="24"/>
        </w:rPr>
        <w:t>average values correspond to stronger dynamic constraints and higher residual dipolar interactions.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70"/>
        <w:gridCol w:w="1827"/>
        <w:gridCol w:w="3261"/>
      </w:tblGrid>
      <w:tr w:rsidR="0015338B" w:rsidRPr="00BE5187" w14:paraId="0AF92DF5" w14:textId="77777777" w:rsidTr="00282B1F">
        <w:tc>
          <w:tcPr>
            <w:tcW w:w="0" w:type="auto"/>
            <w:hideMark/>
          </w:tcPr>
          <w:p w14:paraId="2D5BC2A9" w14:textId="77777777" w:rsidR="0015338B" w:rsidRPr="00BE5187" w:rsidRDefault="0015338B" w:rsidP="002E3C91">
            <w:pPr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1827" w:type="dxa"/>
            <w:hideMark/>
          </w:tcPr>
          <w:p w14:paraId="3447AAAE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T</w:t>
            </w:r>
            <w:r w:rsidRPr="00282B1F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BE5187">
              <w:rPr>
                <w:rFonts w:ascii="Times New Roman" w:hAnsi="Times New Roman" w:cs="Times New Roman"/>
                <w:b/>
                <w:bCs/>
              </w:rPr>
              <w:t>average (</w:t>
            </w:r>
            <w:proofErr w:type="spellStart"/>
            <w:r w:rsidRPr="00BE5187">
              <w:rPr>
                <w:rFonts w:ascii="Times New Roman" w:hAnsi="Times New Roman" w:cs="Times New Roman"/>
                <w:b/>
                <w:bCs/>
              </w:rPr>
              <w:t>μs</w:t>
            </w:r>
            <w:proofErr w:type="spellEnd"/>
            <w:r w:rsidRPr="00BE518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1" w:type="dxa"/>
            <w:hideMark/>
          </w:tcPr>
          <w:p w14:paraId="3C6BB485" w14:textId="3028DA86" w:rsidR="0015338B" w:rsidRPr="009A4438" w:rsidRDefault="0015338B" w:rsidP="00282B1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</w:pPr>
            <w:r w:rsidRPr="00BE5187">
              <w:rPr>
                <w:rFonts w:ascii="Times New Roman" w:hAnsi="Times New Roman" w:cs="Times New Roman"/>
                <w:b/>
                <w:bCs/>
              </w:rPr>
              <w:t>M</w:t>
            </w:r>
            <w:r w:rsidRPr="00282B1F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="00282B1F">
              <w:rPr>
                <w:rFonts w:ascii="Times New Roman" w:hAnsi="Times New Roman" w:cs="Times New Roman" w:hint="eastAsia"/>
                <w:b/>
                <w:bCs/>
                <w:vertAlign w:val="subscript"/>
              </w:rPr>
              <w:t xml:space="preserve"> </w:t>
            </w:r>
            <w:r w:rsidRPr="00BE5187">
              <w:rPr>
                <w:rFonts w:ascii="Times New Roman" w:hAnsi="Times New Roman" w:cs="Times New Roman"/>
                <w:b/>
                <w:bCs/>
              </w:rPr>
              <w:t>average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156B66">
              <w:rPr>
                <w:rFonts w:ascii="Times New Roman" w:hAnsi="Times New Roman" w:cs="Times New Roman"/>
                <w:sz w:val="24"/>
                <w:szCs w:val="24"/>
              </w:rPr>
              <w:t>1000·</w:t>
            </w:r>
            <w:r w:rsidRPr="00156B66">
              <w:rPr>
                <w:rFonts w:ascii="Symbol" w:hAnsi="Symbol" w:cs="Times New Roman"/>
                <w:sz w:val="24"/>
                <w:szCs w:val="24"/>
              </w:rPr>
              <w:t>m</w:t>
            </w:r>
            <w:r w:rsidRPr="00156B6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56B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15338B" w:rsidRPr="00BE5187" w14:paraId="4E99A436" w14:textId="77777777" w:rsidTr="00282B1F">
        <w:tc>
          <w:tcPr>
            <w:tcW w:w="0" w:type="auto"/>
            <w:hideMark/>
          </w:tcPr>
          <w:p w14:paraId="1464C91A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pMBA-Cryst</w:t>
            </w:r>
            <w:proofErr w:type="spellEnd"/>
          </w:p>
        </w:tc>
        <w:tc>
          <w:tcPr>
            <w:tcW w:w="1827" w:type="dxa"/>
            <w:hideMark/>
          </w:tcPr>
          <w:p w14:paraId="7983ADA7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3261" w:type="dxa"/>
            <w:hideMark/>
          </w:tcPr>
          <w:p w14:paraId="4BA9DD3F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4.24</w:t>
            </w:r>
          </w:p>
        </w:tc>
      </w:tr>
      <w:tr w:rsidR="0015338B" w:rsidRPr="00BE5187" w14:paraId="0CA1B49A" w14:textId="77777777" w:rsidTr="00282B1F">
        <w:tc>
          <w:tcPr>
            <w:tcW w:w="0" w:type="auto"/>
            <w:hideMark/>
          </w:tcPr>
          <w:p w14:paraId="773D7BCA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pMBA</w:t>
            </w:r>
            <w:proofErr w:type="spellEnd"/>
            <w:r w:rsidRPr="00BE5187">
              <w:rPr>
                <w:rFonts w:ascii="Times New Roman" w:hAnsi="Times New Roman" w:cs="Times New Roman"/>
              </w:rPr>
              <w:t>-Amorph</w:t>
            </w:r>
          </w:p>
        </w:tc>
        <w:tc>
          <w:tcPr>
            <w:tcW w:w="1827" w:type="dxa"/>
            <w:hideMark/>
          </w:tcPr>
          <w:p w14:paraId="0CC2DBDD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3261" w:type="dxa"/>
            <w:hideMark/>
          </w:tcPr>
          <w:p w14:paraId="2A795AEB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3.53</w:t>
            </w:r>
          </w:p>
        </w:tc>
      </w:tr>
      <w:tr w:rsidR="0015338B" w:rsidRPr="00BE5187" w14:paraId="0B2B5AD5" w14:textId="77777777" w:rsidTr="00282B1F">
        <w:tc>
          <w:tcPr>
            <w:tcW w:w="0" w:type="auto"/>
            <w:hideMark/>
          </w:tcPr>
          <w:p w14:paraId="329A3982" w14:textId="77777777" w:rsidR="0015338B" w:rsidRPr="00BE5187" w:rsidRDefault="0015338B" w:rsidP="002E3C91">
            <w:pPr>
              <w:rPr>
                <w:rFonts w:ascii="Times New Roman" w:hAnsi="Times New Roman" w:cs="Times New Roman"/>
              </w:rPr>
            </w:pPr>
            <w:proofErr w:type="spellStart"/>
            <w:r w:rsidRPr="00BE5187">
              <w:rPr>
                <w:rFonts w:ascii="Times New Roman" w:hAnsi="Times New Roman" w:cs="Times New Roman"/>
              </w:rPr>
              <w:t>pMOB</w:t>
            </w:r>
            <w:proofErr w:type="spellEnd"/>
          </w:p>
        </w:tc>
        <w:tc>
          <w:tcPr>
            <w:tcW w:w="1827" w:type="dxa"/>
            <w:hideMark/>
          </w:tcPr>
          <w:p w14:paraId="619D0797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3261" w:type="dxa"/>
            <w:hideMark/>
          </w:tcPr>
          <w:p w14:paraId="6039241D" w14:textId="77777777" w:rsidR="0015338B" w:rsidRPr="00BE5187" w:rsidRDefault="0015338B" w:rsidP="00282B1F">
            <w:pPr>
              <w:jc w:val="center"/>
              <w:rPr>
                <w:rFonts w:ascii="Times New Roman" w:hAnsi="Times New Roman" w:cs="Times New Roman"/>
              </w:rPr>
            </w:pPr>
            <w:r w:rsidRPr="00BE5187">
              <w:rPr>
                <w:rFonts w:ascii="Times New Roman" w:hAnsi="Times New Roman" w:cs="Times New Roman"/>
              </w:rPr>
              <w:t>2.52</w:t>
            </w:r>
          </w:p>
        </w:tc>
      </w:tr>
    </w:tbl>
    <w:p w14:paraId="480ABEB2" w14:textId="1F5BDAA9" w:rsidR="00F31349" w:rsidRDefault="00F31349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1E050A0" w14:textId="77777777" w:rsidR="00F31349" w:rsidRDefault="00F313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CC22B2" w14:textId="7F2A03F4" w:rsidR="009069A6" w:rsidRDefault="00F31349" w:rsidP="00F3134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F3134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 | Effect of electrode–sample contact load on ionic conductivity of polymer–ionic liquid composites.</w:t>
      </w:r>
    </w:p>
    <w:p w14:paraId="2F69CAB1" w14:textId="31F90C26" w:rsidR="00F31349" w:rsidRPr="00F31349" w:rsidRDefault="00F31349" w:rsidP="00F31349">
      <w:pPr>
        <w:widowControl/>
        <w:rPr>
          <w:rFonts w:ascii="Times New Roman" w:hAnsi="Times New Roman" w:cs="Times New Roman"/>
          <w:sz w:val="24"/>
          <w:szCs w:val="24"/>
        </w:rPr>
      </w:pPr>
      <w:r w:rsidRPr="00F31349">
        <w:rPr>
          <w:rFonts w:ascii="Times New Roman" w:hAnsi="Times New Roman" w:cs="Times New Roman"/>
          <w:sz w:val="24"/>
          <w:szCs w:val="24"/>
        </w:rPr>
        <w:t xml:space="preserve">Ionic conductivities of </w:t>
      </w:r>
      <w:proofErr w:type="spellStart"/>
      <w:r w:rsidRPr="00F31349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F31349">
        <w:rPr>
          <w:rFonts w:ascii="Times New Roman" w:hAnsi="Times New Roman" w:cs="Times New Roman"/>
          <w:sz w:val="24"/>
          <w:szCs w:val="24"/>
        </w:rPr>
        <w:t>–PF</w:t>
      </w:r>
      <w:r w:rsidRPr="0095100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13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349">
        <w:rPr>
          <w:rFonts w:ascii="Times New Roman" w:hAnsi="Times New Roman" w:cs="Times New Roman"/>
          <w:sz w:val="24"/>
          <w:szCs w:val="24"/>
        </w:rPr>
        <w:t>pMBA</w:t>
      </w:r>
      <w:proofErr w:type="spellEnd"/>
      <w:r w:rsidRPr="00F31349">
        <w:rPr>
          <w:rFonts w:ascii="Times New Roman" w:hAnsi="Times New Roman" w:cs="Times New Roman"/>
          <w:sz w:val="24"/>
          <w:szCs w:val="24"/>
        </w:rPr>
        <w:t xml:space="preserve">–FSI, </w:t>
      </w:r>
      <w:proofErr w:type="spellStart"/>
      <w:r w:rsidRPr="00F31349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F31349">
        <w:rPr>
          <w:rFonts w:ascii="Times New Roman" w:hAnsi="Times New Roman" w:cs="Times New Roman"/>
          <w:sz w:val="24"/>
          <w:szCs w:val="24"/>
        </w:rPr>
        <w:t xml:space="preserve">–PF6, and </w:t>
      </w:r>
      <w:proofErr w:type="spellStart"/>
      <w:r w:rsidRPr="00F31349">
        <w:rPr>
          <w:rFonts w:ascii="Times New Roman" w:hAnsi="Times New Roman" w:cs="Times New Roman"/>
          <w:sz w:val="24"/>
          <w:szCs w:val="24"/>
        </w:rPr>
        <w:t>pMOB</w:t>
      </w:r>
      <w:proofErr w:type="spellEnd"/>
      <w:r w:rsidRPr="00F31349">
        <w:rPr>
          <w:rFonts w:ascii="Times New Roman" w:hAnsi="Times New Roman" w:cs="Times New Roman"/>
          <w:sz w:val="24"/>
          <w:szCs w:val="24"/>
        </w:rPr>
        <w:t>–FSI measured at 30 °C using stainless-steel blocking electrodes under contact loads of 3 N and 5 N. The table lists the specimen thickness, resistance obtained from the impedance response, and calculated ionic conductivity for each measurement. The relative ionic-conductivity trend among the four composite formulations was retained under both contact-load conditions.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626"/>
        <w:gridCol w:w="1204"/>
        <w:gridCol w:w="1843"/>
        <w:gridCol w:w="1701"/>
        <w:gridCol w:w="2120"/>
      </w:tblGrid>
      <w:tr w:rsidR="000236B7" w14:paraId="44DAE1BB" w14:textId="3CB769DA" w:rsidTr="000236B7">
        <w:tc>
          <w:tcPr>
            <w:tcW w:w="1626" w:type="dxa"/>
          </w:tcPr>
          <w:p w14:paraId="0F27171D" w14:textId="77777777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21CFD554" w14:textId="77777777" w:rsidR="000236B7" w:rsidRDefault="000236B7" w:rsidP="000236B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Contact </w:t>
            </w:r>
          </w:p>
          <w:p w14:paraId="69AE6968" w14:textId="396D28BE" w:rsidR="000236B7" w:rsidRPr="00F31349" w:rsidRDefault="000236B7" w:rsidP="000236B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(load/ N)</w:t>
            </w:r>
          </w:p>
        </w:tc>
        <w:tc>
          <w:tcPr>
            <w:tcW w:w="1843" w:type="dxa"/>
          </w:tcPr>
          <w:p w14:paraId="20229059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Thickness</w:t>
            </w:r>
          </w:p>
          <w:p w14:paraId="630EAB9F" w14:textId="1D578777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(cm)</w:t>
            </w:r>
          </w:p>
        </w:tc>
        <w:tc>
          <w:tcPr>
            <w:tcW w:w="1701" w:type="dxa"/>
          </w:tcPr>
          <w:p w14:paraId="04846627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Resistance</w:t>
            </w:r>
          </w:p>
          <w:p w14:paraId="390B5966" w14:textId="63A0ADE0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(ohm)</w:t>
            </w:r>
          </w:p>
        </w:tc>
        <w:tc>
          <w:tcPr>
            <w:tcW w:w="2120" w:type="dxa"/>
          </w:tcPr>
          <w:p w14:paraId="5E48710F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Ion conductivity</w:t>
            </w:r>
          </w:p>
          <w:p w14:paraId="6364B1E6" w14:textId="3E7B8968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(S cm</w:t>
            </w:r>
            <w:r w:rsidRPr="000236B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236B7" w14:paraId="7CB48C7A" w14:textId="2909BF5D" w:rsidTr="000236B7">
        <w:tc>
          <w:tcPr>
            <w:tcW w:w="1626" w:type="dxa"/>
          </w:tcPr>
          <w:p w14:paraId="1C129D26" w14:textId="6C01D2A9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pMBA-PF</w:t>
            </w:r>
            <w:r w:rsidRPr="00F3134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204" w:type="dxa"/>
          </w:tcPr>
          <w:p w14:paraId="783B13B1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112388F5" w14:textId="0D6F5C46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74710D9" w14:textId="5FEA7E51" w:rsidR="000236B7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0.019</w:t>
            </w:r>
          </w:p>
          <w:p w14:paraId="1B49E3CA" w14:textId="4A5BE800" w:rsidR="004F520C" w:rsidRPr="00F31349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0.017</w:t>
            </w:r>
          </w:p>
        </w:tc>
        <w:tc>
          <w:tcPr>
            <w:tcW w:w="1701" w:type="dxa"/>
          </w:tcPr>
          <w:p w14:paraId="2BE3A241" w14:textId="2D642A26" w:rsidR="000236B7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580.5</w:t>
            </w:r>
          </w:p>
          <w:p w14:paraId="2FE6C256" w14:textId="0BBE4BA7" w:rsidR="004F520C" w:rsidRPr="00F31349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582.6</w:t>
            </w:r>
          </w:p>
        </w:tc>
        <w:tc>
          <w:tcPr>
            <w:tcW w:w="2120" w:type="dxa"/>
          </w:tcPr>
          <w:p w14:paraId="4B6398EB" w14:textId="75286B4A" w:rsidR="004F520C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</w:p>
          <w:p w14:paraId="75FF2175" w14:textId="4ADE40AA" w:rsidR="004F520C" w:rsidRPr="004F520C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</w:p>
        </w:tc>
      </w:tr>
      <w:tr w:rsidR="000236B7" w14:paraId="76268443" w14:textId="57B37B11" w:rsidTr="000236B7">
        <w:tc>
          <w:tcPr>
            <w:tcW w:w="1626" w:type="dxa"/>
          </w:tcPr>
          <w:p w14:paraId="357E2B31" w14:textId="029EFC38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pMBA</w:t>
            </w:r>
            <w:proofErr w:type="spellEnd"/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-FSI</w:t>
            </w:r>
          </w:p>
        </w:tc>
        <w:tc>
          <w:tcPr>
            <w:tcW w:w="1204" w:type="dxa"/>
          </w:tcPr>
          <w:p w14:paraId="6BF0825F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444BCED7" w14:textId="5C7C3069" w:rsidR="000236B7" w:rsidRPr="00F31349" w:rsidRDefault="000236B7" w:rsidP="00B62A6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EF5BCD8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0.025</w:t>
            </w:r>
          </w:p>
          <w:p w14:paraId="2B4AF85B" w14:textId="34AEE561" w:rsidR="000236B7" w:rsidRPr="00F31349" w:rsidRDefault="000236B7" w:rsidP="00B62A6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1701" w:type="dxa"/>
          </w:tcPr>
          <w:p w14:paraId="388AFC61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166.5</w:t>
            </w:r>
          </w:p>
          <w:p w14:paraId="78BE21E4" w14:textId="557EEA62" w:rsidR="000236B7" w:rsidRPr="00F31349" w:rsidRDefault="000236B7" w:rsidP="00B62A6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85.8</w:t>
            </w:r>
          </w:p>
        </w:tc>
        <w:tc>
          <w:tcPr>
            <w:tcW w:w="2120" w:type="dxa"/>
          </w:tcPr>
          <w:p w14:paraId="6F2F2C4C" w14:textId="2FA02883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 w:rsidR="004F520C" w:rsidRPr="0093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520C"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  <w:p w14:paraId="1B8514DE" w14:textId="31FB79D7" w:rsidR="000236B7" w:rsidRPr="000236B7" w:rsidRDefault="000236B7" w:rsidP="00B62A6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0236B7" w14:paraId="7C01A48D" w14:textId="5B7E4C62" w:rsidTr="000236B7">
        <w:tc>
          <w:tcPr>
            <w:tcW w:w="1626" w:type="dxa"/>
          </w:tcPr>
          <w:p w14:paraId="3EACE9F0" w14:textId="28E031B4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pMOB-PF</w:t>
            </w:r>
            <w:r w:rsidRPr="00F3134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204" w:type="dxa"/>
          </w:tcPr>
          <w:p w14:paraId="5C67029F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0A976FBC" w14:textId="76DC7456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70EFE4D" w14:textId="77777777" w:rsidR="000236B7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0.056</w:t>
            </w:r>
          </w:p>
          <w:p w14:paraId="6EA64713" w14:textId="436F19EC" w:rsidR="004F520C" w:rsidRPr="00F31349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0.056</w:t>
            </w:r>
          </w:p>
        </w:tc>
        <w:tc>
          <w:tcPr>
            <w:tcW w:w="1701" w:type="dxa"/>
          </w:tcPr>
          <w:p w14:paraId="1C904FA7" w14:textId="77777777" w:rsidR="000236B7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928.2</w:t>
            </w:r>
          </w:p>
          <w:p w14:paraId="43746C78" w14:textId="2E23191C" w:rsidR="004F520C" w:rsidRPr="00F31349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866.2</w:t>
            </w:r>
          </w:p>
        </w:tc>
        <w:tc>
          <w:tcPr>
            <w:tcW w:w="2120" w:type="dxa"/>
          </w:tcPr>
          <w:p w14:paraId="30DED6E0" w14:textId="27CEAFAD" w:rsidR="004F520C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7.7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  <w:p w14:paraId="17452D3C" w14:textId="44F8D729" w:rsidR="000236B7" w:rsidRPr="00F31349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8.2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</w:p>
        </w:tc>
      </w:tr>
      <w:tr w:rsidR="000236B7" w14:paraId="38E9EC0D" w14:textId="53E52446" w:rsidTr="000236B7">
        <w:tc>
          <w:tcPr>
            <w:tcW w:w="1626" w:type="dxa"/>
          </w:tcPr>
          <w:p w14:paraId="6612B0C7" w14:textId="0AA9EBC8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pMOB</w:t>
            </w:r>
            <w:proofErr w:type="spellEnd"/>
            <w:r w:rsidRPr="00F31349">
              <w:rPr>
                <w:rFonts w:ascii="Times New Roman" w:hAnsi="Times New Roman" w:cs="Times New Roman" w:hint="eastAsia"/>
                <w:sz w:val="24"/>
                <w:szCs w:val="24"/>
              </w:rPr>
              <w:t>-FSI</w:t>
            </w:r>
          </w:p>
        </w:tc>
        <w:tc>
          <w:tcPr>
            <w:tcW w:w="1204" w:type="dxa"/>
          </w:tcPr>
          <w:p w14:paraId="2606D415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7614B05C" w14:textId="6F02F527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72BF76AB" w14:textId="77777777" w:rsidR="000236B7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0.037</w:t>
            </w:r>
          </w:p>
          <w:p w14:paraId="12BEB31C" w14:textId="58A60611" w:rsidR="000236B7" w:rsidRPr="00F31349" w:rsidRDefault="000236B7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  <w:tc>
          <w:tcPr>
            <w:tcW w:w="1701" w:type="dxa"/>
          </w:tcPr>
          <w:p w14:paraId="79F95B45" w14:textId="5A0DFD94" w:rsidR="000236B7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742.9</w:t>
            </w:r>
          </w:p>
          <w:p w14:paraId="04C09BC5" w14:textId="5EE49CCC" w:rsidR="004F520C" w:rsidRPr="00F31349" w:rsidRDefault="004F520C" w:rsidP="00F3134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603.2</w:t>
            </w:r>
          </w:p>
        </w:tc>
        <w:tc>
          <w:tcPr>
            <w:tcW w:w="2120" w:type="dxa"/>
          </w:tcPr>
          <w:p w14:paraId="35B680CE" w14:textId="3ECC025C" w:rsidR="004F520C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6.3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  <w:p w14:paraId="18AD643A" w14:textId="684074A3" w:rsidR="000236B7" w:rsidRPr="004F520C" w:rsidRDefault="004F520C" w:rsidP="004F52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7.6</w:t>
            </w:r>
            <w:r w:rsidRPr="00933D91">
              <w:rPr>
                <w:rFonts w:ascii="Times New Roman" w:hAnsi="Times New Roman" w:cs="Times New Roman"/>
                <w:sz w:val="24"/>
                <w:szCs w:val="24"/>
              </w:rPr>
              <w:t xml:space="preserve"> × 10</w:t>
            </w:r>
            <w:r w:rsidRPr="003B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5</w:t>
            </w:r>
          </w:p>
        </w:tc>
      </w:tr>
    </w:tbl>
    <w:p w14:paraId="4F6FF64E" w14:textId="15739965" w:rsidR="00F31349" w:rsidRPr="00492367" w:rsidRDefault="00A23CF1" w:rsidP="0049236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23CF1">
        <w:rPr>
          <w:rFonts w:ascii="Times New Roman" w:hAnsi="Times New Roman" w:cs="Times New Roman"/>
          <w:sz w:val="24"/>
          <w:szCs w:val="24"/>
        </w:rPr>
        <w:t>Ionic conductivity was calculated as σ = L/(RA), where L is the specimen thickness, R is the resistance obtained from the impedance response, and A is the electrode-contact area. Values represent individual measurements performed at the indicated contact load.</w:t>
      </w:r>
    </w:p>
    <w:sectPr w:rsidR="00F31349" w:rsidRPr="004923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CA68" w14:textId="77777777" w:rsidR="00BF04B9" w:rsidRDefault="00BF04B9" w:rsidP="00BF0CE4">
      <w:r>
        <w:separator/>
      </w:r>
    </w:p>
  </w:endnote>
  <w:endnote w:type="continuationSeparator" w:id="0">
    <w:p w14:paraId="7793724D" w14:textId="77777777" w:rsidR="00BF04B9" w:rsidRDefault="00BF04B9" w:rsidP="00BF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3634" w14:textId="77777777" w:rsidR="00BF04B9" w:rsidRDefault="00BF04B9" w:rsidP="00BF0CE4">
      <w:r>
        <w:separator/>
      </w:r>
    </w:p>
  </w:footnote>
  <w:footnote w:type="continuationSeparator" w:id="0">
    <w:p w14:paraId="4169A955" w14:textId="77777777" w:rsidR="00BF04B9" w:rsidRDefault="00BF04B9" w:rsidP="00BF0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90"/>
    <w:rsid w:val="00002494"/>
    <w:rsid w:val="000236B7"/>
    <w:rsid w:val="000D7420"/>
    <w:rsid w:val="001145FF"/>
    <w:rsid w:val="00146B31"/>
    <w:rsid w:val="0015338B"/>
    <w:rsid w:val="00167C9F"/>
    <w:rsid w:val="001D24D2"/>
    <w:rsid w:val="002307C1"/>
    <w:rsid w:val="00240290"/>
    <w:rsid w:val="00282B1F"/>
    <w:rsid w:val="002854D8"/>
    <w:rsid w:val="002E7030"/>
    <w:rsid w:val="003063A4"/>
    <w:rsid w:val="00355237"/>
    <w:rsid w:val="003B01C1"/>
    <w:rsid w:val="003B3CFE"/>
    <w:rsid w:val="00492367"/>
    <w:rsid w:val="004A2119"/>
    <w:rsid w:val="004A6DD7"/>
    <w:rsid w:val="004F520C"/>
    <w:rsid w:val="00513AA3"/>
    <w:rsid w:val="00527A20"/>
    <w:rsid w:val="00593573"/>
    <w:rsid w:val="005F73EB"/>
    <w:rsid w:val="0060031A"/>
    <w:rsid w:val="006103BE"/>
    <w:rsid w:val="00721659"/>
    <w:rsid w:val="007408D8"/>
    <w:rsid w:val="007B5AEC"/>
    <w:rsid w:val="007E569F"/>
    <w:rsid w:val="0082428C"/>
    <w:rsid w:val="008431F2"/>
    <w:rsid w:val="008849C0"/>
    <w:rsid w:val="00896FE1"/>
    <w:rsid w:val="009069A6"/>
    <w:rsid w:val="00951006"/>
    <w:rsid w:val="0095250F"/>
    <w:rsid w:val="009A3D87"/>
    <w:rsid w:val="00A23CF1"/>
    <w:rsid w:val="00AC2319"/>
    <w:rsid w:val="00AD0F1A"/>
    <w:rsid w:val="00AE0FFE"/>
    <w:rsid w:val="00AF73C9"/>
    <w:rsid w:val="00B247F8"/>
    <w:rsid w:val="00B32508"/>
    <w:rsid w:val="00B62A6B"/>
    <w:rsid w:val="00BA727D"/>
    <w:rsid w:val="00BF04B9"/>
    <w:rsid w:val="00BF0CE4"/>
    <w:rsid w:val="00C14917"/>
    <w:rsid w:val="00C616AF"/>
    <w:rsid w:val="00C97C90"/>
    <w:rsid w:val="00CE14B2"/>
    <w:rsid w:val="00CF0F4E"/>
    <w:rsid w:val="00D02921"/>
    <w:rsid w:val="00D13B8B"/>
    <w:rsid w:val="00D54128"/>
    <w:rsid w:val="00D87998"/>
    <w:rsid w:val="00D90A93"/>
    <w:rsid w:val="00DA36B6"/>
    <w:rsid w:val="00DD7307"/>
    <w:rsid w:val="00DF17B0"/>
    <w:rsid w:val="00E40C87"/>
    <w:rsid w:val="00E65751"/>
    <w:rsid w:val="00EA5B42"/>
    <w:rsid w:val="00EE3960"/>
    <w:rsid w:val="00F00521"/>
    <w:rsid w:val="00F31349"/>
    <w:rsid w:val="00F72AF2"/>
    <w:rsid w:val="00F75D77"/>
    <w:rsid w:val="00F962AE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8EF24"/>
  <w15:chartTrackingRefBased/>
  <w15:docId w15:val="{B11E6BD4-CC38-425B-9FAD-1949D2E2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2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2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2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2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2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2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2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2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02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02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02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02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02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2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02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02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02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02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02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0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02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029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F0CE4"/>
    <w:pPr>
      <w:tabs>
        <w:tab w:val="center" w:pos="4419"/>
        <w:tab w:val="right" w:pos="8838"/>
      </w:tabs>
    </w:pPr>
  </w:style>
  <w:style w:type="character" w:customStyle="1" w:styleId="ab">
    <w:name w:val="ヘッダー (文字)"/>
    <w:basedOn w:val="a0"/>
    <w:link w:val="aa"/>
    <w:uiPriority w:val="99"/>
    <w:rsid w:val="00BF0CE4"/>
  </w:style>
  <w:style w:type="paragraph" w:styleId="ac">
    <w:name w:val="footer"/>
    <w:basedOn w:val="a"/>
    <w:link w:val="ad"/>
    <w:uiPriority w:val="99"/>
    <w:unhideWhenUsed/>
    <w:rsid w:val="00BF0CE4"/>
    <w:pPr>
      <w:tabs>
        <w:tab w:val="center" w:pos="4419"/>
        <w:tab w:val="right" w:pos="8838"/>
      </w:tabs>
    </w:pPr>
  </w:style>
  <w:style w:type="character" w:customStyle="1" w:styleId="ad">
    <w:name w:val="フッター (文字)"/>
    <w:basedOn w:val="a0"/>
    <w:link w:val="ac"/>
    <w:uiPriority w:val="99"/>
    <w:rsid w:val="00BF0CE4"/>
  </w:style>
  <w:style w:type="paragraph" w:styleId="ae">
    <w:name w:val="Revision"/>
    <w:hidden/>
    <w:uiPriority w:val="99"/>
    <w:semiHidden/>
    <w:rsid w:val="00BF0CE4"/>
  </w:style>
  <w:style w:type="character" w:styleId="af">
    <w:name w:val="annotation reference"/>
    <w:basedOn w:val="a0"/>
    <w:uiPriority w:val="99"/>
    <w:semiHidden/>
    <w:unhideWhenUsed/>
    <w:rsid w:val="00BF0CE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F0CE4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BF0CE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F0CE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F0CE4"/>
    <w:rPr>
      <w:b/>
      <w:bCs/>
      <w:sz w:val="20"/>
      <w:szCs w:val="20"/>
    </w:rPr>
  </w:style>
  <w:style w:type="table" w:styleId="af4">
    <w:name w:val="Table Grid"/>
    <w:basedOn w:val="a1"/>
    <w:uiPriority w:val="39"/>
    <w:rsid w:val="00906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OK岡本 敏(Satoshi Okamoto)_SCC</dc:creator>
  <cp:keywords/>
  <dc:description/>
  <cp:lastModifiedBy>OK岡本 敏(Satoshi Okamoto)_SCC</cp:lastModifiedBy>
  <cp:revision>22</cp:revision>
  <dcterms:created xsi:type="dcterms:W3CDTF">2026-06-18T11:06:00Z</dcterms:created>
  <dcterms:modified xsi:type="dcterms:W3CDTF">2026-08-08T00:17:00Z</dcterms:modified>
</cp:coreProperties>
</file>