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480" w:lineRule="auto" w:after="16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Supplementary Material</w:t>
      </w:r>
    </w:p>
    <w:p>
      <w:pPr>
        <w:spacing w:line="480" w:lineRule="auto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Older Adults With Cardiovascular-Kidney-Metabolic Stage 2: Six-Year Risk Stratification Using NT-proBNP and TNFR1</w:t>
      </w:r>
    </w:p>
    <w:p>
      <w:pPr>
        <w:spacing w:line="480" w:lineRule="auto" w:after="1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Supplementary Tables</w:t>
      </w:r>
    </w:p>
    <w:p>
      <w:pPr>
        <w:keepNext/>
        <w:spacing w:line="240" w:lineRule="auto" w:after="8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 xml:space="preserve">Supplementary Table 1. </w:t>
      </w: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Candidate TNFR1 threshold.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left w:val="nil"/>
          <w:right w:val="nil"/>
          <w:insideV w:val="nil"/>
          <w:insideH w:val="nil"/>
          <w:top w:val="single" w:sz="8" w:space="0" w:color="000000"/>
          <w:bottom w:val="single" w:sz="8" w:space="0" w:color="000000"/>
        </w:tblBorders>
      </w:tblPr>
      <w:tblGrid>
        <w:gridCol w:w="4939"/>
        <w:gridCol w:w="4939"/>
      </w:tblGrid>
      <w:tr>
        <w:tc>
          <w:tcPr>
            <w:tcW w:type="dxa" w:w="4939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Item</w:t>
            </w:r>
          </w:p>
        </w:tc>
        <w:tc>
          <w:tcPr>
            <w:tcW w:type="dxa" w:w="4939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Value</w:t>
            </w:r>
          </w:p>
        </w:tc>
      </w:tr>
      <w:tr>
        <w:tc>
          <w:tcPr>
            <w:tcW w:type="dxa" w:w="4939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Candidate TNFR1 threshold</w:t>
            </w:r>
          </w:p>
        </w:tc>
        <w:tc>
          <w:tcPr>
            <w:tcW w:type="dxa" w:w="4939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1906.7 pg/mL</w:t>
            </w:r>
          </w:p>
        </w:tc>
      </w:tr>
      <w:tr>
        <w:tc>
          <w:tcPr>
            <w:tcW w:type="dxa" w:w="4939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Threshold percentile in NT-proBNP &lt;125 subgroup</w:t>
            </w:r>
          </w:p>
        </w:tc>
        <w:tc>
          <w:tcPr>
            <w:tcW w:type="dxa" w:w="4939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83.0%</w:t>
            </w:r>
          </w:p>
        </w:tc>
      </w:tr>
      <w:tr>
        <w:tc>
          <w:tcPr>
            <w:tcW w:type="dxa" w:w="4939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CVD/death risk below threshold</w:t>
            </w:r>
          </w:p>
        </w:tc>
        <w:tc>
          <w:tcPr>
            <w:tcW w:type="dxa" w:w="4939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13.5%</w:t>
            </w:r>
          </w:p>
        </w:tc>
      </w:tr>
      <w:tr>
        <w:tc>
          <w:tcPr>
            <w:tcW w:type="dxa" w:w="4939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CVD/death risk above threshold</w:t>
            </w:r>
          </w:p>
        </w:tc>
        <w:tc>
          <w:tcPr>
            <w:tcW w:type="dxa" w:w="4939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27.5%</w:t>
            </w:r>
          </w:p>
        </w:tc>
      </w:tr>
      <w:tr>
        <w:tc>
          <w:tcPr>
            <w:tcW w:type="dxa" w:w="4939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Adjusted HR above vs below threshold</w:t>
            </w:r>
          </w:p>
        </w:tc>
        <w:tc>
          <w:tcPr>
            <w:tcW w:type="dxa" w:w="4939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1.68 (1.37-2.05)</w:t>
            </w:r>
          </w:p>
        </w:tc>
      </w:tr>
      <w:tr>
        <w:tc>
          <w:tcPr>
            <w:tcW w:type="dxa" w:w="4939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Bootstrap selected threshold, median (IQR)</w:t>
            </w:r>
          </w:p>
        </w:tc>
        <w:tc>
          <w:tcPr>
            <w:tcW w:type="dxa" w:w="4939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1906.7 (1887.4-1939.7) pg/mL</w:t>
            </w:r>
          </w:p>
        </w:tc>
      </w:tr>
      <w:tr>
        <w:tc>
          <w:tcPr>
            <w:tcW w:type="dxa" w:w="4939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Bootstrap within 10% of candidate</w:t>
            </w:r>
          </w:p>
        </w:tc>
        <w:tc>
          <w:tcPr>
            <w:tcW w:type="dxa" w:w="4939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93.3%</w:t>
            </w:r>
          </w:p>
        </w:tc>
      </w:tr>
    </w:tbl>
    <w:p>
      <w:pPr>
        <w:spacing w:line="480" w:lineRule="auto" w:after="12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16"/>
        </w:rPr>
        <w:t xml:space="preserve">Note. </w:t>
      </w: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Candidate thresholds were evaluated among CKM stage-2 participants with NT-proBNP &lt;125 pg/mL. CI, confidence interval; CVD, cardiovascular disease; HR, hazard ratio; IQR, interquartile range; TNFR1, tumor necrosis factor receptor 1.</w:t>
      </w:r>
    </w:p>
    <w:p>
      <w:pPr>
        <w:spacing w:line="480" w:lineRule="auto" w:after="4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</w:r>
    </w:p>
    <w:p>
      <w:r>
        <w:br w:type="page"/>
      </w:r>
    </w:p>
    <w:p>
      <w:pPr>
        <w:keepNext/>
        <w:spacing w:line="240" w:lineRule="auto" w:after="8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 xml:space="preserve">Supplementary Table 2. </w:t>
      </w: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Incremental model performance.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left w:val="nil"/>
          <w:right w:val="nil"/>
          <w:insideV w:val="nil"/>
          <w:insideH w:val="nil"/>
          <w:top w:val="single" w:sz="8" w:space="0" w:color="000000"/>
          <w:bottom w:val="single" w:sz="8" w:space="0" w:color="000000"/>
        </w:tblBorders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Outcome</w:t>
            </w:r>
          </w:p>
        </w:tc>
        <w:tc>
          <w:tcPr>
            <w:tcW w:type="dxa" w:w="1976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Added TNFR1 term</w:t>
            </w:r>
          </w:p>
        </w:tc>
        <w:tc>
          <w:tcPr>
            <w:tcW w:type="dxa" w:w="1976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N/events</w:t>
            </w:r>
          </w:p>
        </w:tc>
        <w:tc>
          <w:tcPr>
            <w:tcW w:type="dxa" w:w="1976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Delta C-index</w:t>
            </w:r>
          </w:p>
        </w:tc>
        <w:tc>
          <w:tcPr>
            <w:tcW w:type="dxa" w:w="1976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Delta AIC</w:t>
            </w:r>
          </w:p>
        </w:tc>
      </w:tr>
      <w:tr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Incident CVD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Continuous log TNFR1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4055/396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+0.000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+1.7</w:t>
            </w:r>
          </w:p>
        </w:tc>
      </w:tr>
      <w:tr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Incident CVD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Candidate threshold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4055/396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+0.004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-2.2</w:t>
            </w:r>
          </w:p>
        </w:tc>
      </w:tr>
      <w:tr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Death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Continuous log TNFR1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4055/268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+0.014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-23.9</w:t>
            </w:r>
          </w:p>
        </w:tc>
      </w:tr>
      <w:tr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Death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Candidate threshold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4055/268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+0.018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-22.7</w:t>
            </w:r>
          </w:p>
        </w:tc>
      </w:tr>
      <w:tr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CVD or death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Continuous log TNFR1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4055/645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+0.004</w:t>
            </w:r>
          </w:p>
        </w:tc>
        <w:tc>
          <w:tcPr>
            <w:tcW w:type="dxa" w:w="1976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-10.7</w:t>
            </w:r>
          </w:p>
        </w:tc>
      </w:tr>
      <w:tr>
        <w:tc>
          <w:tcPr>
            <w:tcW w:type="dxa" w:w="1976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CVD or death</w:t>
            </w:r>
          </w:p>
        </w:tc>
        <w:tc>
          <w:tcPr>
            <w:tcW w:type="dxa" w:w="1976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Candidate threshold</w:t>
            </w:r>
          </w:p>
        </w:tc>
        <w:tc>
          <w:tcPr>
            <w:tcW w:type="dxa" w:w="1976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4055/645</w:t>
            </w:r>
          </w:p>
        </w:tc>
        <w:tc>
          <w:tcPr>
            <w:tcW w:type="dxa" w:w="1976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+0.011</w:t>
            </w:r>
          </w:p>
        </w:tc>
        <w:tc>
          <w:tcPr>
            <w:tcW w:type="dxa" w:w="1976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-22.1</w:t>
            </w:r>
          </w:p>
        </w:tc>
      </w:tr>
    </w:tbl>
    <w:p>
      <w:pPr>
        <w:spacing w:line="480" w:lineRule="auto" w:after="12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16"/>
        </w:rPr>
        <w:t xml:space="preserve">Note. </w:t>
      </w: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Delta values compare models with TNFR1 terms against the corresponding base model. AIC, Akaike information criterion; CVD, cardiovascular disease; TNFR1, tumor necrosis factor receptor 1.</w:t>
      </w:r>
    </w:p>
    <w:p>
      <w:pPr>
        <w:spacing w:line="480" w:lineRule="auto" w:after="4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</w:r>
    </w:p>
    <w:p>
      <w:r>
        <w:br w:type="page"/>
      </w:r>
    </w:p>
    <w:p>
      <w:pPr>
        <w:keepNext/>
        <w:spacing w:line="240" w:lineRule="auto" w:after="8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 xml:space="preserve">Supplementary Table 3. </w:t>
      </w: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Sensitivity and literature context.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left w:val="nil"/>
          <w:right w:val="nil"/>
          <w:insideV w:val="nil"/>
          <w:insideH w:val="nil"/>
          <w:top w:val="single" w:sz="8" w:space="0" w:color="000000"/>
          <w:bottom w:val="single" w:sz="8" w:space="0" w:color="000000"/>
        </w:tblBorders>
      </w:tblPr>
      <w:tblGrid>
        <w:gridCol w:w="1411"/>
        <w:gridCol w:w="1411"/>
        <w:gridCol w:w="1411"/>
        <w:gridCol w:w="1411"/>
        <w:gridCol w:w="1411"/>
        <w:gridCol w:w="1411"/>
        <w:gridCol w:w="1411"/>
      </w:tblGrid>
      <w:tr>
        <w:tc>
          <w:tcPr>
            <w:tcW w:type="dxa" w:w="1411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Analysis</w:t>
            </w:r>
          </w:p>
        </w:tc>
        <w:tc>
          <w:tcPr>
            <w:tcW w:type="dxa" w:w="1411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Outcome</w:t>
            </w:r>
          </w:p>
        </w:tc>
        <w:tc>
          <w:tcPr>
            <w:tcW w:type="dxa" w:w="1411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Estimate</w:t>
            </w:r>
          </w:p>
        </w:tc>
        <w:tc>
          <w:tcPr>
            <w:tcW w:type="dxa" w:w="1411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P value</w:t>
            </w:r>
          </w:p>
        </w:tc>
        <w:tc>
          <w:tcPr>
            <w:tcW w:type="dxa" w:w="1411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Study/context</w:t>
            </w:r>
          </w:p>
        </w:tc>
        <w:tc>
          <w:tcPr>
            <w:tcW w:type="dxa" w:w="1411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Overlap</w:t>
            </w:r>
          </w:p>
        </w:tc>
        <w:tc>
          <w:tcPr>
            <w:tcW w:type="dxa" w:w="1411"/>
            <w:tcBorders>
              <w:top w:val="single" w:sz="8" w:space="0" w:color="000000"/>
              <w:bottom w:val="single" w:sz="6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Remaining difference</w:t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Survey-weighted low-NT threshold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Incident CVD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HR 1.29 (0.94-1.76)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0.111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Survey-weighted low-NT threshold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Death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HR 2.56 (1.78-3.67)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&lt;0.001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Survey-weighted low-NT threshold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CVD or death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HR 1.75 (1.39-2.19)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&lt;0.001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Fine-Gray sequential group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Incident CVD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SHR 1.38 (1.09-1.75)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0.008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Fine-Gray sequential group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Incident CVD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SHR 2.39 (2.02-2.82)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&lt;0.001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Restricted cubic spline nonlinearity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Incident CVD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P-nonlinearity 0.167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0.167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Restricted cubic spline nonlinearity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Death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P-nonlinearity 0.105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0.105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Restricted cubic spline nonlinearity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CVD or death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P-nonlinearity 0.011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0.011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ARIC investigators, Circulation, 2026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Strongly overlaps with CKM staging in older adults and subclinical cardiac structure/function.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Focuses on CKM stages and echocardiography/HF, not NT-proBNP-based risk refinement inside measured stage 2; outcome is HF rather than broad CVD/death.</w:t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European Heart Journal QCCO, 2026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Very close to the idea that NT-proBNP adds value beyond PREVENT-type clinical risk.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Not framed around CKM stage 2; not HRS; focuses on ASCVD and PREVENT risk categories rather than measured CKM stage-2 concentration in older adults.</w:t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Diabetes Obesity and Metabolism, 2026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Uses CKM stages 2-3 and PREVENT comparator to study residual risk.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Uses high-dimensional proteomics in UKB; not a simple clinical NT-proBNP rule; includes stage 3; not focused on CKM stage 2 containing most older adults.</w:t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Journal of Cardiac Failure, 2026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Supports NT-proBNP as a marker of subclinical cardiac stress in community cohorts.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Heart-stress/pre-HF framework, not CKM stage-2 refinement; not HRS; not broad CVD/death as the primary framing.</w:t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Wang et al., New England Journal of Medicine, 2004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Establishes natriuretic peptides as prognostic cardiovascular biomarkers.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Pre-CKM era; no CKM staging, no PREVENT comparator, no stage-2 refinement question.</w:t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Scientific Reports, 2026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Same public-database CKM stage 0-3/CVD direction; uses routine metabolic index.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CHARLS, not HRS; metabolic/adiposity index, not NT-proBNP cardiac stress; not measured stage 2 overconcentration.</w:t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Cardiovascular Diabetology, 2026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CKM stages 0-3 plus routine-derived marker prediction of CVD.</w:t>
            </w:r>
          </w:p>
        </w:tc>
        <w:tc>
          <w:tcPr>
            <w:tcW w:type="dxa" w:w="1411"/>
            <w:tcBorders>
              <w:top w:val="nil" w:sz="0" w:space="0" w:color="FFFFFF"/>
              <w:bottom w:val="nil" w:sz="0" w:space="0" w:color="FFFFFF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Metabolic/insulin-resistance markers; no NT-proBNP; no HRS; not focused on measured stage 2.</w:t>
            </w:r>
          </w:p>
        </w:tc>
      </w:tr>
      <w:tr>
        <w:tc>
          <w:tcPr>
            <w:tcW w:type="dxa" w:w="1411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1411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Cardiovascular Diabetology, 2026</w:t>
            </w:r>
          </w:p>
        </w:tc>
        <w:tc>
          <w:tcPr>
            <w:tcW w:type="dxa" w:w="1411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Very close to public-database CKM stage 0-3 + marker + prediction metrics style.</w:t>
            </w:r>
          </w:p>
        </w:tc>
        <w:tc>
          <w:tcPr>
            <w:tcW w:type="dxa" w:w="1411"/>
            <w:tcBorders>
              <w:top w:val="nil" w:sz="0" w:space="0" w:color="FFFFFF"/>
              <w:bottom w:val="single" w:sz="8" w:space="0" w:color="000000"/>
              <w:left w:val="nil" w:sz="0" w:space="0" w:color="FFFFFF"/>
              <w:right w:val="nil" w:sz="0" w:space="0" w:color="FFFFFF"/>
              <w:insideH w:val="nil" w:sz="0" w:space="0" w:color="FFFFFF"/>
              <w:insideV w:val="nil" w:sz="0" w:space="0" w:color="FFFFFF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4"/>
              </w:rPr>
              <w:t>Inflammation/insulin-resistance/adiposity index; no cardiac-stress biomarker; not HRS; not measured stage-2 refinement.</w:t>
            </w:r>
          </w:p>
        </w:tc>
      </w:tr>
    </w:tbl>
    <w:p>
      <w:pPr>
        <w:spacing w:line="480" w:lineRule="auto" w:after="12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16"/>
        </w:rPr>
        <w:t xml:space="preserve">Note. </w:t>
      </w: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Sensitivity analyses include survey-weighted models, Fine-Gray competing-risk models, restricted cubic spline tests, and closest literature context. CKM, cardiovascular-kidney-metabolic; CVD, cardiovascular disease; SHR, subdistribution hazard ratio; TNFR1, tumor necrosis factor receptor 1.</w:t>
      </w:r>
    </w:p>
    <w:p>
      <w:pPr>
        <w:spacing w:line="480" w:lineRule="auto" w:after="4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</w:r>
    </w:p>
    <w:p>
      <w:r>
        <w:br w:type="page"/>
      </w:r>
    </w:p>
    <w:p>
      <w:pPr>
        <w:spacing w:line="480" w:lineRule="auto" w:after="1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Supplementary Figures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3474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S1_publication_four_group_decompositi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line="240" w:lineRule="auto" w:after="8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 xml:space="preserve">Supplementary Figure 1. </w:t>
      </w: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Four-group CVD-or-death risk decomposition.</w:t>
      </w: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 xml:space="preserve"> TNFR1 separation is retained within both NT-proBNP strata for display only.</w:t>
      </w:r>
    </w:p>
    <w:sectPr w:rsidR="00FC693F" w:rsidRPr="0006063C" w:rsidSect="00034616"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