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B3F77" w14:textId="012CCA4C" w:rsidR="006E13F4" w:rsidRDefault="00CF4DAA">
      <w:pPr>
        <w:pStyle w:val="Title"/>
        <w:jc w:val="center"/>
      </w:pPr>
      <w:r>
        <w:t>Multimedia Appendix 1</w:t>
      </w:r>
      <w:r>
        <w:br/>
        <w:t>Corpus Audit, Codebook, Evidence Map, and Evaluation Set</w:t>
      </w:r>
    </w:p>
    <w:p w14:paraId="1A4E6A36" w14:textId="16570272" w:rsidR="006E13F4" w:rsidRDefault="00000000">
      <w:pPr>
        <w:pStyle w:val="AbstractText"/>
      </w:pPr>
      <w:r>
        <w:t xml:space="preserve">Associated manuscript: Responsible Adoption of Generative </w:t>
      </w:r>
      <w:r w:rsidR="005B337B">
        <w:t>AI</w:t>
      </w:r>
      <w:r>
        <w:t xml:space="preserve"> in Health</w:t>
      </w:r>
      <w:r w:rsidR="003E02EE">
        <w:t xml:space="preserve"> C</w:t>
      </w:r>
      <w:r>
        <w:t>are Work Systems: A Sociotechnical Document Analysis</w:t>
      </w:r>
    </w:p>
    <w:p w14:paraId="20DD6655" w14:textId="77777777" w:rsidR="00164A6B" w:rsidRDefault="00164A6B">
      <w:pPr>
        <w:pStyle w:val="Heading1"/>
      </w:pPr>
    </w:p>
    <w:p w14:paraId="4D4D5303" w14:textId="33CC3944" w:rsidR="006E13F4" w:rsidRDefault="00000000">
      <w:pPr>
        <w:pStyle w:val="Heading1"/>
      </w:pPr>
      <w:r>
        <w:t>A. Corpus Selection Matrix</w:t>
      </w:r>
    </w:p>
    <w:tbl>
      <w:tblPr>
        <w:tblStyle w:val="TableGrid"/>
        <w:tblW w:w="10728" w:type="dxa"/>
        <w:jc w:val="center"/>
        <w:tblLayout w:type="fixed"/>
        <w:tblLook w:val="04A0" w:firstRow="1" w:lastRow="0" w:firstColumn="1" w:lastColumn="0" w:noHBand="0" w:noVBand="1"/>
      </w:tblPr>
      <w:tblGrid>
        <w:gridCol w:w="518"/>
        <w:gridCol w:w="1959"/>
        <w:gridCol w:w="2477"/>
        <w:gridCol w:w="1324"/>
        <w:gridCol w:w="1469"/>
        <w:gridCol w:w="1238"/>
        <w:gridCol w:w="1743"/>
      </w:tblGrid>
      <w:tr w:rsidR="006E13F4" w14:paraId="05500AF5" w14:textId="77777777" w:rsidTr="00F55F1D">
        <w:trPr>
          <w:cantSplit/>
          <w:tblHeader/>
          <w:jc w:val="center"/>
        </w:trPr>
        <w:tc>
          <w:tcPr>
            <w:tcW w:w="518" w:type="dxa"/>
          </w:tcPr>
          <w:p w14:paraId="2A76792D" w14:textId="77777777" w:rsidR="006E13F4" w:rsidRDefault="00000000">
            <w:pPr>
              <w:spacing w:after="0" w:line="240" w:lineRule="auto"/>
              <w:jc w:val="left"/>
            </w:pPr>
            <w:r>
              <w:rPr>
                <w:b/>
                <w:sz w:val="16"/>
              </w:rPr>
              <w:t>ID</w:t>
            </w:r>
          </w:p>
        </w:tc>
        <w:tc>
          <w:tcPr>
            <w:tcW w:w="1958" w:type="dxa"/>
          </w:tcPr>
          <w:p w14:paraId="1E137A15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b/>
                <w:sz w:val="16"/>
              </w:rPr>
              <w:t>Issuer</w:t>
            </w:r>
          </w:p>
        </w:tc>
        <w:tc>
          <w:tcPr>
            <w:tcW w:w="2476" w:type="dxa"/>
          </w:tcPr>
          <w:p w14:paraId="6C3F3D16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b/>
                <w:sz w:val="16"/>
              </w:rPr>
              <w:t>Document</w:t>
            </w:r>
          </w:p>
        </w:tc>
        <w:tc>
          <w:tcPr>
            <w:tcW w:w="1324" w:type="dxa"/>
          </w:tcPr>
          <w:p w14:paraId="51175D71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b/>
                <w:sz w:val="16"/>
              </w:rPr>
              <w:t>Verified Version/Date</w:t>
            </w:r>
          </w:p>
        </w:tc>
        <w:tc>
          <w:tcPr>
            <w:tcW w:w="1468" w:type="dxa"/>
          </w:tcPr>
          <w:p w14:paraId="086899FC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b/>
                <w:sz w:val="16"/>
              </w:rPr>
              <w:t>Governance Level</w:t>
            </w:r>
          </w:p>
        </w:tc>
        <w:tc>
          <w:tcPr>
            <w:tcW w:w="1238" w:type="dxa"/>
          </w:tcPr>
          <w:p w14:paraId="2FE81B89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b/>
                <w:sz w:val="16"/>
              </w:rPr>
              <w:t>Genre</w:t>
            </w:r>
          </w:p>
        </w:tc>
        <w:tc>
          <w:tcPr>
            <w:tcW w:w="1742" w:type="dxa"/>
          </w:tcPr>
          <w:p w14:paraId="76751914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b/>
                <w:sz w:val="16"/>
              </w:rPr>
              <w:t>Primary Audience</w:t>
            </w:r>
          </w:p>
        </w:tc>
      </w:tr>
      <w:tr w:rsidR="006E13F4" w14:paraId="54954D9C" w14:textId="77777777" w:rsidTr="00F55F1D">
        <w:trPr>
          <w:cantSplit/>
          <w:jc w:val="center"/>
        </w:trPr>
        <w:tc>
          <w:tcPr>
            <w:tcW w:w="518" w:type="dxa"/>
          </w:tcPr>
          <w:p w14:paraId="6AC101B0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D1</w:t>
            </w:r>
          </w:p>
        </w:tc>
        <w:tc>
          <w:tcPr>
            <w:tcW w:w="1958" w:type="dxa"/>
          </w:tcPr>
          <w:p w14:paraId="096AAEFB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World Health Organization</w:t>
            </w:r>
          </w:p>
        </w:tc>
        <w:tc>
          <w:tcPr>
            <w:tcW w:w="2476" w:type="dxa"/>
          </w:tcPr>
          <w:p w14:paraId="5CC79831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Ethics and governance of artificial intelligence for health: guidance on large multi-modal models</w:t>
            </w:r>
          </w:p>
        </w:tc>
        <w:tc>
          <w:tcPr>
            <w:tcW w:w="1324" w:type="dxa"/>
          </w:tcPr>
          <w:p w14:paraId="702674CD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2024; official page checked July 30, 2026</w:t>
            </w:r>
          </w:p>
        </w:tc>
        <w:tc>
          <w:tcPr>
            <w:tcW w:w="1468" w:type="dxa"/>
          </w:tcPr>
          <w:p w14:paraId="0E5BD6FC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International</w:t>
            </w:r>
          </w:p>
        </w:tc>
        <w:tc>
          <w:tcPr>
            <w:tcW w:w="1238" w:type="dxa"/>
          </w:tcPr>
          <w:p w14:paraId="7453346C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Ethics and governance</w:t>
            </w:r>
          </w:p>
        </w:tc>
        <w:tc>
          <w:tcPr>
            <w:tcW w:w="1742" w:type="dxa"/>
          </w:tcPr>
          <w:p w14:paraId="370EF9E3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Policy makers, developers, providers, researchers, civil society</w:t>
            </w:r>
          </w:p>
        </w:tc>
      </w:tr>
      <w:tr w:rsidR="006E13F4" w14:paraId="1D1B2A53" w14:textId="77777777" w:rsidTr="00F55F1D">
        <w:trPr>
          <w:cantSplit/>
          <w:jc w:val="center"/>
        </w:trPr>
        <w:tc>
          <w:tcPr>
            <w:tcW w:w="518" w:type="dxa"/>
          </w:tcPr>
          <w:p w14:paraId="7ECF32D5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D2</w:t>
            </w:r>
          </w:p>
        </w:tc>
        <w:tc>
          <w:tcPr>
            <w:tcW w:w="1958" w:type="dxa"/>
          </w:tcPr>
          <w:p w14:paraId="6DDE1B6C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WHO Regional Office for Europe</w:t>
            </w:r>
          </w:p>
        </w:tc>
        <w:tc>
          <w:tcPr>
            <w:tcW w:w="2476" w:type="dxa"/>
          </w:tcPr>
          <w:p w14:paraId="7CCEFCC9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Artificial intelligence is reshaping health systems: state of readiness across the WHO European Region</w:t>
            </w:r>
          </w:p>
        </w:tc>
        <w:tc>
          <w:tcPr>
            <w:tcW w:w="1324" w:type="dxa"/>
          </w:tcPr>
          <w:p w14:paraId="2BC4A348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Published Nov 19, 2025; checked July 30, 2026</w:t>
            </w:r>
          </w:p>
        </w:tc>
        <w:tc>
          <w:tcPr>
            <w:tcW w:w="1468" w:type="dxa"/>
          </w:tcPr>
          <w:p w14:paraId="31B8C92A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Regional</w:t>
            </w:r>
          </w:p>
        </w:tc>
        <w:tc>
          <w:tcPr>
            <w:tcW w:w="1238" w:type="dxa"/>
          </w:tcPr>
          <w:p w14:paraId="190A1917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Readiness assessment</w:t>
            </w:r>
          </w:p>
        </w:tc>
        <w:tc>
          <w:tcPr>
            <w:tcW w:w="1742" w:type="dxa"/>
          </w:tcPr>
          <w:p w14:paraId="3371501D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Governments and health-system leaders</w:t>
            </w:r>
          </w:p>
        </w:tc>
      </w:tr>
      <w:tr w:rsidR="006E13F4" w14:paraId="69B53510" w14:textId="77777777" w:rsidTr="00F55F1D">
        <w:trPr>
          <w:cantSplit/>
          <w:jc w:val="center"/>
        </w:trPr>
        <w:tc>
          <w:tcPr>
            <w:tcW w:w="518" w:type="dxa"/>
          </w:tcPr>
          <w:p w14:paraId="36337810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D3</w:t>
            </w:r>
          </w:p>
        </w:tc>
        <w:tc>
          <w:tcPr>
            <w:tcW w:w="1958" w:type="dxa"/>
          </w:tcPr>
          <w:p w14:paraId="6F91C358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European Commission, DG SANTE</w:t>
            </w:r>
          </w:p>
        </w:tc>
        <w:tc>
          <w:tcPr>
            <w:tcW w:w="2476" w:type="dxa"/>
          </w:tcPr>
          <w:p w14:paraId="45FFF663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Study on the deployment of AI in healthcare: final report</w:t>
            </w:r>
          </w:p>
        </w:tc>
        <w:tc>
          <w:tcPr>
            <w:tcW w:w="1324" w:type="dxa"/>
          </w:tcPr>
          <w:p w14:paraId="079C11B4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2025 final report; DOI and official record checked July 30, 2026</w:t>
            </w:r>
          </w:p>
        </w:tc>
        <w:tc>
          <w:tcPr>
            <w:tcW w:w="1468" w:type="dxa"/>
          </w:tcPr>
          <w:p w14:paraId="095FE2C9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Regional/European</w:t>
            </w:r>
          </w:p>
        </w:tc>
        <w:tc>
          <w:tcPr>
            <w:tcW w:w="1238" w:type="dxa"/>
          </w:tcPr>
          <w:p w14:paraId="3E8BFBEE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Deployment study</w:t>
            </w:r>
          </w:p>
        </w:tc>
        <w:tc>
          <w:tcPr>
            <w:tcW w:w="1742" w:type="dxa"/>
          </w:tcPr>
          <w:p w14:paraId="1B4CBB2C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Policy makers, organizations, implementers</w:t>
            </w:r>
          </w:p>
        </w:tc>
      </w:tr>
      <w:tr w:rsidR="006E13F4" w14:paraId="153D7732" w14:textId="77777777" w:rsidTr="00F55F1D">
        <w:trPr>
          <w:cantSplit/>
          <w:jc w:val="center"/>
        </w:trPr>
        <w:tc>
          <w:tcPr>
            <w:tcW w:w="518" w:type="dxa"/>
          </w:tcPr>
          <w:p w14:paraId="67C19BD9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D4</w:t>
            </w:r>
          </w:p>
        </w:tc>
        <w:tc>
          <w:tcPr>
            <w:tcW w:w="1958" w:type="dxa"/>
          </w:tcPr>
          <w:p w14:paraId="0984C966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NHS England</w:t>
            </w:r>
          </w:p>
        </w:tc>
        <w:tc>
          <w:tcPr>
            <w:tcW w:w="2476" w:type="dxa"/>
          </w:tcPr>
          <w:p w14:paraId="462F014E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AI-enabled ambient scribing products: overview for NHS executives and boards</w:t>
            </w:r>
          </w:p>
        </w:tc>
        <w:tc>
          <w:tcPr>
            <w:tcW w:w="1324" w:type="dxa"/>
          </w:tcPr>
          <w:p w14:paraId="1451F078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Version 1; published Apr 27, 2025; checked July 30, 2026</w:t>
            </w:r>
          </w:p>
        </w:tc>
        <w:tc>
          <w:tcPr>
            <w:tcW w:w="1468" w:type="dxa"/>
          </w:tcPr>
          <w:p w14:paraId="2682EAFC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National health system</w:t>
            </w:r>
          </w:p>
        </w:tc>
        <w:tc>
          <w:tcPr>
            <w:tcW w:w="1238" w:type="dxa"/>
          </w:tcPr>
          <w:p w14:paraId="077D92A7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Strategy</w:t>
            </w:r>
          </w:p>
        </w:tc>
        <w:tc>
          <w:tcPr>
            <w:tcW w:w="1742" w:type="dxa"/>
          </w:tcPr>
          <w:p w14:paraId="776FC09E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Executives and boards</w:t>
            </w:r>
          </w:p>
        </w:tc>
      </w:tr>
      <w:tr w:rsidR="006E13F4" w14:paraId="57462506" w14:textId="77777777" w:rsidTr="00F55F1D">
        <w:trPr>
          <w:cantSplit/>
          <w:jc w:val="center"/>
        </w:trPr>
        <w:tc>
          <w:tcPr>
            <w:tcW w:w="518" w:type="dxa"/>
          </w:tcPr>
          <w:p w14:paraId="72126E23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D5</w:t>
            </w:r>
          </w:p>
        </w:tc>
        <w:tc>
          <w:tcPr>
            <w:tcW w:w="1958" w:type="dxa"/>
          </w:tcPr>
          <w:p w14:paraId="48181EAA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NHS England</w:t>
            </w:r>
          </w:p>
        </w:tc>
        <w:tc>
          <w:tcPr>
            <w:tcW w:w="2476" w:type="dxa"/>
          </w:tcPr>
          <w:p w14:paraId="605D339A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Guidance on the use of AI-enabled ambient scribing products</w:t>
            </w:r>
          </w:p>
        </w:tc>
        <w:tc>
          <w:tcPr>
            <w:tcW w:w="1324" w:type="dxa"/>
          </w:tcPr>
          <w:p w14:paraId="72917E99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Version 3; updated Jul 29, 2026; checked July 30, 2026</w:t>
            </w:r>
          </w:p>
        </w:tc>
        <w:tc>
          <w:tcPr>
            <w:tcW w:w="1468" w:type="dxa"/>
          </w:tcPr>
          <w:p w14:paraId="52B2A3C0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National health system</w:t>
            </w:r>
          </w:p>
        </w:tc>
        <w:tc>
          <w:tcPr>
            <w:tcW w:w="1238" w:type="dxa"/>
          </w:tcPr>
          <w:p w14:paraId="2A40D372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Implementation guidance</w:t>
            </w:r>
          </w:p>
        </w:tc>
        <w:tc>
          <w:tcPr>
            <w:tcW w:w="1742" w:type="dxa"/>
          </w:tcPr>
          <w:p w14:paraId="13FC75F6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CIOs, CCIOs, technical and product teams</w:t>
            </w:r>
          </w:p>
        </w:tc>
      </w:tr>
      <w:tr w:rsidR="006E13F4" w14:paraId="292AE962" w14:textId="77777777" w:rsidTr="00F55F1D">
        <w:trPr>
          <w:cantSplit/>
          <w:jc w:val="center"/>
        </w:trPr>
        <w:tc>
          <w:tcPr>
            <w:tcW w:w="518" w:type="dxa"/>
          </w:tcPr>
          <w:p w14:paraId="39073C09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D6</w:t>
            </w:r>
          </w:p>
        </w:tc>
        <w:tc>
          <w:tcPr>
            <w:tcW w:w="1958" w:type="dxa"/>
          </w:tcPr>
          <w:p w14:paraId="6596EB7A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NHS England Digital</w:t>
            </w:r>
          </w:p>
        </w:tc>
        <w:tc>
          <w:tcPr>
            <w:tcW w:w="2476" w:type="dxa"/>
          </w:tcPr>
          <w:p w14:paraId="69D488BA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Using AI-enabled ambient scribing products: guidance for health and care professionals</w:t>
            </w:r>
          </w:p>
        </w:tc>
        <w:tc>
          <w:tcPr>
            <w:tcW w:w="1324" w:type="dxa"/>
          </w:tcPr>
          <w:p w14:paraId="198E2682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Updated May 7, 2026; checked July 30, 2026</w:t>
            </w:r>
          </w:p>
        </w:tc>
        <w:tc>
          <w:tcPr>
            <w:tcW w:w="1468" w:type="dxa"/>
          </w:tcPr>
          <w:p w14:paraId="7D680205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National health system</w:t>
            </w:r>
          </w:p>
        </w:tc>
        <w:tc>
          <w:tcPr>
            <w:tcW w:w="1238" w:type="dxa"/>
          </w:tcPr>
          <w:p w14:paraId="1A226DE2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Information governance</w:t>
            </w:r>
          </w:p>
        </w:tc>
        <w:tc>
          <w:tcPr>
            <w:tcW w:w="1742" w:type="dxa"/>
          </w:tcPr>
          <w:p w14:paraId="35DE3884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Health and care professionals</w:t>
            </w:r>
          </w:p>
        </w:tc>
      </w:tr>
      <w:tr w:rsidR="006E13F4" w14:paraId="3E2E8D7A" w14:textId="77777777" w:rsidTr="00F55F1D">
        <w:trPr>
          <w:cantSplit/>
          <w:jc w:val="center"/>
        </w:trPr>
        <w:tc>
          <w:tcPr>
            <w:tcW w:w="518" w:type="dxa"/>
          </w:tcPr>
          <w:p w14:paraId="6E482EBD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D7</w:t>
            </w:r>
          </w:p>
        </w:tc>
        <w:tc>
          <w:tcPr>
            <w:tcW w:w="1958" w:type="dxa"/>
          </w:tcPr>
          <w:p w14:paraId="6235F634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Australian Commission on Safety and Quality in Health Care</w:t>
            </w:r>
          </w:p>
        </w:tc>
        <w:tc>
          <w:tcPr>
            <w:tcW w:w="2476" w:type="dxa"/>
          </w:tcPr>
          <w:p w14:paraId="4B33184F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AI clinical use guide: guidance for clinicians</w:t>
            </w:r>
          </w:p>
        </w:tc>
        <w:tc>
          <w:tcPr>
            <w:tcW w:w="1324" w:type="dxa"/>
          </w:tcPr>
          <w:p w14:paraId="02386C5D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Version 1.0; Aug 2025; checked July 30, 2026</w:t>
            </w:r>
          </w:p>
        </w:tc>
        <w:tc>
          <w:tcPr>
            <w:tcW w:w="1468" w:type="dxa"/>
          </w:tcPr>
          <w:p w14:paraId="49A1E135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National safety body</w:t>
            </w:r>
          </w:p>
        </w:tc>
        <w:tc>
          <w:tcPr>
            <w:tcW w:w="1238" w:type="dxa"/>
          </w:tcPr>
          <w:p w14:paraId="62499BA6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Clinical safety guidance</w:t>
            </w:r>
          </w:p>
        </w:tc>
        <w:tc>
          <w:tcPr>
            <w:tcW w:w="1742" w:type="dxa"/>
          </w:tcPr>
          <w:p w14:paraId="3CE527A4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Clinicians and organizations</w:t>
            </w:r>
          </w:p>
        </w:tc>
      </w:tr>
      <w:tr w:rsidR="006E13F4" w14:paraId="746C87F8" w14:textId="77777777" w:rsidTr="00F55F1D">
        <w:trPr>
          <w:cantSplit/>
          <w:jc w:val="center"/>
        </w:trPr>
        <w:tc>
          <w:tcPr>
            <w:tcW w:w="518" w:type="dxa"/>
          </w:tcPr>
          <w:p w14:paraId="1AF6656D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D8</w:t>
            </w:r>
          </w:p>
        </w:tc>
        <w:tc>
          <w:tcPr>
            <w:tcW w:w="1958" w:type="dxa"/>
          </w:tcPr>
          <w:p w14:paraId="799DD3D8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Australian Commission on Safety and Quality in Health Care</w:t>
            </w:r>
          </w:p>
        </w:tc>
        <w:tc>
          <w:tcPr>
            <w:tcW w:w="2476" w:type="dxa"/>
          </w:tcPr>
          <w:p w14:paraId="36D51016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AI safety scenario: ambient scribe</w:t>
            </w:r>
          </w:p>
        </w:tc>
        <w:tc>
          <w:tcPr>
            <w:tcW w:w="1324" w:type="dxa"/>
          </w:tcPr>
          <w:p w14:paraId="26D6F755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Version 1.0; Aug 2025; checked July 30, 2026</w:t>
            </w:r>
          </w:p>
        </w:tc>
        <w:tc>
          <w:tcPr>
            <w:tcW w:w="1468" w:type="dxa"/>
          </w:tcPr>
          <w:p w14:paraId="1FDB3B77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National safety body</w:t>
            </w:r>
          </w:p>
        </w:tc>
        <w:tc>
          <w:tcPr>
            <w:tcW w:w="1238" w:type="dxa"/>
          </w:tcPr>
          <w:p w14:paraId="388517ED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Applied safety scenario</w:t>
            </w:r>
          </w:p>
        </w:tc>
        <w:tc>
          <w:tcPr>
            <w:tcW w:w="1742" w:type="dxa"/>
          </w:tcPr>
          <w:p w14:paraId="64F3B4D0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Clinicians and organizations</w:t>
            </w:r>
          </w:p>
        </w:tc>
      </w:tr>
      <w:tr w:rsidR="006E13F4" w14:paraId="7A16BA1F" w14:textId="77777777" w:rsidTr="00F55F1D">
        <w:trPr>
          <w:cantSplit/>
          <w:jc w:val="center"/>
        </w:trPr>
        <w:tc>
          <w:tcPr>
            <w:tcW w:w="518" w:type="dxa"/>
          </w:tcPr>
          <w:p w14:paraId="02A93154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D9</w:t>
            </w:r>
          </w:p>
        </w:tc>
        <w:tc>
          <w:tcPr>
            <w:tcW w:w="1958" w:type="dxa"/>
          </w:tcPr>
          <w:p w14:paraId="2FD61D49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Australian Government Department of Health, Disability and Ageing</w:t>
            </w:r>
          </w:p>
        </w:tc>
        <w:tc>
          <w:tcPr>
            <w:tcW w:w="2476" w:type="dxa"/>
          </w:tcPr>
          <w:p w14:paraId="442E5516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Safe and responsible artificial intelligence in health care: legislation and regulation review-final report</w:t>
            </w:r>
          </w:p>
        </w:tc>
        <w:tc>
          <w:tcPr>
            <w:tcW w:w="1324" w:type="dxa"/>
          </w:tcPr>
          <w:p w14:paraId="4082F61F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Version 1.0; Mar 2025; official page published Jul 23, 2025; checked July 30, 2026</w:t>
            </w:r>
          </w:p>
        </w:tc>
        <w:tc>
          <w:tcPr>
            <w:tcW w:w="1468" w:type="dxa"/>
          </w:tcPr>
          <w:p w14:paraId="7B28E7E3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National government</w:t>
            </w:r>
          </w:p>
        </w:tc>
        <w:tc>
          <w:tcPr>
            <w:tcW w:w="1238" w:type="dxa"/>
          </w:tcPr>
          <w:p w14:paraId="6B54ED7E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Regulatory review</w:t>
            </w:r>
          </w:p>
        </w:tc>
        <w:tc>
          <w:tcPr>
            <w:tcW w:w="1742" w:type="dxa"/>
          </w:tcPr>
          <w:p w14:paraId="3427E8B2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Policy makers, regulators, sector stakeholders</w:t>
            </w:r>
          </w:p>
        </w:tc>
      </w:tr>
      <w:tr w:rsidR="006E13F4" w14:paraId="5BBC555F" w14:textId="77777777" w:rsidTr="00F55F1D">
        <w:trPr>
          <w:cantSplit/>
          <w:jc w:val="center"/>
        </w:trPr>
        <w:tc>
          <w:tcPr>
            <w:tcW w:w="518" w:type="dxa"/>
          </w:tcPr>
          <w:p w14:paraId="54EF1FB6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D10</w:t>
            </w:r>
          </w:p>
        </w:tc>
        <w:tc>
          <w:tcPr>
            <w:tcW w:w="1958" w:type="dxa"/>
          </w:tcPr>
          <w:p w14:paraId="74A06B0C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Medicines and Healthcare products Regulatory Agency</w:t>
            </w:r>
          </w:p>
        </w:tc>
        <w:tc>
          <w:tcPr>
            <w:tcW w:w="2476" w:type="dxa"/>
          </w:tcPr>
          <w:p w14:paraId="493794B5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 xml:space="preserve">Digital mental health technology: device </w:t>
            </w:r>
            <w:proofErr w:type="spellStart"/>
            <w:r>
              <w:rPr>
                <w:sz w:val="16"/>
              </w:rPr>
              <w:t>characterisation</w:t>
            </w:r>
            <w:proofErr w:type="spellEnd"/>
            <w:r>
              <w:rPr>
                <w:sz w:val="16"/>
              </w:rPr>
              <w:t>, regulatory qualification and classification</w:t>
            </w:r>
          </w:p>
        </w:tc>
        <w:tc>
          <w:tcPr>
            <w:tcW w:w="1324" w:type="dxa"/>
          </w:tcPr>
          <w:p w14:paraId="7450CC93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Version 1.3; updated Jul 29, 2026; checked July 30, 2026</w:t>
            </w:r>
          </w:p>
        </w:tc>
        <w:tc>
          <w:tcPr>
            <w:tcW w:w="1468" w:type="dxa"/>
          </w:tcPr>
          <w:p w14:paraId="5AC52806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National regulator</w:t>
            </w:r>
          </w:p>
        </w:tc>
        <w:tc>
          <w:tcPr>
            <w:tcW w:w="1238" w:type="dxa"/>
          </w:tcPr>
          <w:p w14:paraId="589D5B80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Device-classification guidance</w:t>
            </w:r>
          </w:p>
        </w:tc>
        <w:tc>
          <w:tcPr>
            <w:tcW w:w="1742" w:type="dxa"/>
          </w:tcPr>
          <w:p w14:paraId="27CC17DE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Manufacturers, regulators, implementers</w:t>
            </w:r>
          </w:p>
        </w:tc>
      </w:tr>
    </w:tbl>
    <w:p w14:paraId="6324006A" w14:textId="77777777" w:rsidR="005B337B" w:rsidRDefault="005B337B">
      <w:pPr>
        <w:pStyle w:val="Heading1"/>
      </w:pPr>
    </w:p>
    <w:p w14:paraId="7730D9B7" w14:textId="77777777" w:rsidR="006E13F4" w:rsidRDefault="00000000">
      <w:pPr>
        <w:pStyle w:val="Heading1"/>
      </w:pPr>
      <w:r>
        <w:t>B. Coverage-Based Sampling Rationale</w:t>
      </w:r>
    </w:p>
    <w:tbl>
      <w:tblPr>
        <w:tblStyle w:val="TableGrid"/>
        <w:tblW w:w="10167" w:type="dxa"/>
        <w:jc w:val="center"/>
        <w:tblLayout w:type="fixed"/>
        <w:tblLook w:val="04A0" w:firstRow="1" w:lastRow="0" w:firstColumn="1" w:lastColumn="0" w:noHBand="0" w:noVBand="1"/>
      </w:tblPr>
      <w:tblGrid>
        <w:gridCol w:w="3389"/>
        <w:gridCol w:w="3389"/>
        <w:gridCol w:w="3389"/>
      </w:tblGrid>
      <w:tr w:rsidR="006E13F4" w14:paraId="1D5C7ECA" w14:textId="77777777">
        <w:trPr>
          <w:cantSplit/>
          <w:tblHeader/>
          <w:jc w:val="center"/>
        </w:trPr>
        <w:tc>
          <w:tcPr>
            <w:tcW w:w="3389" w:type="dxa"/>
          </w:tcPr>
          <w:p w14:paraId="281D414F" w14:textId="77777777" w:rsidR="006E13F4" w:rsidRDefault="00000000">
            <w:pPr>
              <w:spacing w:after="0" w:line="240" w:lineRule="auto"/>
              <w:jc w:val="left"/>
            </w:pPr>
            <w:r>
              <w:rPr>
                <w:b/>
                <w:sz w:val="18"/>
              </w:rPr>
              <w:t>Sampling Dimension</w:t>
            </w:r>
          </w:p>
        </w:tc>
        <w:tc>
          <w:tcPr>
            <w:tcW w:w="3389" w:type="dxa"/>
          </w:tcPr>
          <w:p w14:paraId="055F490C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b/>
                <w:sz w:val="18"/>
              </w:rPr>
              <w:t>Coverage Achieved</w:t>
            </w:r>
          </w:p>
        </w:tc>
        <w:tc>
          <w:tcPr>
            <w:tcW w:w="3389" w:type="dxa"/>
          </w:tcPr>
          <w:p w14:paraId="33820091" w14:textId="77777777" w:rsidR="006E13F4" w:rsidRDefault="00000000">
            <w:pPr>
              <w:spacing w:after="0" w:line="240" w:lineRule="auto"/>
              <w:jc w:val="left"/>
            </w:pPr>
            <w:r>
              <w:rPr>
                <w:b/>
                <w:sz w:val="18"/>
              </w:rPr>
              <w:t>Evidence</w:t>
            </w:r>
          </w:p>
        </w:tc>
      </w:tr>
      <w:tr w:rsidR="006E13F4" w14:paraId="08F6BCF6" w14:textId="77777777">
        <w:trPr>
          <w:cantSplit/>
          <w:jc w:val="center"/>
        </w:trPr>
        <w:tc>
          <w:tcPr>
            <w:tcW w:w="3389" w:type="dxa"/>
          </w:tcPr>
          <w:p w14:paraId="0078C322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Governance level</w:t>
            </w:r>
          </w:p>
        </w:tc>
        <w:tc>
          <w:tcPr>
            <w:tcW w:w="3389" w:type="dxa"/>
          </w:tcPr>
          <w:p w14:paraId="33E2A839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8"/>
              </w:rPr>
              <w:t>International, regional, national government, national health system, national safety body, regulator</w:t>
            </w:r>
          </w:p>
        </w:tc>
        <w:tc>
          <w:tcPr>
            <w:tcW w:w="3389" w:type="dxa"/>
          </w:tcPr>
          <w:p w14:paraId="195C6761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D1-D10</w:t>
            </w:r>
          </w:p>
        </w:tc>
      </w:tr>
      <w:tr w:rsidR="006E13F4" w14:paraId="00B0AD05" w14:textId="77777777">
        <w:trPr>
          <w:cantSplit/>
          <w:jc w:val="center"/>
        </w:trPr>
        <w:tc>
          <w:tcPr>
            <w:tcW w:w="3389" w:type="dxa"/>
          </w:tcPr>
          <w:p w14:paraId="7CBBD47C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Documentary function</w:t>
            </w:r>
          </w:p>
        </w:tc>
        <w:tc>
          <w:tcPr>
            <w:tcW w:w="3389" w:type="dxa"/>
          </w:tcPr>
          <w:p w14:paraId="4CD39A8F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8"/>
              </w:rPr>
              <w:t>Ethics, readiness, deployment, strategy, implementation, information governance, clinical safety, applied scenario, regulation, classification</w:t>
            </w:r>
          </w:p>
        </w:tc>
        <w:tc>
          <w:tcPr>
            <w:tcW w:w="3389" w:type="dxa"/>
          </w:tcPr>
          <w:p w14:paraId="6CDD4BC5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D1-D10</w:t>
            </w:r>
          </w:p>
        </w:tc>
      </w:tr>
      <w:tr w:rsidR="006E13F4" w14:paraId="1617633A" w14:textId="77777777">
        <w:trPr>
          <w:cantSplit/>
          <w:jc w:val="center"/>
        </w:trPr>
        <w:tc>
          <w:tcPr>
            <w:tcW w:w="3389" w:type="dxa"/>
          </w:tcPr>
          <w:p w14:paraId="14EA5463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lastRenderedPageBreak/>
              <w:t>Audience</w:t>
            </w:r>
          </w:p>
        </w:tc>
        <w:tc>
          <w:tcPr>
            <w:tcW w:w="3389" w:type="dxa"/>
          </w:tcPr>
          <w:p w14:paraId="7CB41CF3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8"/>
              </w:rPr>
              <w:t>Policy makers, executives, technical teams, professionals, patients, suppliers, regulators</w:t>
            </w:r>
          </w:p>
        </w:tc>
        <w:tc>
          <w:tcPr>
            <w:tcW w:w="3389" w:type="dxa"/>
          </w:tcPr>
          <w:p w14:paraId="24C78A75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D1-D10</w:t>
            </w:r>
          </w:p>
        </w:tc>
      </w:tr>
      <w:tr w:rsidR="006E13F4" w14:paraId="2512E973" w14:textId="77777777">
        <w:trPr>
          <w:cantSplit/>
          <w:jc w:val="center"/>
        </w:trPr>
        <w:tc>
          <w:tcPr>
            <w:tcW w:w="3389" w:type="dxa"/>
          </w:tcPr>
          <w:p w14:paraId="1A466ECE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Application breadth</w:t>
            </w:r>
          </w:p>
        </w:tc>
        <w:tc>
          <w:tcPr>
            <w:tcW w:w="3389" w:type="dxa"/>
          </w:tcPr>
          <w:p w14:paraId="1B159A4C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8"/>
              </w:rPr>
              <w:t>General AI and generative AI, large multimodal models, ambient documentation, regulatory risk classification</w:t>
            </w:r>
          </w:p>
        </w:tc>
        <w:tc>
          <w:tcPr>
            <w:tcW w:w="3389" w:type="dxa"/>
          </w:tcPr>
          <w:p w14:paraId="26CD17B3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D1-D10</w:t>
            </w:r>
          </w:p>
        </w:tc>
      </w:tr>
      <w:tr w:rsidR="006E13F4" w14:paraId="44B27D21" w14:textId="77777777">
        <w:trPr>
          <w:cantSplit/>
          <w:jc w:val="center"/>
        </w:trPr>
        <w:tc>
          <w:tcPr>
            <w:tcW w:w="3389" w:type="dxa"/>
          </w:tcPr>
          <w:p w14:paraId="619295D3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Stopping rule</w:t>
            </w:r>
          </w:p>
        </w:tc>
        <w:tc>
          <w:tcPr>
            <w:tcW w:w="3389" w:type="dxa"/>
          </w:tcPr>
          <w:p w14:paraId="4F8AB092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8"/>
              </w:rPr>
              <w:t>Sampling stopped after all planned categories were represented and additional pages duplicated, superseded, or lacked a distinct analytical role</w:t>
            </w:r>
          </w:p>
        </w:tc>
        <w:tc>
          <w:tcPr>
            <w:tcW w:w="3389" w:type="dxa"/>
          </w:tcPr>
          <w:p w14:paraId="16A4A09E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Documented decision trail</w:t>
            </w:r>
          </w:p>
        </w:tc>
      </w:tr>
    </w:tbl>
    <w:p w14:paraId="0E772984" w14:textId="77777777" w:rsidR="005B337B" w:rsidRDefault="005B337B">
      <w:pPr>
        <w:pStyle w:val="Heading1"/>
      </w:pPr>
    </w:p>
    <w:p w14:paraId="0C806E38" w14:textId="77777777" w:rsidR="006E13F4" w:rsidRDefault="00000000">
      <w:pPr>
        <w:pStyle w:val="Heading1"/>
      </w:pPr>
      <w:r>
        <w:t>C. Analytical Codebook</w:t>
      </w:r>
    </w:p>
    <w:tbl>
      <w:tblPr>
        <w:tblStyle w:val="TableGrid"/>
        <w:tblW w:w="10166" w:type="dxa"/>
        <w:jc w:val="center"/>
        <w:tblLayout w:type="fixed"/>
        <w:tblLook w:val="04A0" w:firstRow="1" w:lastRow="0" w:firstColumn="1" w:lastColumn="0" w:noHBand="0" w:noVBand="1"/>
      </w:tblPr>
      <w:tblGrid>
        <w:gridCol w:w="5083"/>
        <w:gridCol w:w="5083"/>
      </w:tblGrid>
      <w:tr w:rsidR="006E13F4" w14:paraId="6188B30E" w14:textId="77777777">
        <w:trPr>
          <w:cantSplit/>
          <w:tblHeader/>
          <w:jc w:val="center"/>
        </w:trPr>
        <w:tc>
          <w:tcPr>
            <w:tcW w:w="5083" w:type="dxa"/>
          </w:tcPr>
          <w:p w14:paraId="361115D6" w14:textId="77777777" w:rsidR="006E13F4" w:rsidRDefault="00000000">
            <w:pPr>
              <w:spacing w:after="0" w:line="240" w:lineRule="auto"/>
              <w:jc w:val="left"/>
            </w:pPr>
            <w:r>
              <w:rPr>
                <w:b/>
                <w:sz w:val="18"/>
              </w:rPr>
              <w:t>Code Family</w:t>
            </w:r>
          </w:p>
        </w:tc>
        <w:tc>
          <w:tcPr>
            <w:tcW w:w="5083" w:type="dxa"/>
          </w:tcPr>
          <w:p w14:paraId="487F951F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b/>
                <w:sz w:val="18"/>
              </w:rPr>
              <w:t>Operational Definition</w:t>
            </w:r>
          </w:p>
        </w:tc>
      </w:tr>
      <w:tr w:rsidR="006E13F4" w14:paraId="6AC5EF68" w14:textId="77777777">
        <w:trPr>
          <w:cantSplit/>
          <w:jc w:val="center"/>
        </w:trPr>
        <w:tc>
          <w:tcPr>
            <w:tcW w:w="5083" w:type="dxa"/>
          </w:tcPr>
          <w:p w14:paraId="544A1666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Technology and data</w:t>
            </w:r>
          </w:p>
        </w:tc>
        <w:tc>
          <w:tcPr>
            <w:tcW w:w="5083" w:type="dxa"/>
          </w:tcPr>
          <w:p w14:paraId="394A19A0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8"/>
              </w:rPr>
              <w:t>Capability, hallucination, omission, bias, data quality, interoperability, cybersecurity, model or prompt updates, and change control</w:t>
            </w:r>
          </w:p>
        </w:tc>
      </w:tr>
      <w:tr w:rsidR="006E13F4" w14:paraId="3D43B1DD" w14:textId="77777777">
        <w:trPr>
          <w:cantSplit/>
          <w:jc w:val="center"/>
        </w:trPr>
        <w:tc>
          <w:tcPr>
            <w:tcW w:w="5083" w:type="dxa"/>
          </w:tcPr>
          <w:p w14:paraId="467E5248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Professional work and work environment</w:t>
            </w:r>
          </w:p>
        </w:tc>
        <w:tc>
          <w:tcPr>
            <w:tcW w:w="5083" w:type="dxa"/>
          </w:tcPr>
          <w:p w14:paraId="77276467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8"/>
              </w:rPr>
              <w:t>Documentation, workload, verification, cognitive demand, autonomy, competence, judgement, accountability, psychosocial conditions, and wellbeing</w:t>
            </w:r>
          </w:p>
        </w:tc>
      </w:tr>
      <w:tr w:rsidR="006E13F4" w14:paraId="7847D96E" w14:textId="77777777">
        <w:trPr>
          <w:cantSplit/>
          <w:jc w:val="center"/>
        </w:trPr>
        <w:tc>
          <w:tcPr>
            <w:tcW w:w="5083" w:type="dxa"/>
          </w:tcPr>
          <w:p w14:paraId="690B3B3B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Organization and governance</w:t>
            </w:r>
          </w:p>
        </w:tc>
        <w:tc>
          <w:tcPr>
            <w:tcW w:w="5083" w:type="dxa"/>
          </w:tcPr>
          <w:p w14:paraId="6EEC3F5E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8"/>
              </w:rPr>
              <w:t>Leadership, ownership, procurement, workflow redesign, safety, privacy, training, incident management, supplier relations, monitoring, suspension, and withdrawal</w:t>
            </w:r>
          </w:p>
        </w:tc>
      </w:tr>
      <w:tr w:rsidR="006E13F4" w14:paraId="18DD3DD2" w14:textId="77777777">
        <w:trPr>
          <w:cantSplit/>
          <w:jc w:val="center"/>
        </w:trPr>
        <w:tc>
          <w:tcPr>
            <w:tcW w:w="5083" w:type="dxa"/>
          </w:tcPr>
          <w:p w14:paraId="776D3A88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Patient agency and equity</w:t>
            </w:r>
          </w:p>
        </w:tc>
        <w:tc>
          <w:tcPr>
            <w:tcW w:w="5083" w:type="dxa"/>
          </w:tcPr>
          <w:p w14:paraId="346B7110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8"/>
              </w:rPr>
              <w:t>Information, consent, objection, privacy, accessibility, representation, discrimination, acceptability, participation, and alternatives</w:t>
            </w:r>
          </w:p>
        </w:tc>
      </w:tr>
      <w:tr w:rsidR="006E13F4" w14:paraId="2B012ACA" w14:textId="77777777">
        <w:trPr>
          <w:cantSplit/>
          <w:jc w:val="center"/>
        </w:trPr>
        <w:tc>
          <w:tcPr>
            <w:tcW w:w="5083" w:type="dxa"/>
          </w:tcPr>
          <w:p w14:paraId="7A994DF1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Service delivery</w:t>
            </w:r>
          </w:p>
        </w:tc>
        <w:tc>
          <w:tcPr>
            <w:tcW w:w="5083" w:type="dxa"/>
          </w:tcPr>
          <w:p w14:paraId="665020A4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8"/>
              </w:rPr>
              <w:t>Access, efficiency, continuity, quality, safety, patient experience, cost, scalability, and downstream effects</w:t>
            </w:r>
          </w:p>
        </w:tc>
      </w:tr>
      <w:tr w:rsidR="006E13F4" w14:paraId="1FB9E62D" w14:textId="77777777">
        <w:trPr>
          <w:cantSplit/>
          <w:jc w:val="center"/>
        </w:trPr>
        <w:tc>
          <w:tcPr>
            <w:tcW w:w="5083" w:type="dxa"/>
          </w:tcPr>
          <w:p w14:paraId="66D360D8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Lifecycle change</w:t>
            </w:r>
          </w:p>
        </w:tc>
        <w:tc>
          <w:tcPr>
            <w:tcW w:w="5083" w:type="dxa"/>
          </w:tcPr>
          <w:p w14:paraId="56373A06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8"/>
              </w:rPr>
              <w:t xml:space="preserve">Use-case selection, </w:t>
            </w:r>
            <w:proofErr w:type="spellStart"/>
            <w:r>
              <w:rPr>
                <w:sz w:val="18"/>
              </w:rPr>
              <w:t>predeployment</w:t>
            </w:r>
            <w:proofErr w:type="spellEnd"/>
            <w:r>
              <w:rPr>
                <w:sz w:val="18"/>
              </w:rPr>
              <w:t xml:space="preserve"> evaluation, implementation, routine use, incidents, updates, scope expansion, revalidation, and retirement</w:t>
            </w:r>
          </w:p>
        </w:tc>
      </w:tr>
      <w:tr w:rsidR="006E13F4" w14:paraId="6E31843D" w14:textId="77777777">
        <w:trPr>
          <w:cantSplit/>
          <w:jc w:val="center"/>
        </w:trPr>
        <w:tc>
          <w:tcPr>
            <w:tcW w:w="5083" w:type="dxa"/>
          </w:tcPr>
          <w:p w14:paraId="39C018B3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Strength of statement</w:t>
            </w:r>
          </w:p>
        </w:tc>
        <w:tc>
          <w:tcPr>
            <w:tcW w:w="5083" w:type="dxa"/>
          </w:tcPr>
          <w:p w14:paraId="19806864" w14:textId="77777777" w:rsidR="006E13F4" w:rsidRDefault="00000000" w:rsidP="00164A6B">
            <w:pPr>
              <w:spacing w:after="0" w:line="240" w:lineRule="auto"/>
              <w:jc w:val="left"/>
            </w:pPr>
            <w:proofErr w:type="gramStart"/>
            <w:r>
              <w:rPr>
                <w:sz w:val="18"/>
              </w:rPr>
              <w:t>Requirement</w:t>
            </w:r>
            <w:proofErr w:type="gramEnd"/>
            <w:r>
              <w:rPr>
                <w:sz w:val="18"/>
              </w:rPr>
              <w:t xml:space="preserve"> or </w:t>
            </w:r>
            <w:proofErr w:type="gramStart"/>
            <w:r>
              <w:rPr>
                <w:sz w:val="18"/>
              </w:rPr>
              <w:t>obligation</w:t>
            </w:r>
            <w:proofErr w:type="gramEnd"/>
            <w:r>
              <w:rPr>
                <w:sz w:val="18"/>
              </w:rPr>
              <w:t xml:space="preserve">; </w:t>
            </w:r>
            <w:proofErr w:type="gramStart"/>
            <w:r>
              <w:rPr>
                <w:sz w:val="18"/>
              </w:rPr>
              <w:t>recommendation</w:t>
            </w:r>
            <w:proofErr w:type="gramEnd"/>
            <w:r>
              <w:rPr>
                <w:sz w:val="18"/>
              </w:rPr>
              <w:t>; possibility; benefit claim; risk claim; evidence qualification; explicit uncertainty</w:t>
            </w:r>
          </w:p>
        </w:tc>
      </w:tr>
      <w:tr w:rsidR="006E13F4" w14:paraId="2D03845C" w14:textId="77777777">
        <w:trPr>
          <w:cantSplit/>
          <w:jc w:val="center"/>
        </w:trPr>
        <w:tc>
          <w:tcPr>
            <w:tcW w:w="5083" w:type="dxa"/>
          </w:tcPr>
          <w:p w14:paraId="7CAB1609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Negative or qualifying case</w:t>
            </w:r>
          </w:p>
        </w:tc>
        <w:tc>
          <w:tcPr>
            <w:tcW w:w="5083" w:type="dxa"/>
          </w:tcPr>
          <w:p w14:paraId="4A795D77" w14:textId="77777777" w:rsidR="006E13F4" w:rsidRDefault="00000000" w:rsidP="00164A6B">
            <w:pPr>
              <w:spacing w:after="0" w:line="240" w:lineRule="auto"/>
              <w:jc w:val="left"/>
            </w:pPr>
            <w:r>
              <w:rPr>
                <w:sz w:val="18"/>
              </w:rPr>
              <w:t>Passage that contradicts, limits, conditions, or exposes a trade-off in a dominant benefit or implementation claim</w:t>
            </w:r>
          </w:p>
        </w:tc>
      </w:tr>
    </w:tbl>
    <w:p w14:paraId="7AF98700" w14:textId="77777777" w:rsidR="005B337B" w:rsidRDefault="005B337B">
      <w:pPr>
        <w:pStyle w:val="Heading1"/>
      </w:pPr>
    </w:p>
    <w:p w14:paraId="51BCF313" w14:textId="77777777" w:rsidR="006E13F4" w:rsidRDefault="00000000">
      <w:pPr>
        <w:pStyle w:val="Heading1"/>
      </w:pPr>
      <w:r>
        <w:t>D. Theme-by-Document Evidence Map</w:t>
      </w:r>
    </w:p>
    <w:tbl>
      <w:tblPr>
        <w:tblStyle w:val="TableGrid"/>
        <w:tblW w:w="10165" w:type="dxa"/>
        <w:jc w:val="center"/>
        <w:tblLayout w:type="fixed"/>
        <w:tblLook w:val="04A0" w:firstRow="1" w:lastRow="0" w:firstColumn="1" w:lastColumn="0" w:noHBand="0" w:noVBand="1"/>
      </w:tblPr>
      <w:tblGrid>
        <w:gridCol w:w="2033"/>
        <w:gridCol w:w="1095"/>
        <w:gridCol w:w="2971"/>
        <w:gridCol w:w="2033"/>
        <w:gridCol w:w="2033"/>
      </w:tblGrid>
      <w:tr w:rsidR="006E13F4" w14:paraId="7AB3F191" w14:textId="77777777" w:rsidTr="00F55F1D">
        <w:trPr>
          <w:cantSplit/>
          <w:tblHeader/>
          <w:jc w:val="center"/>
        </w:trPr>
        <w:tc>
          <w:tcPr>
            <w:tcW w:w="2033" w:type="dxa"/>
          </w:tcPr>
          <w:p w14:paraId="58C60547" w14:textId="77777777" w:rsidR="006E13F4" w:rsidRDefault="00000000">
            <w:pPr>
              <w:spacing w:after="0" w:line="240" w:lineRule="auto"/>
              <w:jc w:val="left"/>
            </w:pPr>
            <w:r>
              <w:rPr>
                <w:b/>
                <w:sz w:val="16"/>
              </w:rPr>
              <w:t>Theme</w:t>
            </w:r>
          </w:p>
        </w:tc>
        <w:tc>
          <w:tcPr>
            <w:tcW w:w="1095" w:type="dxa"/>
          </w:tcPr>
          <w:p w14:paraId="3FC56BC8" w14:textId="77777777" w:rsidR="006E13F4" w:rsidRDefault="00000000">
            <w:pPr>
              <w:spacing w:after="0" w:line="240" w:lineRule="auto"/>
              <w:jc w:val="left"/>
            </w:pPr>
            <w:r>
              <w:rPr>
                <w:b/>
                <w:sz w:val="16"/>
              </w:rPr>
              <w:t>Document</w:t>
            </w:r>
          </w:p>
        </w:tc>
        <w:tc>
          <w:tcPr>
            <w:tcW w:w="2971" w:type="dxa"/>
          </w:tcPr>
          <w:p w14:paraId="13C49C38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Source Evidence and Exact Locator (Paraphrased Unless Quoted in Main Text)</w:t>
            </w:r>
          </w:p>
        </w:tc>
        <w:tc>
          <w:tcPr>
            <w:tcW w:w="2033" w:type="dxa"/>
          </w:tcPr>
          <w:p w14:paraId="78A9CB89" w14:textId="77777777" w:rsidR="006E13F4" w:rsidRDefault="00000000">
            <w:pPr>
              <w:spacing w:after="0" w:line="240" w:lineRule="auto"/>
              <w:jc w:val="left"/>
            </w:pPr>
            <w:r>
              <w:rPr>
                <w:b/>
                <w:sz w:val="16"/>
              </w:rPr>
              <w:t>Statement Type</w:t>
            </w:r>
          </w:p>
        </w:tc>
        <w:tc>
          <w:tcPr>
            <w:tcW w:w="2033" w:type="dxa"/>
          </w:tcPr>
          <w:p w14:paraId="24F233A4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b/>
                <w:sz w:val="16"/>
              </w:rPr>
              <w:t>Analytical Interpretation</w:t>
            </w:r>
          </w:p>
        </w:tc>
      </w:tr>
      <w:tr w:rsidR="006E13F4" w14:paraId="587F50D3" w14:textId="77777777" w:rsidTr="00F55F1D">
        <w:trPr>
          <w:cantSplit/>
          <w:jc w:val="center"/>
        </w:trPr>
        <w:tc>
          <w:tcPr>
            <w:tcW w:w="2033" w:type="dxa"/>
          </w:tcPr>
          <w:p w14:paraId="64474375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Conditional augmentation</w:t>
            </w:r>
          </w:p>
        </w:tc>
        <w:tc>
          <w:tcPr>
            <w:tcW w:w="1095" w:type="dxa"/>
          </w:tcPr>
          <w:p w14:paraId="1CF3BC0B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D1</w:t>
            </w:r>
          </w:p>
        </w:tc>
        <w:tc>
          <w:tcPr>
            <w:tcW w:w="2971" w:type="dxa"/>
          </w:tcPr>
          <w:p w14:paraId="4D81B1FC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Use is bounded to well-defined tasks with context-appropriate accuracy and reliability</w:t>
            </w:r>
            <w:r>
              <w:rPr>
                <w:sz w:val="16"/>
              </w:rPr>
              <w:br/>
            </w:r>
            <w:r>
              <w:rPr>
                <w:b/>
                <w:sz w:val="16"/>
              </w:rPr>
              <w:t xml:space="preserve">Locator: </w:t>
            </w:r>
            <w:r>
              <w:rPr>
                <w:sz w:val="16"/>
              </w:rPr>
              <w:t>p. 38, section 4.2, paragraph beginning "The original WHO guidance also recommended..."</w:t>
            </w:r>
          </w:p>
        </w:tc>
        <w:tc>
          <w:tcPr>
            <w:tcW w:w="2033" w:type="dxa"/>
          </w:tcPr>
          <w:p w14:paraId="0395EF09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Qualification</w:t>
            </w:r>
          </w:p>
        </w:tc>
        <w:tc>
          <w:tcPr>
            <w:tcW w:w="2033" w:type="dxa"/>
          </w:tcPr>
          <w:p w14:paraId="29FFE19F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General model capability does not establish local fitness</w:t>
            </w:r>
          </w:p>
        </w:tc>
      </w:tr>
      <w:tr w:rsidR="006E13F4" w14:paraId="0D015C28" w14:textId="77777777" w:rsidTr="00F55F1D">
        <w:trPr>
          <w:cantSplit/>
          <w:jc w:val="center"/>
        </w:trPr>
        <w:tc>
          <w:tcPr>
            <w:tcW w:w="2033" w:type="dxa"/>
          </w:tcPr>
          <w:p w14:paraId="274C941B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Conditional augmentation</w:t>
            </w:r>
          </w:p>
        </w:tc>
        <w:tc>
          <w:tcPr>
            <w:tcW w:w="1095" w:type="dxa"/>
          </w:tcPr>
          <w:p w14:paraId="3FDAA766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D3</w:t>
            </w:r>
          </w:p>
        </w:tc>
        <w:tc>
          <w:tcPr>
            <w:tcW w:w="2971" w:type="dxa"/>
          </w:tcPr>
          <w:p w14:paraId="4254DADB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Deployment depends on interacting technological, legal, organizational, economic, social, and cultural conditions</w:t>
            </w:r>
            <w:r>
              <w:rPr>
                <w:sz w:val="16"/>
              </w:rPr>
              <w:br/>
            </w:r>
            <w:r>
              <w:rPr>
                <w:b/>
                <w:sz w:val="16"/>
              </w:rPr>
              <w:t xml:space="preserve">Locator: </w:t>
            </w:r>
            <w:r>
              <w:rPr>
                <w:sz w:val="16"/>
              </w:rPr>
              <w:t>p. 1, Abstract; pp. 47-94, section 7, "Challenges and accelerators to AI deployment and use in healthcare," especially sections 7.1-7.4</w:t>
            </w:r>
          </w:p>
        </w:tc>
        <w:tc>
          <w:tcPr>
            <w:tcW w:w="2033" w:type="dxa"/>
          </w:tcPr>
          <w:p w14:paraId="4C5CE57D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Deployment evidence</w:t>
            </w:r>
          </w:p>
        </w:tc>
        <w:tc>
          <w:tcPr>
            <w:tcW w:w="2033" w:type="dxa"/>
          </w:tcPr>
          <w:p w14:paraId="22DCD5C3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Value is a property of the configured service</w:t>
            </w:r>
          </w:p>
        </w:tc>
      </w:tr>
      <w:tr w:rsidR="006E13F4" w14:paraId="68E703BC" w14:textId="77777777" w:rsidTr="00F55F1D">
        <w:trPr>
          <w:cantSplit/>
          <w:jc w:val="center"/>
        </w:trPr>
        <w:tc>
          <w:tcPr>
            <w:tcW w:w="2033" w:type="dxa"/>
          </w:tcPr>
          <w:p w14:paraId="0839147F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Conditional augmentation</w:t>
            </w:r>
          </w:p>
        </w:tc>
        <w:tc>
          <w:tcPr>
            <w:tcW w:w="1095" w:type="dxa"/>
          </w:tcPr>
          <w:p w14:paraId="10D3F4D3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D4</w:t>
            </w:r>
          </w:p>
        </w:tc>
        <w:tc>
          <w:tcPr>
            <w:tcW w:w="2971" w:type="dxa"/>
          </w:tcPr>
          <w:p w14:paraId="2E640E55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Ambient documentation is expected to reduce manual entry and burden</w:t>
            </w:r>
            <w:r>
              <w:rPr>
                <w:sz w:val="16"/>
              </w:rPr>
              <w:br/>
            </w:r>
            <w:r>
              <w:rPr>
                <w:b/>
                <w:sz w:val="16"/>
              </w:rPr>
              <w:t xml:space="preserve">Locator: </w:t>
            </w:r>
            <w:r>
              <w:rPr>
                <w:sz w:val="16"/>
              </w:rPr>
              <w:t>web section "Benefits of ambient scribing products," subsection 1, "Enhanced clinical efficiency and workflow," first bullet</w:t>
            </w:r>
          </w:p>
        </w:tc>
        <w:tc>
          <w:tcPr>
            <w:tcW w:w="2033" w:type="dxa"/>
          </w:tcPr>
          <w:p w14:paraId="4F8697E3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Benefit claim</w:t>
            </w:r>
          </w:p>
        </w:tc>
        <w:tc>
          <w:tcPr>
            <w:tcW w:w="2033" w:type="dxa"/>
          </w:tcPr>
          <w:p w14:paraId="797DC477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Strategic expectation requires local evaluation</w:t>
            </w:r>
          </w:p>
        </w:tc>
      </w:tr>
      <w:tr w:rsidR="006E13F4" w14:paraId="230AA487" w14:textId="77777777" w:rsidTr="00F55F1D">
        <w:trPr>
          <w:cantSplit/>
          <w:jc w:val="center"/>
        </w:trPr>
        <w:tc>
          <w:tcPr>
            <w:tcW w:w="2033" w:type="dxa"/>
          </w:tcPr>
          <w:p w14:paraId="018742E7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lastRenderedPageBreak/>
              <w:t>Conditional augmentation</w:t>
            </w:r>
          </w:p>
        </w:tc>
        <w:tc>
          <w:tcPr>
            <w:tcW w:w="1095" w:type="dxa"/>
          </w:tcPr>
          <w:p w14:paraId="3D1E5835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D5</w:t>
            </w:r>
          </w:p>
        </w:tc>
        <w:tc>
          <w:tcPr>
            <w:tcW w:w="2971" w:type="dxa"/>
          </w:tcPr>
          <w:p w14:paraId="502ABD40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Piloting, real-world evidence, integration, safety assurance, and monitoring are required</w:t>
            </w:r>
            <w:r>
              <w:rPr>
                <w:sz w:val="16"/>
              </w:rPr>
              <w:br/>
            </w:r>
            <w:r>
              <w:rPr>
                <w:b/>
                <w:sz w:val="16"/>
              </w:rPr>
              <w:t xml:space="preserve">Locator: </w:t>
            </w:r>
            <w:r>
              <w:rPr>
                <w:sz w:val="16"/>
              </w:rPr>
              <w:t>web sections 1.1-1.5, "Quick implementation guide," and section 3.8, "Performance evaluation and monitoring"</w:t>
            </w:r>
          </w:p>
        </w:tc>
        <w:tc>
          <w:tcPr>
            <w:tcW w:w="2033" w:type="dxa"/>
          </w:tcPr>
          <w:p w14:paraId="12AB16F2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Operational requirement</w:t>
            </w:r>
          </w:p>
        </w:tc>
        <w:tc>
          <w:tcPr>
            <w:tcW w:w="2033" w:type="dxa"/>
          </w:tcPr>
          <w:p w14:paraId="489BFB75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Benefits are contingent on implementation conditions</w:t>
            </w:r>
          </w:p>
        </w:tc>
      </w:tr>
      <w:tr w:rsidR="006E13F4" w14:paraId="656DC140" w14:textId="77777777" w:rsidTr="00F55F1D">
        <w:trPr>
          <w:cantSplit/>
          <w:jc w:val="center"/>
        </w:trPr>
        <w:tc>
          <w:tcPr>
            <w:tcW w:w="2033" w:type="dxa"/>
          </w:tcPr>
          <w:p w14:paraId="6A568D88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Conditional augmentation</w:t>
            </w:r>
          </w:p>
        </w:tc>
        <w:tc>
          <w:tcPr>
            <w:tcW w:w="1095" w:type="dxa"/>
          </w:tcPr>
          <w:p w14:paraId="158086FB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D9</w:t>
            </w:r>
          </w:p>
        </w:tc>
        <w:tc>
          <w:tcPr>
            <w:tcW w:w="2971" w:type="dxa"/>
          </w:tcPr>
          <w:p w14:paraId="7EC70639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Evidence, consent, bias, regulation, and oversight are described as current policy needs</w:t>
            </w:r>
            <w:r>
              <w:rPr>
                <w:sz w:val="16"/>
              </w:rPr>
              <w:br/>
            </w:r>
            <w:r>
              <w:rPr>
                <w:b/>
                <w:sz w:val="16"/>
              </w:rPr>
              <w:t xml:space="preserve">Locator: </w:t>
            </w:r>
            <w:r>
              <w:rPr>
                <w:sz w:val="16"/>
              </w:rPr>
              <w:t>pp. 5-6, Finding 5, "</w:t>
            </w:r>
            <w:proofErr w:type="spellStart"/>
            <w:r>
              <w:rPr>
                <w:sz w:val="16"/>
              </w:rPr>
              <w:t>Realising</w:t>
            </w:r>
            <w:proofErr w:type="spellEnd"/>
            <w:r>
              <w:rPr>
                <w:sz w:val="16"/>
              </w:rPr>
              <w:t xml:space="preserve"> the benefits," and Key Themes subsections "Bias," "Consent and transparency," "Evidence base," and "Human in the loop"</w:t>
            </w:r>
          </w:p>
        </w:tc>
        <w:tc>
          <w:tcPr>
            <w:tcW w:w="2033" w:type="dxa"/>
          </w:tcPr>
          <w:p w14:paraId="3446BE01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Evidence qualification</w:t>
            </w:r>
          </w:p>
        </w:tc>
        <w:tc>
          <w:tcPr>
            <w:tcW w:w="2033" w:type="dxa"/>
          </w:tcPr>
          <w:p w14:paraId="18F40B9A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Benefit claims remain institutionally conditional</w:t>
            </w:r>
          </w:p>
        </w:tc>
      </w:tr>
      <w:tr w:rsidR="006E13F4" w14:paraId="2C8DC82D" w14:textId="77777777" w:rsidTr="00F55F1D">
        <w:trPr>
          <w:cantSplit/>
          <w:jc w:val="center"/>
        </w:trPr>
        <w:tc>
          <w:tcPr>
            <w:tcW w:w="2033" w:type="dxa"/>
          </w:tcPr>
          <w:p w14:paraId="3E9B97D5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Verification-work paradox</w:t>
            </w:r>
          </w:p>
        </w:tc>
        <w:tc>
          <w:tcPr>
            <w:tcW w:w="1095" w:type="dxa"/>
          </w:tcPr>
          <w:p w14:paraId="721C8936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D5</w:t>
            </w:r>
          </w:p>
        </w:tc>
        <w:tc>
          <w:tcPr>
            <w:tcW w:w="2971" w:type="dxa"/>
          </w:tcPr>
          <w:p w14:paraId="4BC8DDB8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Users must review and approve outputs before further action</w:t>
            </w:r>
            <w:r>
              <w:rPr>
                <w:sz w:val="16"/>
              </w:rPr>
              <w:br/>
            </w:r>
            <w:r>
              <w:rPr>
                <w:b/>
                <w:sz w:val="16"/>
              </w:rPr>
              <w:t xml:space="preserve">Locator: </w:t>
            </w:r>
            <w:r>
              <w:rPr>
                <w:sz w:val="16"/>
              </w:rPr>
              <w:t>web section 1.4, "Ensure appropriate controls," bullet requiring users to review and approve outputs before further action</w:t>
            </w:r>
          </w:p>
        </w:tc>
        <w:tc>
          <w:tcPr>
            <w:tcW w:w="2033" w:type="dxa"/>
          </w:tcPr>
          <w:p w14:paraId="73EEB47B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Requirement</w:t>
            </w:r>
          </w:p>
        </w:tc>
        <w:tc>
          <w:tcPr>
            <w:tcW w:w="2033" w:type="dxa"/>
          </w:tcPr>
          <w:p w14:paraId="278ECE51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Verification is professional work</w:t>
            </w:r>
          </w:p>
        </w:tc>
      </w:tr>
      <w:tr w:rsidR="006E13F4" w14:paraId="0BABB2E7" w14:textId="77777777" w:rsidTr="00F55F1D">
        <w:trPr>
          <w:cantSplit/>
          <w:jc w:val="center"/>
        </w:trPr>
        <w:tc>
          <w:tcPr>
            <w:tcW w:w="2033" w:type="dxa"/>
          </w:tcPr>
          <w:p w14:paraId="56453C84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Verification-work paradox</w:t>
            </w:r>
          </w:p>
        </w:tc>
        <w:tc>
          <w:tcPr>
            <w:tcW w:w="1095" w:type="dxa"/>
          </w:tcPr>
          <w:p w14:paraId="392F6972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D6</w:t>
            </w:r>
          </w:p>
        </w:tc>
        <w:tc>
          <w:tcPr>
            <w:tcW w:w="2971" w:type="dxa"/>
          </w:tcPr>
          <w:p w14:paraId="6AED1DEB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Every output requires meaningful accuracy review and correction before record entry</w:t>
            </w:r>
            <w:r>
              <w:rPr>
                <w:sz w:val="16"/>
              </w:rPr>
              <w:br/>
            </w:r>
            <w:r>
              <w:rPr>
                <w:b/>
                <w:sz w:val="16"/>
              </w:rPr>
              <w:t xml:space="preserve">Locator: </w:t>
            </w:r>
            <w:r>
              <w:rPr>
                <w:sz w:val="16"/>
              </w:rPr>
              <w:t>web section "Checking for accuracy," paragraphs 1-3</w:t>
            </w:r>
          </w:p>
        </w:tc>
        <w:tc>
          <w:tcPr>
            <w:tcW w:w="2033" w:type="dxa"/>
          </w:tcPr>
          <w:p w14:paraId="25A1A29B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Requirement</w:t>
            </w:r>
          </w:p>
        </w:tc>
        <w:tc>
          <w:tcPr>
            <w:tcW w:w="2033" w:type="dxa"/>
          </w:tcPr>
          <w:p w14:paraId="44E7CCE1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Draft automation creates checking and correction work</w:t>
            </w:r>
          </w:p>
        </w:tc>
      </w:tr>
      <w:tr w:rsidR="006E13F4" w14:paraId="0D4486BE" w14:textId="77777777" w:rsidTr="00F55F1D">
        <w:trPr>
          <w:cantSplit/>
          <w:jc w:val="center"/>
        </w:trPr>
        <w:tc>
          <w:tcPr>
            <w:tcW w:w="2033" w:type="dxa"/>
          </w:tcPr>
          <w:p w14:paraId="54FAEF41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Verification-work paradox</w:t>
            </w:r>
          </w:p>
        </w:tc>
        <w:tc>
          <w:tcPr>
            <w:tcW w:w="1095" w:type="dxa"/>
          </w:tcPr>
          <w:p w14:paraId="39B97851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D7</w:t>
            </w:r>
          </w:p>
        </w:tc>
        <w:tc>
          <w:tcPr>
            <w:tcW w:w="2971" w:type="dxa"/>
          </w:tcPr>
          <w:p w14:paraId="1B497DE4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Clinicians are directed to assess AI output accuracy and quality</w:t>
            </w:r>
            <w:r>
              <w:rPr>
                <w:sz w:val="16"/>
              </w:rPr>
              <w:br/>
            </w:r>
            <w:r>
              <w:rPr>
                <w:b/>
                <w:sz w:val="16"/>
              </w:rPr>
              <w:t xml:space="preserve">Locator: </w:t>
            </w:r>
            <w:r>
              <w:rPr>
                <w:sz w:val="16"/>
              </w:rPr>
              <w:t>p. 5, section "Review and assess AI outputs"</w:t>
            </w:r>
          </w:p>
        </w:tc>
        <w:tc>
          <w:tcPr>
            <w:tcW w:w="2033" w:type="dxa"/>
          </w:tcPr>
          <w:p w14:paraId="6D6F4BB9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Clinical safety requirement</w:t>
            </w:r>
          </w:p>
        </w:tc>
        <w:tc>
          <w:tcPr>
            <w:tcW w:w="2033" w:type="dxa"/>
          </w:tcPr>
          <w:p w14:paraId="61B8E560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Human review is a core safety control</w:t>
            </w:r>
          </w:p>
        </w:tc>
      </w:tr>
      <w:tr w:rsidR="006E13F4" w14:paraId="79CC22B4" w14:textId="77777777" w:rsidTr="00F55F1D">
        <w:trPr>
          <w:cantSplit/>
          <w:jc w:val="center"/>
        </w:trPr>
        <w:tc>
          <w:tcPr>
            <w:tcW w:w="2033" w:type="dxa"/>
          </w:tcPr>
          <w:p w14:paraId="18F1EBF6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Verification-work paradox</w:t>
            </w:r>
          </w:p>
        </w:tc>
        <w:tc>
          <w:tcPr>
            <w:tcW w:w="1095" w:type="dxa"/>
          </w:tcPr>
          <w:p w14:paraId="13F5F40B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D8</w:t>
            </w:r>
          </w:p>
        </w:tc>
        <w:tc>
          <w:tcPr>
            <w:tcW w:w="2971" w:type="dxa"/>
          </w:tcPr>
          <w:p w14:paraId="5D9FFBE6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The ambient-scribe scenario retains clinician review and authorization</w:t>
            </w:r>
            <w:r>
              <w:rPr>
                <w:sz w:val="16"/>
              </w:rPr>
              <w:br/>
            </w:r>
            <w:r>
              <w:rPr>
                <w:b/>
                <w:sz w:val="16"/>
              </w:rPr>
              <w:t xml:space="preserve">Locator: </w:t>
            </w:r>
            <w:r>
              <w:rPr>
                <w:sz w:val="16"/>
              </w:rPr>
              <w:t>p. 2, sections "Usability and integration" and "Monitoring"</w:t>
            </w:r>
          </w:p>
        </w:tc>
        <w:tc>
          <w:tcPr>
            <w:tcW w:w="2033" w:type="dxa"/>
          </w:tcPr>
          <w:p w14:paraId="5D8F7F58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Applied safety requirement</w:t>
            </w:r>
          </w:p>
        </w:tc>
        <w:tc>
          <w:tcPr>
            <w:tcW w:w="2033" w:type="dxa"/>
          </w:tcPr>
          <w:p w14:paraId="6515362C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Typing is replaced partly by verification and authorization</w:t>
            </w:r>
          </w:p>
        </w:tc>
      </w:tr>
      <w:tr w:rsidR="006E13F4" w14:paraId="6FE9D982" w14:textId="77777777" w:rsidTr="00F55F1D">
        <w:trPr>
          <w:cantSplit/>
          <w:jc w:val="center"/>
        </w:trPr>
        <w:tc>
          <w:tcPr>
            <w:tcW w:w="2033" w:type="dxa"/>
          </w:tcPr>
          <w:p w14:paraId="275C42BC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Verification-work paradox</w:t>
            </w:r>
          </w:p>
        </w:tc>
        <w:tc>
          <w:tcPr>
            <w:tcW w:w="1095" w:type="dxa"/>
          </w:tcPr>
          <w:p w14:paraId="1978FD24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D10</w:t>
            </w:r>
          </w:p>
        </w:tc>
        <w:tc>
          <w:tcPr>
            <w:tcW w:w="2971" w:type="dxa"/>
          </w:tcPr>
          <w:p w14:paraId="5194158F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Classification treats AI processing and outputs that are not easily verifiable as high functionality; the ambient voice technology example generates a summary with suggested diagnoses whose reasoning cannot be reviewed</w:t>
            </w:r>
            <w:r>
              <w:rPr>
                <w:sz w:val="16"/>
              </w:rPr>
              <w:br/>
            </w:r>
            <w:r>
              <w:rPr>
                <w:b/>
                <w:sz w:val="16"/>
              </w:rPr>
              <w:t xml:space="preserve">Locator: </w:t>
            </w:r>
            <w:r>
              <w:rPr>
                <w:sz w:val="16"/>
              </w:rPr>
              <w:t>pp. 18-21, section 6.2.2 and Figure 4/Note 1 on easy verifiability; p. 27, Function 11, "Ambient voice technology product with suggested diagnoses"</w:t>
            </w:r>
          </w:p>
        </w:tc>
        <w:tc>
          <w:tcPr>
            <w:tcW w:w="2033" w:type="dxa"/>
          </w:tcPr>
          <w:p w14:paraId="390BF3BB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Regulatory qualification</w:t>
            </w:r>
          </w:p>
        </w:tc>
        <w:tc>
          <w:tcPr>
            <w:tcW w:w="2033" w:type="dxa"/>
          </w:tcPr>
          <w:p w14:paraId="1A920C2D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Verification complexity affects risk and workload</w:t>
            </w:r>
          </w:p>
        </w:tc>
      </w:tr>
      <w:tr w:rsidR="006E13F4" w14:paraId="34B5A8E3" w14:textId="77777777" w:rsidTr="00F55F1D">
        <w:trPr>
          <w:cantSplit/>
          <w:jc w:val="center"/>
        </w:trPr>
        <w:tc>
          <w:tcPr>
            <w:tcW w:w="2033" w:type="dxa"/>
          </w:tcPr>
          <w:p w14:paraId="794A5525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Accountability compression</w:t>
            </w:r>
          </w:p>
        </w:tc>
        <w:tc>
          <w:tcPr>
            <w:tcW w:w="1095" w:type="dxa"/>
          </w:tcPr>
          <w:p w14:paraId="33B175A3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D1</w:t>
            </w:r>
          </w:p>
        </w:tc>
        <w:tc>
          <w:tcPr>
            <w:tcW w:w="2971" w:type="dxa"/>
          </w:tcPr>
          <w:p w14:paraId="39FAB82B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Lifecycle responsibilities extend across governments, developers, providers, researchers, and civil society</w:t>
            </w:r>
            <w:r>
              <w:rPr>
                <w:sz w:val="16"/>
              </w:rPr>
              <w:br/>
            </w:r>
            <w:r>
              <w:rPr>
                <w:b/>
                <w:sz w:val="16"/>
              </w:rPr>
              <w:t xml:space="preserve">Locator: </w:t>
            </w:r>
            <w:r>
              <w:rPr>
                <w:sz w:val="16"/>
              </w:rPr>
              <w:t>p. viii, Executive summary, paragraph listing responsible stakeholders and principles; pp. 45-60, sections 5-6 on provision and deployment</w:t>
            </w:r>
          </w:p>
        </w:tc>
        <w:tc>
          <w:tcPr>
            <w:tcW w:w="2033" w:type="dxa"/>
          </w:tcPr>
          <w:p w14:paraId="62782E2C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Distributed governance</w:t>
            </w:r>
          </w:p>
        </w:tc>
        <w:tc>
          <w:tcPr>
            <w:tcW w:w="2033" w:type="dxa"/>
          </w:tcPr>
          <w:p w14:paraId="3790450C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Control and responsibility are distributed upstream</w:t>
            </w:r>
          </w:p>
        </w:tc>
      </w:tr>
      <w:tr w:rsidR="006E13F4" w14:paraId="736EFEB9" w14:textId="77777777" w:rsidTr="00F55F1D">
        <w:trPr>
          <w:cantSplit/>
          <w:jc w:val="center"/>
        </w:trPr>
        <w:tc>
          <w:tcPr>
            <w:tcW w:w="2033" w:type="dxa"/>
          </w:tcPr>
          <w:p w14:paraId="381CE9E7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Accountability compression</w:t>
            </w:r>
          </w:p>
        </w:tc>
        <w:tc>
          <w:tcPr>
            <w:tcW w:w="1095" w:type="dxa"/>
          </w:tcPr>
          <w:p w14:paraId="484609CD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D5</w:t>
            </w:r>
          </w:p>
        </w:tc>
        <w:tc>
          <w:tcPr>
            <w:tcW w:w="2971" w:type="dxa"/>
          </w:tcPr>
          <w:p w14:paraId="41F2D0DE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Organizations retain safety, integration, monitoring, contracting, and training duties</w:t>
            </w:r>
            <w:r>
              <w:rPr>
                <w:sz w:val="16"/>
              </w:rPr>
              <w:br/>
            </w:r>
            <w:r>
              <w:rPr>
                <w:b/>
                <w:sz w:val="16"/>
              </w:rPr>
              <w:t xml:space="preserve">Locator: </w:t>
            </w:r>
            <w:r>
              <w:rPr>
                <w:sz w:val="16"/>
              </w:rPr>
              <w:t>web sections 1.1-1.5, "Quick implementation guide," and section 3.10, "Liability"</w:t>
            </w:r>
          </w:p>
        </w:tc>
        <w:tc>
          <w:tcPr>
            <w:tcW w:w="2033" w:type="dxa"/>
          </w:tcPr>
          <w:p w14:paraId="1B43B4DC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Organizational requirement</w:t>
            </w:r>
          </w:p>
        </w:tc>
        <w:tc>
          <w:tcPr>
            <w:tcW w:w="2033" w:type="dxa"/>
          </w:tcPr>
          <w:p w14:paraId="0F7E1818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Frontline authorization does not remove organizational accountability</w:t>
            </w:r>
          </w:p>
        </w:tc>
      </w:tr>
      <w:tr w:rsidR="006E13F4" w14:paraId="18C31D3A" w14:textId="77777777" w:rsidTr="00F55F1D">
        <w:trPr>
          <w:cantSplit/>
          <w:jc w:val="center"/>
        </w:trPr>
        <w:tc>
          <w:tcPr>
            <w:tcW w:w="2033" w:type="dxa"/>
          </w:tcPr>
          <w:p w14:paraId="042EED48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Accountability compression</w:t>
            </w:r>
          </w:p>
        </w:tc>
        <w:tc>
          <w:tcPr>
            <w:tcW w:w="1095" w:type="dxa"/>
          </w:tcPr>
          <w:p w14:paraId="17519031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D6</w:t>
            </w:r>
          </w:p>
        </w:tc>
        <w:tc>
          <w:tcPr>
            <w:tcW w:w="2971" w:type="dxa"/>
          </w:tcPr>
          <w:p w14:paraId="2F1561A6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The professional user is responsible and accountable for record accuracy</w:t>
            </w:r>
            <w:r>
              <w:rPr>
                <w:sz w:val="16"/>
              </w:rPr>
              <w:br/>
            </w:r>
            <w:r>
              <w:rPr>
                <w:b/>
                <w:sz w:val="16"/>
              </w:rPr>
              <w:t xml:space="preserve">Locator: </w:t>
            </w:r>
            <w:r>
              <w:rPr>
                <w:sz w:val="16"/>
              </w:rPr>
              <w:t>web section "Checking for accuracy," paragraph 1</w:t>
            </w:r>
          </w:p>
        </w:tc>
        <w:tc>
          <w:tcPr>
            <w:tcW w:w="2033" w:type="dxa"/>
          </w:tcPr>
          <w:p w14:paraId="624FD978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Professional requirement</w:t>
            </w:r>
          </w:p>
        </w:tc>
        <w:tc>
          <w:tcPr>
            <w:tcW w:w="2033" w:type="dxa"/>
          </w:tcPr>
          <w:p w14:paraId="2C56CB54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Operational authorization is concentrated at the point of care</w:t>
            </w:r>
          </w:p>
        </w:tc>
      </w:tr>
      <w:tr w:rsidR="006E13F4" w14:paraId="7208D29F" w14:textId="77777777" w:rsidTr="00F55F1D">
        <w:trPr>
          <w:cantSplit/>
          <w:jc w:val="center"/>
        </w:trPr>
        <w:tc>
          <w:tcPr>
            <w:tcW w:w="2033" w:type="dxa"/>
          </w:tcPr>
          <w:p w14:paraId="1044E708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Accountability compression</w:t>
            </w:r>
          </w:p>
        </w:tc>
        <w:tc>
          <w:tcPr>
            <w:tcW w:w="1095" w:type="dxa"/>
          </w:tcPr>
          <w:p w14:paraId="3E5FD0C8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D8</w:t>
            </w:r>
          </w:p>
        </w:tc>
        <w:tc>
          <w:tcPr>
            <w:tcW w:w="2971" w:type="dxa"/>
          </w:tcPr>
          <w:p w14:paraId="7CD96F4E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The clinician remains responsible for the final record</w:t>
            </w:r>
            <w:r>
              <w:rPr>
                <w:sz w:val="16"/>
              </w:rPr>
              <w:br/>
            </w:r>
            <w:r>
              <w:rPr>
                <w:b/>
                <w:sz w:val="16"/>
              </w:rPr>
              <w:t xml:space="preserve">Locator: </w:t>
            </w:r>
            <w:r>
              <w:rPr>
                <w:sz w:val="16"/>
              </w:rPr>
              <w:t>p. 2, section "Usability and integration," final-record authorization passage</w:t>
            </w:r>
          </w:p>
        </w:tc>
        <w:tc>
          <w:tcPr>
            <w:tcW w:w="2033" w:type="dxa"/>
          </w:tcPr>
          <w:p w14:paraId="3C8FFDB2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Applied safety requirement</w:t>
            </w:r>
          </w:p>
        </w:tc>
        <w:tc>
          <w:tcPr>
            <w:tcW w:w="2033" w:type="dxa"/>
          </w:tcPr>
          <w:p w14:paraId="7B0460F7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Immediate accountability is compressed toward the professional</w:t>
            </w:r>
          </w:p>
        </w:tc>
      </w:tr>
      <w:tr w:rsidR="006E13F4" w14:paraId="5DF5EE46" w14:textId="77777777" w:rsidTr="00F55F1D">
        <w:trPr>
          <w:cantSplit/>
          <w:jc w:val="center"/>
        </w:trPr>
        <w:tc>
          <w:tcPr>
            <w:tcW w:w="2033" w:type="dxa"/>
          </w:tcPr>
          <w:p w14:paraId="5785175F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lastRenderedPageBreak/>
              <w:t>Organizational lifecycle capability</w:t>
            </w:r>
          </w:p>
        </w:tc>
        <w:tc>
          <w:tcPr>
            <w:tcW w:w="1095" w:type="dxa"/>
          </w:tcPr>
          <w:p w14:paraId="27DE69DC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D2</w:t>
            </w:r>
          </w:p>
        </w:tc>
        <w:tc>
          <w:tcPr>
            <w:tcW w:w="2971" w:type="dxa"/>
          </w:tcPr>
          <w:p w14:paraId="1A8FE84D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Readiness includes strategy, workforce capability, legal and ethical frameworks, data governance, and engagement</w:t>
            </w:r>
            <w:r>
              <w:rPr>
                <w:sz w:val="16"/>
              </w:rPr>
              <w:br/>
            </w:r>
            <w:r>
              <w:rPr>
                <w:b/>
                <w:sz w:val="16"/>
              </w:rPr>
              <w:t xml:space="preserve">Locator: </w:t>
            </w:r>
            <w:r>
              <w:rPr>
                <w:sz w:val="16"/>
              </w:rPr>
              <w:t>p. ix, Executive summary; pp. 8-45, sections 3.1-3.4 on strategy, stakeholder/workforce readiness, legal and ethical structures, and health-data governance</w:t>
            </w:r>
          </w:p>
        </w:tc>
        <w:tc>
          <w:tcPr>
            <w:tcW w:w="2033" w:type="dxa"/>
          </w:tcPr>
          <w:p w14:paraId="1DCFA179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System-readiness evidence</w:t>
            </w:r>
          </w:p>
        </w:tc>
        <w:tc>
          <w:tcPr>
            <w:tcW w:w="2033" w:type="dxa"/>
          </w:tcPr>
          <w:p w14:paraId="41726E15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Responsible adoption requires institutional capacity</w:t>
            </w:r>
          </w:p>
        </w:tc>
      </w:tr>
      <w:tr w:rsidR="006E13F4" w14:paraId="2FD9724A" w14:textId="77777777" w:rsidTr="00F55F1D">
        <w:trPr>
          <w:cantSplit/>
          <w:jc w:val="center"/>
        </w:trPr>
        <w:tc>
          <w:tcPr>
            <w:tcW w:w="2033" w:type="dxa"/>
          </w:tcPr>
          <w:p w14:paraId="3EC2DAAE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Organizational lifecycle capability</w:t>
            </w:r>
          </w:p>
        </w:tc>
        <w:tc>
          <w:tcPr>
            <w:tcW w:w="1095" w:type="dxa"/>
          </w:tcPr>
          <w:p w14:paraId="544C2A97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D3</w:t>
            </w:r>
          </w:p>
        </w:tc>
        <w:tc>
          <w:tcPr>
            <w:tcW w:w="2971" w:type="dxa"/>
          </w:tcPr>
          <w:p w14:paraId="090AB37B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Deployment barriers and accelerators span multiple organizational levels</w:t>
            </w:r>
            <w:r>
              <w:rPr>
                <w:sz w:val="16"/>
              </w:rPr>
              <w:br/>
            </w:r>
            <w:r>
              <w:rPr>
                <w:b/>
                <w:sz w:val="16"/>
              </w:rPr>
              <w:t xml:space="preserve">Locator: </w:t>
            </w:r>
            <w:r>
              <w:rPr>
                <w:sz w:val="16"/>
              </w:rPr>
              <w:t>pp. 47-94, section 7, especially sections 7.1-7.4 on technological/data, legal/regulatory, organizational/business, and social/cultural conditions</w:t>
            </w:r>
          </w:p>
        </w:tc>
        <w:tc>
          <w:tcPr>
            <w:tcW w:w="2033" w:type="dxa"/>
          </w:tcPr>
          <w:p w14:paraId="7A943A3D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Deployment evidence</w:t>
            </w:r>
          </w:p>
        </w:tc>
        <w:tc>
          <w:tcPr>
            <w:tcW w:w="2033" w:type="dxa"/>
          </w:tcPr>
          <w:p w14:paraId="238B3E15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Implementation is a multilevel change process</w:t>
            </w:r>
          </w:p>
        </w:tc>
      </w:tr>
      <w:tr w:rsidR="006E13F4" w14:paraId="771A696C" w14:textId="77777777" w:rsidTr="00F55F1D">
        <w:trPr>
          <w:cantSplit/>
          <w:jc w:val="center"/>
        </w:trPr>
        <w:tc>
          <w:tcPr>
            <w:tcW w:w="2033" w:type="dxa"/>
          </w:tcPr>
          <w:p w14:paraId="44023F60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Organizational lifecycle capability</w:t>
            </w:r>
          </w:p>
        </w:tc>
        <w:tc>
          <w:tcPr>
            <w:tcW w:w="1095" w:type="dxa"/>
          </w:tcPr>
          <w:p w14:paraId="25460C16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D5</w:t>
            </w:r>
          </w:p>
        </w:tc>
        <w:tc>
          <w:tcPr>
            <w:tcW w:w="2971" w:type="dxa"/>
          </w:tcPr>
          <w:p w14:paraId="0B4A630A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Safety cases, hazard logs, integration, training, monitoring, and supplier controls are specified</w:t>
            </w:r>
            <w:r>
              <w:rPr>
                <w:sz w:val="16"/>
              </w:rPr>
              <w:br/>
            </w:r>
            <w:r>
              <w:rPr>
                <w:b/>
                <w:sz w:val="16"/>
              </w:rPr>
              <w:t xml:space="preserve">Locator: </w:t>
            </w:r>
            <w:r>
              <w:rPr>
                <w:sz w:val="16"/>
              </w:rPr>
              <w:t>web sections 1.1-1.5 and sections 3.6, "Clinical safety"; 3.8, "Performance evaluation and monitoring"; and 3.9, "Supplier management"</w:t>
            </w:r>
          </w:p>
        </w:tc>
        <w:tc>
          <w:tcPr>
            <w:tcW w:w="2033" w:type="dxa"/>
          </w:tcPr>
          <w:p w14:paraId="3FC62F34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Operational requirement</w:t>
            </w:r>
          </w:p>
        </w:tc>
        <w:tc>
          <w:tcPr>
            <w:tcW w:w="2033" w:type="dxa"/>
          </w:tcPr>
          <w:p w14:paraId="310DBD0D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Lifecycle capability extends beyond procurement</w:t>
            </w:r>
          </w:p>
        </w:tc>
      </w:tr>
      <w:tr w:rsidR="006E13F4" w14:paraId="3D9BEA49" w14:textId="77777777" w:rsidTr="00F55F1D">
        <w:trPr>
          <w:cantSplit/>
          <w:jc w:val="center"/>
        </w:trPr>
        <w:tc>
          <w:tcPr>
            <w:tcW w:w="2033" w:type="dxa"/>
          </w:tcPr>
          <w:p w14:paraId="4B4B3BEF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Organizational lifecycle capability</w:t>
            </w:r>
          </w:p>
        </w:tc>
        <w:tc>
          <w:tcPr>
            <w:tcW w:w="1095" w:type="dxa"/>
          </w:tcPr>
          <w:p w14:paraId="204728A7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D7</w:t>
            </w:r>
          </w:p>
        </w:tc>
        <w:tc>
          <w:tcPr>
            <w:tcW w:w="2971" w:type="dxa"/>
          </w:tcPr>
          <w:p w14:paraId="64EF4690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Evidence review, monitoring, incident response, and professional competence are required</w:t>
            </w:r>
            <w:r>
              <w:rPr>
                <w:sz w:val="16"/>
              </w:rPr>
              <w:br/>
            </w:r>
            <w:r>
              <w:rPr>
                <w:b/>
                <w:sz w:val="16"/>
              </w:rPr>
              <w:t xml:space="preserve">Locator: </w:t>
            </w:r>
            <w:r>
              <w:rPr>
                <w:sz w:val="16"/>
              </w:rPr>
              <w:t>p. 3, "Critically assess scope of use and the available evidence"; p. 7, "Perform ongoing evaluation and monitoring"</w:t>
            </w:r>
          </w:p>
        </w:tc>
        <w:tc>
          <w:tcPr>
            <w:tcW w:w="2033" w:type="dxa"/>
          </w:tcPr>
          <w:p w14:paraId="4A72EF7C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Clinical safety requirement</w:t>
            </w:r>
          </w:p>
        </w:tc>
        <w:tc>
          <w:tcPr>
            <w:tcW w:w="2033" w:type="dxa"/>
          </w:tcPr>
          <w:p w14:paraId="365A347A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Capability must persist during routine use</w:t>
            </w:r>
          </w:p>
        </w:tc>
      </w:tr>
      <w:tr w:rsidR="006E13F4" w14:paraId="7A36B8CA" w14:textId="77777777" w:rsidTr="00F55F1D">
        <w:trPr>
          <w:cantSplit/>
          <w:jc w:val="center"/>
        </w:trPr>
        <w:tc>
          <w:tcPr>
            <w:tcW w:w="2033" w:type="dxa"/>
          </w:tcPr>
          <w:p w14:paraId="2177D4AE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Patient agency and equity</w:t>
            </w:r>
          </w:p>
        </w:tc>
        <w:tc>
          <w:tcPr>
            <w:tcW w:w="1095" w:type="dxa"/>
          </w:tcPr>
          <w:p w14:paraId="0D26C8BE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D1</w:t>
            </w:r>
          </w:p>
        </w:tc>
        <w:tc>
          <w:tcPr>
            <w:tcW w:w="2971" w:type="dxa"/>
          </w:tcPr>
          <w:p w14:paraId="23EFD6F9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Human autonomy, inclusion, transparency, and accountability are central governance principles</w:t>
            </w:r>
            <w:r>
              <w:rPr>
                <w:sz w:val="16"/>
              </w:rPr>
              <w:br/>
            </w:r>
            <w:r>
              <w:rPr>
                <w:b/>
                <w:sz w:val="16"/>
              </w:rPr>
              <w:t xml:space="preserve">Locator: </w:t>
            </w:r>
            <w:r>
              <w:rPr>
                <w:sz w:val="16"/>
              </w:rPr>
              <w:t>p. 5, Box 1, "Brief overview of WHO consensus ethical principles for use of AI for health"</w:t>
            </w:r>
          </w:p>
        </w:tc>
        <w:tc>
          <w:tcPr>
            <w:tcW w:w="2033" w:type="dxa"/>
          </w:tcPr>
          <w:p w14:paraId="4316DFE7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Ethical requirement</w:t>
            </w:r>
          </w:p>
        </w:tc>
        <w:tc>
          <w:tcPr>
            <w:tcW w:w="2033" w:type="dxa"/>
          </w:tcPr>
          <w:p w14:paraId="5F988BC4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Patient agency is part of responsible use</w:t>
            </w:r>
          </w:p>
        </w:tc>
      </w:tr>
      <w:tr w:rsidR="006E13F4" w14:paraId="413A72DD" w14:textId="77777777" w:rsidTr="00F55F1D">
        <w:trPr>
          <w:cantSplit/>
          <w:jc w:val="center"/>
        </w:trPr>
        <w:tc>
          <w:tcPr>
            <w:tcW w:w="2033" w:type="dxa"/>
          </w:tcPr>
          <w:p w14:paraId="205C0E60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Patient agency and equity</w:t>
            </w:r>
          </w:p>
        </w:tc>
        <w:tc>
          <w:tcPr>
            <w:tcW w:w="1095" w:type="dxa"/>
          </w:tcPr>
          <w:p w14:paraId="06A04F6C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D5</w:t>
            </w:r>
          </w:p>
        </w:tc>
        <w:tc>
          <w:tcPr>
            <w:tcW w:w="2971" w:type="dxa"/>
          </w:tcPr>
          <w:p w14:paraId="4F138DD8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Performance can vary with accents, dialects, second-language use, and speech impairment</w:t>
            </w:r>
            <w:r>
              <w:rPr>
                <w:sz w:val="16"/>
              </w:rPr>
              <w:br/>
            </w:r>
            <w:r>
              <w:rPr>
                <w:b/>
                <w:sz w:val="16"/>
              </w:rPr>
              <w:t xml:space="preserve">Locator: </w:t>
            </w:r>
            <w:r>
              <w:rPr>
                <w:sz w:val="16"/>
              </w:rPr>
              <w:t>web section 3.8, "Performance evaluation and monitoring," bullets on accents, regional dialects, second-language use, and speech disorders or impairments</w:t>
            </w:r>
          </w:p>
        </w:tc>
        <w:tc>
          <w:tcPr>
            <w:tcW w:w="2033" w:type="dxa"/>
          </w:tcPr>
          <w:p w14:paraId="3C35665E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Risk qualification</w:t>
            </w:r>
          </w:p>
        </w:tc>
        <w:tc>
          <w:tcPr>
            <w:tcW w:w="2033" w:type="dxa"/>
          </w:tcPr>
          <w:p w14:paraId="67A50840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Average accuracy can conceal unequal performance</w:t>
            </w:r>
          </w:p>
        </w:tc>
      </w:tr>
      <w:tr w:rsidR="006E13F4" w14:paraId="7709F0D3" w14:textId="77777777" w:rsidTr="00F55F1D">
        <w:trPr>
          <w:cantSplit/>
          <w:jc w:val="center"/>
        </w:trPr>
        <w:tc>
          <w:tcPr>
            <w:tcW w:w="2033" w:type="dxa"/>
          </w:tcPr>
          <w:p w14:paraId="7A556C89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Patient agency and equity</w:t>
            </w:r>
          </w:p>
        </w:tc>
        <w:tc>
          <w:tcPr>
            <w:tcW w:w="1095" w:type="dxa"/>
          </w:tcPr>
          <w:p w14:paraId="3A31C552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D6</w:t>
            </w:r>
          </w:p>
        </w:tc>
        <w:tc>
          <w:tcPr>
            <w:tcW w:w="2971" w:type="dxa"/>
          </w:tcPr>
          <w:p w14:paraId="226BB6E1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Patients must be informed and objections respected; practical alternatives are required</w:t>
            </w:r>
            <w:r>
              <w:rPr>
                <w:sz w:val="16"/>
              </w:rPr>
              <w:br/>
            </w:r>
            <w:r>
              <w:rPr>
                <w:b/>
                <w:sz w:val="16"/>
              </w:rPr>
              <w:t xml:space="preserve">Locator: </w:t>
            </w:r>
            <w:r>
              <w:rPr>
                <w:sz w:val="16"/>
              </w:rPr>
              <w:t>web sections "Being transparent," "When someone objects to the use of ambient scribes," and "Checking for accuracy"</w:t>
            </w:r>
          </w:p>
        </w:tc>
        <w:tc>
          <w:tcPr>
            <w:tcW w:w="2033" w:type="dxa"/>
          </w:tcPr>
          <w:p w14:paraId="19539248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Patient-facing requirement</w:t>
            </w:r>
          </w:p>
        </w:tc>
        <w:tc>
          <w:tcPr>
            <w:tcW w:w="2033" w:type="dxa"/>
          </w:tcPr>
          <w:p w14:paraId="361FA501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Agency requires communication and alternative workflows</w:t>
            </w:r>
          </w:p>
        </w:tc>
      </w:tr>
      <w:tr w:rsidR="006E13F4" w14:paraId="3F02ECEC" w14:textId="77777777" w:rsidTr="00F55F1D">
        <w:trPr>
          <w:cantSplit/>
          <w:jc w:val="center"/>
        </w:trPr>
        <w:tc>
          <w:tcPr>
            <w:tcW w:w="2033" w:type="dxa"/>
          </w:tcPr>
          <w:p w14:paraId="5368CA35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Patient agency and equity</w:t>
            </w:r>
          </w:p>
        </w:tc>
        <w:tc>
          <w:tcPr>
            <w:tcW w:w="1095" w:type="dxa"/>
          </w:tcPr>
          <w:p w14:paraId="76224152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D8</w:t>
            </w:r>
          </w:p>
        </w:tc>
        <w:tc>
          <w:tcPr>
            <w:tcW w:w="2971" w:type="dxa"/>
          </w:tcPr>
          <w:p w14:paraId="1B30E07A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Local population fit, consent, and alternatives are part of the safety scenario</w:t>
            </w:r>
            <w:r>
              <w:rPr>
                <w:sz w:val="16"/>
              </w:rPr>
              <w:br/>
            </w:r>
            <w:r>
              <w:rPr>
                <w:b/>
                <w:sz w:val="16"/>
              </w:rPr>
              <w:t xml:space="preserve">Locator: </w:t>
            </w:r>
            <w:r>
              <w:rPr>
                <w:sz w:val="16"/>
              </w:rPr>
              <w:t>pp. 1-3, sections "Performance and validation," "Establish transparency and informed consent procedures," and "Be satisfied with consent"</w:t>
            </w:r>
          </w:p>
        </w:tc>
        <w:tc>
          <w:tcPr>
            <w:tcW w:w="2033" w:type="dxa"/>
          </w:tcPr>
          <w:p w14:paraId="3D205B32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Applied safety requirement</w:t>
            </w:r>
          </w:p>
        </w:tc>
        <w:tc>
          <w:tcPr>
            <w:tcW w:w="2033" w:type="dxa"/>
          </w:tcPr>
          <w:p w14:paraId="1D5773D1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Equity is a performance and service-design concern</w:t>
            </w:r>
          </w:p>
        </w:tc>
      </w:tr>
      <w:tr w:rsidR="006E13F4" w14:paraId="0B29C18B" w14:textId="77777777" w:rsidTr="00F55F1D">
        <w:trPr>
          <w:cantSplit/>
          <w:jc w:val="center"/>
        </w:trPr>
        <w:tc>
          <w:tcPr>
            <w:tcW w:w="2033" w:type="dxa"/>
          </w:tcPr>
          <w:p w14:paraId="6E47E4F6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Patient agency and equity</w:t>
            </w:r>
          </w:p>
        </w:tc>
        <w:tc>
          <w:tcPr>
            <w:tcW w:w="1095" w:type="dxa"/>
          </w:tcPr>
          <w:p w14:paraId="5727994B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Across corpus</w:t>
            </w:r>
          </w:p>
        </w:tc>
        <w:tc>
          <w:tcPr>
            <w:tcW w:w="2971" w:type="dxa"/>
          </w:tcPr>
          <w:p w14:paraId="2530A9B0" w14:textId="77777777" w:rsidR="00584324" w:rsidRDefault="00000000" w:rsidP="00164A6B">
            <w:pPr>
              <w:spacing w:after="0" w:line="240" w:lineRule="auto"/>
              <w:jc w:val="left"/>
            </w:pPr>
            <w:r>
              <w:rPr>
                <w:sz w:val="16"/>
              </w:rPr>
              <w:t>Co-design and shared outcome definition are less operationalized than disclosure and professional duties</w:t>
            </w:r>
            <w:r>
              <w:rPr>
                <w:sz w:val="16"/>
              </w:rPr>
              <w:br/>
            </w:r>
            <w:r>
              <w:rPr>
                <w:b/>
                <w:sz w:val="16"/>
              </w:rPr>
              <w:t xml:space="preserve">Locator: </w:t>
            </w:r>
            <w:r>
              <w:rPr>
                <w:sz w:val="16"/>
              </w:rPr>
              <w:t>cross-document comparison of D1 and D5-D9; see the disclosure, objection, consent, accessibility, and population-fit locators listed above</w:t>
            </w:r>
          </w:p>
        </w:tc>
        <w:tc>
          <w:tcPr>
            <w:tcW w:w="2033" w:type="dxa"/>
          </w:tcPr>
          <w:p w14:paraId="56EA9DCD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6"/>
              </w:rPr>
              <w:t>Qualifying pattern</w:t>
            </w:r>
          </w:p>
        </w:tc>
        <w:tc>
          <w:tcPr>
            <w:tcW w:w="2033" w:type="dxa"/>
          </w:tcPr>
          <w:p w14:paraId="01B4ABA6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6"/>
              </w:rPr>
              <w:t>Stronger participation is an implementation recommendation</w:t>
            </w:r>
          </w:p>
        </w:tc>
      </w:tr>
    </w:tbl>
    <w:p w14:paraId="5BF2BADA" w14:textId="77777777" w:rsidR="005B337B" w:rsidRDefault="005B337B">
      <w:pPr>
        <w:pStyle w:val="Heading1"/>
      </w:pPr>
    </w:p>
    <w:p w14:paraId="149AB8DB" w14:textId="77777777" w:rsidR="00F25FC8" w:rsidRPr="00F25FC8" w:rsidRDefault="00F25FC8" w:rsidP="00F25FC8"/>
    <w:p w14:paraId="09F7275D" w14:textId="77777777" w:rsidR="006E13F4" w:rsidRDefault="00000000">
      <w:pPr>
        <w:pStyle w:val="Heading1"/>
      </w:pPr>
      <w:r>
        <w:lastRenderedPageBreak/>
        <w:t>E. Negative and Qualifying Cases</w:t>
      </w:r>
    </w:p>
    <w:tbl>
      <w:tblPr>
        <w:tblStyle w:val="TableGrid"/>
        <w:tblW w:w="10164" w:type="dxa"/>
        <w:jc w:val="center"/>
        <w:tblLayout w:type="fixed"/>
        <w:tblLook w:val="04A0" w:firstRow="1" w:lastRow="0" w:firstColumn="1" w:lastColumn="0" w:noHBand="0" w:noVBand="1"/>
      </w:tblPr>
      <w:tblGrid>
        <w:gridCol w:w="2541"/>
        <w:gridCol w:w="2541"/>
        <w:gridCol w:w="2541"/>
        <w:gridCol w:w="2541"/>
      </w:tblGrid>
      <w:tr w:rsidR="006E13F4" w14:paraId="58B0C4D0" w14:textId="77777777">
        <w:trPr>
          <w:cantSplit/>
          <w:tblHeader/>
          <w:jc w:val="center"/>
        </w:trPr>
        <w:tc>
          <w:tcPr>
            <w:tcW w:w="2541" w:type="dxa"/>
          </w:tcPr>
          <w:p w14:paraId="69ADCDBC" w14:textId="77777777" w:rsidR="006E13F4" w:rsidRDefault="00000000">
            <w:pPr>
              <w:spacing w:after="0" w:line="240" w:lineRule="auto"/>
              <w:jc w:val="left"/>
            </w:pPr>
            <w:r>
              <w:rPr>
                <w:b/>
                <w:sz w:val="18"/>
              </w:rPr>
              <w:t>Dominant Claim</w:t>
            </w:r>
          </w:p>
        </w:tc>
        <w:tc>
          <w:tcPr>
            <w:tcW w:w="2541" w:type="dxa"/>
          </w:tcPr>
          <w:p w14:paraId="4BBA92EB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b/>
                <w:sz w:val="18"/>
              </w:rPr>
              <w:t>Qualifying Evidence</w:t>
            </w:r>
          </w:p>
        </w:tc>
        <w:tc>
          <w:tcPr>
            <w:tcW w:w="2541" w:type="dxa"/>
          </w:tcPr>
          <w:p w14:paraId="4FA3113E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b/>
                <w:sz w:val="18"/>
              </w:rPr>
              <w:t>Sources</w:t>
            </w:r>
          </w:p>
        </w:tc>
        <w:tc>
          <w:tcPr>
            <w:tcW w:w="2541" w:type="dxa"/>
          </w:tcPr>
          <w:p w14:paraId="3DD9697D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b/>
                <w:sz w:val="18"/>
              </w:rPr>
              <w:t>Analytical Consequence</w:t>
            </w:r>
          </w:p>
        </w:tc>
      </w:tr>
      <w:tr w:rsidR="006E13F4" w14:paraId="79923C0F" w14:textId="77777777">
        <w:trPr>
          <w:cantSplit/>
          <w:jc w:val="center"/>
        </w:trPr>
        <w:tc>
          <w:tcPr>
            <w:tcW w:w="2541" w:type="dxa"/>
          </w:tcPr>
          <w:p w14:paraId="107B48B1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Workload reduction</w:t>
            </w:r>
          </w:p>
        </w:tc>
        <w:tc>
          <w:tcPr>
            <w:tcW w:w="2541" w:type="dxa"/>
          </w:tcPr>
          <w:p w14:paraId="64A05BB5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8"/>
              </w:rPr>
              <w:t>Review, correction, consent, objection handling, incident reporting, and monitoring create additional work</w:t>
            </w:r>
          </w:p>
        </w:tc>
        <w:tc>
          <w:tcPr>
            <w:tcW w:w="2541" w:type="dxa"/>
          </w:tcPr>
          <w:p w14:paraId="76EB0B70" w14:textId="77777777" w:rsidR="0058432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D5-D8, D10</w:t>
            </w:r>
          </w:p>
        </w:tc>
        <w:tc>
          <w:tcPr>
            <w:tcW w:w="2541" w:type="dxa"/>
          </w:tcPr>
          <w:p w14:paraId="3222BBFA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8"/>
              </w:rPr>
              <w:t>Gross typing time is an incomplete workload measure</w:t>
            </w:r>
          </w:p>
        </w:tc>
      </w:tr>
      <w:tr w:rsidR="006E13F4" w14:paraId="60117F3F" w14:textId="77777777">
        <w:trPr>
          <w:cantSplit/>
          <w:jc w:val="center"/>
        </w:trPr>
        <w:tc>
          <w:tcPr>
            <w:tcW w:w="2541" w:type="dxa"/>
          </w:tcPr>
          <w:p w14:paraId="7A170E45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Efficiency</w:t>
            </w:r>
          </w:p>
        </w:tc>
        <w:tc>
          <w:tcPr>
            <w:tcW w:w="2541" w:type="dxa"/>
          </w:tcPr>
          <w:p w14:paraId="618B72F6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8"/>
              </w:rPr>
              <w:t>Documentation time can fall without reducing consultation or total service-cycle time</w:t>
            </w:r>
          </w:p>
        </w:tc>
        <w:tc>
          <w:tcPr>
            <w:tcW w:w="2541" w:type="dxa"/>
          </w:tcPr>
          <w:p w14:paraId="3DC637FC" w14:textId="77777777" w:rsidR="0058432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Peer-reviewed context [11-17]</w:t>
            </w:r>
          </w:p>
        </w:tc>
        <w:tc>
          <w:tcPr>
            <w:tcW w:w="2541" w:type="dxa"/>
          </w:tcPr>
          <w:p w14:paraId="785E989C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8"/>
              </w:rPr>
              <w:t>Evaluate the complete work process</w:t>
            </w:r>
          </w:p>
        </w:tc>
      </w:tr>
      <w:tr w:rsidR="006E13F4" w14:paraId="502E71E5" w14:textId="77777777">
        <w:trPr>
          <w:cantSplit/>
          <w:jc w:val="center"/>
        </w:trPr>
        <w:tc>
          <w:tcPr>
            <w:tcW w:w="2541" w:type="dxa"/>
          </w:tcPr>
          <w:p w14:paraId="1A4B875B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Human oversight</w:t>
            </w:r>
          </w:p>
        </w:tc>
        <w:tc>
          <w:tcPr>
            <w:tcW w:w="2541" w:type="dxa"/>
          </w:tcPr>
          <w:p w14:paraId="5E945E03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8"/>
              </w:rPr>
              <w:t>Professional review is required, but review quality depends on time, competence, and verification complexity</w:t>
            </w:r>
          </w:p>
        </w:tc>
        <w:tc>
          <w:tcPr>
            <w:tcW w:w="2541" w:type="dxa"/>
          </w:tcPr>
          <w:p w14:paraId="7CE77C84" w14:textId="77777777" w:rsidR="0058432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D5-D8; [18-21]</w:t>
            </w:r>
          </w:p>
        </w:tc>
        <w:tc>
          <w:tcPr>
            <w:tcW w:w="2541" w:type="dxa"/>
          </w:tcPr>
          <w:p w14:paraId="57A0D594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8"/>
              </w:rPr>
              <w:t>Human-in-the-loop is a work-design requirement</w:t>
            </w:r>
          </w:p>
        </w:tc>
      </w:tr>
      <w:tr w:rsidR="006E13F4" w14:paraId="330708E7" w14:textId="77777777">
        <w:trPr>
          <w:cantSplit/>
          <w:jc w:val="center"/>
        </w:trPr>
        <w:tc>
          <w:tcPr>
            <w:tcW w:w="2541" w:type="dxa"/>
          </w:tcPr>
          <w:p w14:paraId="20D443F2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Distributed governance</w:t>
            </w:r>
          </w:p>
        </w:tc>
        <w:tc>
          <w:tcPr>
            <w:tcW w:w="2541" w:type="dxa"/>
          </w:tcPr>
          <w:p w14:paraId="0A3F6805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8"/>
              </w:rPr>
              <w:t>Suppliers and organizations control many system conditions while professionals authorize final outputs</w:t>
            </w:r>
          </w:p>
        </w:tc>
        <w:tc>
          <w:tcPr>
            <w:tcW w:w="2541" w:type="dxa"/>
          </w:tcPr>
          <w:p w14:paraId="3D8637C5" w14:textId="77777777" w:rsidR="0058432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D1, D5-D9</w:t>
            </w:r>
          </w:p>
        </w:tc>
        <w:tc>
          <w:tcPr>
            <w:tcW w:w="2541" w:type="dxa"/>
          </w:tcPr>
          <w:p w14:paraId="611663FF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8"/>
              </w:rPr>
              <w:t>Match accountability to control and decision rights</w:t>
            </w:r>
          </w:p>
        </w:tc>
      </w:tr>
      <w:tr w:rsidR="006E13F4" w14:paraId="32DE7053" w14:textId="77777777">
        <w:trPr>
          <w:cantSplit/>
          <w:jc w:val="center"/>
        </w:trPr>
        <w:tc>
          <w:tcPr>
            <w:tcW w:w="2541" w:type="dxa"/>
          </w:tcPr>
          <w:p w14:paraId="2FED4289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Equity</w:t>
            </w:r>
          </w:p>
        </w:tc>
        <w:tc>
          <w:tcPr>
            <w:tcW w:w="2541" w:type="dxa"/>
          </w:tcPr>
          <w:p w14:paraId="3C1E5996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8"/>
              </w:rPr>
              <w:t>General performance claims can mask accent, dialect, disability, language, or communication differences</w:t>
            </w:r>
          </w:p>
        </w:tc>
        <w:tc>
          <w:tcPr>
            <w:tcW w:w="2541" w:type="dxa"/>
          </w:tcPr>
          <w:p w14:paraId="735FA4D5" w14:textId="77777777" w:rsidR="0058432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D5-D8</w:t>
            </w:r>
          </w:p>
        </w:tc>
        <w:tc>
          <w:tcPr>
            <w:tcW w:w="2541" w:type="dxa"/>
          </w:tcPr>
          <w:p w14:paraId="37437B50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8"/>
              </w:rPr>
              <w:t>Use subgroup validation and practical alternatives</w:t>
            </w:r>
          </w:p>
        </w:tc>
      </w:tr>
      <w:tr w:rsidR="006E13F4" w14:paraId="16AA4ACF" w14:textId="77777777">
        <w:trPr>
          <w:cantSplit/>
          <w:jc w:val="center"/>
        </w:trPr>
        <w:tc>
          <w:tcPr>
            <w:tcW w:w="2541" w:type="dxa"/>
          </w:tcPr>
          <w:p w14:paraId="1A87E5D7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Patient participation</w:t>
            </w:r>
          </w:p>
        </w:tc>
        <w:tc>
          <w:tcPr>
            <w:tcW w:w="2541" w:type="dxa"/>
          </w:tcPr>
          <w:p w14:paraId="6A8919BB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8"/>
              </w:rPr>
              <w:t>Disclosure and objection are explicit; co-design is less consistently operationalized</w:t>
            </w:r>
          </w:p>
        </w:tc>
        <w:tc>
          <w:tcPr>
            <w:tcW w:w="2541" w:type="dxa"/>
          </w:tcPr>
          <w:p w14:paraId="28AD16B8" w14:textId="77777777" w:rsidR="0058432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D1, D5-D9</w:t>
            </w:r>
          </w:p>
        </w:tc>
        <w:tc>
          <w:tcPr>
            <w:tcW w:w="2541" w:type="dxa"/>
          </w:tcPr>
          <w:p w14:paraId="134D4705" w14:textId="77777777" w:rsidR="006E13F4" w:rsidRDefault="00000000" w:rsidP="00F55F1D">
            <w:pPr>
              <w:spacing w:after="0" w:line="240" w:lineRule="auto"/>
              <w:jc w:val="left"/>
            </w:pPr>
            <w:r>
              <w:rPr>
                <w:sz w:val="18"/>
              </w:rPr>
              <w:t>Do not overstate documentary support for participatory governance</w:t>
            </w:r>
          </w:p>
        </w:tc>
      </w:tr>
    </w:tbl>
    <w:p w14:paraId="1E049F53" w14:textId="77777777" w:rsidR="005B337B" w:rsidRDefault="005B337B">
      <w:pPr>
        <w:pStyle w:val="Heading1"/>
      </w:pPr>
    </w:p>
    <w:p w14:paraId="3260E881" w14:textId="77777777" w:rsidR="006E13F4" w:rsidRDefault="00000000">
      <w:pPr>
        <w:pStyle w:val="Heading1"/>
      </w:pPr>
      <w:r>
        <w:t>F. Minimum Sociotechnical Evaluation Set</w:t>
      </w:r>
    </w:p>
    <w:tbl>
      <w:tblPr>
        <w:tblStyle w:val="TableGrid"/>
        <w:tblW w:w="10166" w:type="dxa"/>
        <w:jc w:val="center"/>
        <w:tblLayout w:type="fixed"/>
        <w:tblLook w:val="04A0" w:firstRow="1" w:lastRow="0" w:firstColumn="1" w:lastColumn="0" w:noHBand="0" w:noVBand="1"/>
      </w:tblPr>
      <w:tblGrid>
        <w:gridCol w:w="3837"/>
        <w:gridCol w:w="6329"/>
      </w:tblGrid>
      <w:tr w:rsidR="006E13F4" w14:paraId="7B6659CF" w14:textId="77777777" w:rsidTr="00F55F1D">
        <w:trPr>
          <w:cantSplit/>
          <w:tblHeader/>
          <w:jc w:val="center"/>
        </w:trPr>
        <w:tc>
          <w:tcPr>
            <w:tcW w:w="3837" w:type="dxa"/>
          </w:tcPr>
          <w:p w14:paraId="4AC45CED" w14:textId="77777777" w:rsidR="006E13F4" w:rsidRDefault="00000000">
            <w:pPr>
              <w:spacing w:after="0" w:line="240" w:lineRule="auto"/>
              <w:jc w:val="left"/>
            </w:pPr>
            <w:r>
              <w:rPr>
                <w:b/>
                <w:sz w:val="18"/>
              </w:rPr>
              <w:t>Domain</w:t>
            </w:r>
          </w:p>
        </w:tc>
        <w:tc>
          <w:tcPr>
            <w:tcW w:w="6329" w:type="dxa"/>
          </w:tcPr>
          <w:p w14:paraId="6A2DD58C" w14:textId="77777777" w:rsidR="006E13F4" w:rsidRDefault="00000000">
            <w:pPr>
              <w:spacing w:after="0" w:line="240" w:lineRule="auto"/>
              <w:jc w:val="left"/>
            </w:pPr>
            <w:r>
              <w:rPr>
                <w:b/>
                <w:sz w:val="18"/>
              </w:rPr>
              <w:t>Illustrative Measures</w:t>
            </w:r>
          </w:p>
        </w:tc>
      </w:tr>
      <w:tr w:rsidR="006E13F4" w14:paraId="755821D4" w14:textId="77777777" w:rsidTr="00F55F1D">
        <w:trPr>
          <w:cantSplit/>
          <w:jc w:val="center"/>
        </w:trPr>
        <w:tc>
          <w:tcPr>
            <w:tcW w:w="3837" w:type="dxa"/>
          </w:tcPr>
          <w:p w14:paraId="2090675E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Technology and data</w:t>
            </w:r>
          </w:p>
        </w:tc>
        <w:tc>
          <w:tcPr>
            <w:tcW w:w="6329" w:type="dxa"/>
          </w:tcPr>
          <w:p w14:paraId="5EDA3CB7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Material error and omission; subgroup performance; language and accent robustness; downtime; integration failure; model, prompt, or version change</w:t>
            </w:r>
          </w:p>
        </w:tc>
      </w:tr>
      <w:tr w:rsidR="006E13F4" w14:paraId="0B83610C" w14:textId="77777777" w:rsidTr="00F55F1D">
        <w:trPr>
          <w:cantSplit/>
          <w:jc w:val="center"/>
        </w:trPr>
        <w:tc>
          <w:tcPr>
            <w:tcW w:w="3837" w:type="dxa"/>
          </w:tcPr>
          <w:p w14:paraId="5116AAB1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Professional work</w:t>
            </w:r>
          </w:p>
        </w:tc>
        <w:tc>
          <w:tcPr>
            <w:tcW w:w="6329" w:type="dxa"/>
          </w:tcPr>
          <w:p w14:paraId="6D9F18B2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Total documentation, verification, and correction time; after-hours work; cognitive demand; interruptions; autonomy; training; escalation confidence</w:t>
            </w:r>
          </w:p>
        </w:tc>
      </w:tr>
      <w:tr w:rsidR="006E13F4" w14:paraId="1951A999" w14:textId="77777777" w:rsidTr="00F55F1D">
        <w:trPr>
          <w:cantSplit/>
          <w:jc w:val="center"/>
        </w:trPr>
        <w:tc>
          <w:tcPr>
            <w:tcW w:w="3837" w:type="dxa"/>
          </w:tcPr>
          <w:p w14:paraId="4A2ED0EA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Organization and governance</w:t>
            </w:r>
          </w:p>
        </w:tc>
        <w:tc>
          <w:tcPr>
            <w:tcW w:w="6329" w:type="dxa"/>
          </w:tcPr>
          <w:p w14:paraId="01118CC2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Named ownership; safety case; competence; incident response; supplier notification; audit closure; suspension and withdrawal capability</w:t>
            </w:r>
          </w:p>
        </w:tc>
      </w:tr>
      <w:tr w:rsidR="006E13F4" w14:paraId="5989364F" w14:textId="77777777" w:rsidTr="00F55F1D">
        <w:trPr>
          <w:cantSplit/>
          <w:jc w:val="center"/>
        </w:trPr>
        <w:tc>
          <w:tcPr>
            <w:tcW w:w="3837" w:type="dxa"/>
          </w:tcPr>
          <w:p w14:paraId="6CE4121F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Patient agency and equity</w:t>
            </w:r>
          </w:p>
        </w:tc>
        <w:tc>
          <w:tcPr>
            <w:tcW w:w="6329" w:type="dxa"/>
          </w:tcPr>
          <w:p w14:paraId="049815CE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Disclosure comprehension; objection and alternatives; accessibility; acceptability; subgroup access, error, and experience</w:t>
            </w:r>
          </w:p>
        </w:tc>
      </w:tr>
      <w:tr w:rsidR="006E13F4" w14:paraId="54CE4459" w14:textId="77777777" w:rsidTr="00F55F1D">
        <w:trPr>
          <w:cantSplit/>
          <w:jc w:val="center"/>
        </w:trPr>
        <w:tc>
          <w:tcPr>
            <w:tcW w:w="3837" w:type="dxa"/>
          </w:tcPr>
          <w:p w14:paraId="7FF5508F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Service delivery</w:t>
            </w:r>
          </w:p>
        </w:tc>
        <w:tc>
          <w:tcPr>
            <w:tcW w:w="6329" w:type="dxa"/>
          </w:tcPr>
          <w:p w14:paraId="01207251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Record quality; continuity; referral quality; waiting time; safety events; patient experience; cost; downstream rework</w:t>
            </w:r>
          </w:p>
        </w:tc>
      </w:tr>
      <w:tr w:rsidR="006E13F4" w14:paraId="0CBC2DA8" w14:textId="77777777" w:rsidTr="00F55F1D">
        <w:trPr>
          <w:cantSplit/>
          <w:jc w:val="center"/>
        </w:trPr>
        <w:tc>
          <w:tcPr>
            <w:tcW w:w="3837" w:type="dxa"/>
          </w:tcPr>
          <w:p w14:paraId="0820E9A5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Lifecycle change</w:t>
            </w:r>
          </w:p>
        </w:tc>
        <w:tc>
          <w:tcPr>
            <w:tcW w:w="6329" w:type="dxa"/>
          </w:tcPr>
          <w:p w14:paraId="71B01FAD" w14:textId="77777777" w:rsidR="006E13F4" w:rsidRDefault="00000000">
            <w:pPr>
              <w:spacing w:after="0" w:line="240" w:lineRule="auto"/>
              <w:jc w:val="left"/>
            </w:pPr>
            <w:r>
              <w:rPr>
                <w:sz w:val="18"/>
              </w:rPr>
              <w:t>Revalidation; drift; scope expansion; emerging incidents; provenance; retirement criteria</w:t>
            </w:r>
          </w:p>
        </w:tc>
      </w:tr>
    </w:tbl>
    <w:p w14:paraId="2A30389C" w14:textId="77777777" w:rsidR="005B337B" w:rsidRDefault="005B337B">
      <w:pPr>
        <w:pStyle w:val="Heading1"/>
      </w:pPr>
    </w:p>
    <w:p w14:paraId="16F88374" w14:textId="77777777" w:rsidR="005206C7" w:rsidRDefault="005206C7"/>
    <w:p w14:paraId="48664147" w14:textId="77777777" w:rsidR="00F25FC8" w:rsidRDefault="00F25FC8"/>
    <w:p w14:paraId="46AC5190" w14:textId="77777777" w:rsidR="00F25FC8" w:rsidRDefault="00F25FC8"/>
    <w:p w14:paraId="3879C7E6" w14:textId="77777777" w:rsidR="00F25FC8" w:rsidRDefault="00F25FC8"/>
    <w:p w14:paraId="395F05ED" w14:textId="77777777" w:rsidR="00F25FC8" w:rsidRDefault="00F25FC8"/>
    <w:p w14:paraId="6EFDAD87" w14:textId="77777777" w:rsidR="00F25FC8" w:rsidRDefault="00F25FC8"/>
    <w:p w14:paraId="664C2125" w14:textId="77777777" w:rsidR="00F25FC8" w:rsidRDefault="00F25FC8"/>
    <w:p w14:paraId="551D2554" w14:textId="77777777" w:rsidR="00F25FC8" w:rsidRDefault="00F25FC8"/>
    <w:p w14:paraId="3138E30C" w14:textId="77777777" w:rsidR="00F25FC8" w:rsidRDefault="00F25FC8"/>
    <w:p w14:paraId="19BFD394" w14:textId="77777777" w:rsidR="00F25FC8" w:rsidRDefault="00F25FC8"/>
    <w:p w14:paraId="6A65A358" w14:textId="77777777" w:rsidR="00F25FC8" w:rsidRDefault="00F25FC8"/>
    <w:p w14:paraId="0525E851" w14:textId="77777777" w:rsidR="00F25FC8" w:rsidRDefault="00F25FC8"/>
    <w:p w14:paraId="43D600A4" w14:textId="77777777" w:rsidR="00F25FC8" w:rsidRDefault="00F25FC8"/>
    <w:p w14:paraId="56D7B741" w14:textId="77777777" w:rsidR="00584324" w:rsidRDefault="00000000">
      <w:pPr>
        <w:pStyle w:val="Heading1"/>
      </w:pPr>
      <w:r>
        <w:lastRenderedPageBreak/>
        <w:t>G. References</w:t>
      </w:r>
    </w:p>
    <w:p w14:paraId="2C9E28B5" w14:textId="77777777" w:rsidR="00584324" w:rsidRDefault="00000000">
      <w:pPr>
        <w:pStyle w:val="ReferenceText"/>
      </w:pPr>
      <w:r>
        <w:t>1. World Health Organization. Ethics and governance of artificial intelligence for health: guidance on large multi-modal models. Published 2024. Accessed July 30, 2026. https://www.who.int/publications/i/item/9789240084759</w:t>
      </w:r>
    </w:p>
    <w:p w14:paraId="4A8C7767" w14:textId="77777777" w:rsidR="00584324" w:rsidRDefault="00000000">
      <w:pPr>
        <w:pStyle w:val="ReferenceText"/>
      </w:pPr>
      <w:r>
        <w:t>2. World Health Organization Regional Office for Europe. Artificial intelligence is reshaping health systems: state of readiness across the WHO European Region. Published November 19, 2025. Accessed July 30, 2026. https://www.who.int/europe/publications/i/item/WHO-EURO-2025-12707-52481-81028</w:t>
      </w:r>
    </w:p>
    <w:p w14:paraId="09CD877C" w14:textId="77777777" w:rsidR="00584324" w:rsidRDefault="00000000">
      <w:pPr>
        <w:pStyle w:val="ReferenceText"/>
      </w:pPr>
      <w:r>
        <w:t>3. European Commission, Directorate-General for Health and Food Safety. Study on the deployment of AI in healthcare: final report. Publications Office of the European Union; 2025. doi:10.2875/2169577</w:t>
      </w:r>
    </w:p>
    <w:p w14:paraId="2CD34417" w14:textId="77777777" w:rsidR="00584324" w:rsidRDefault="00000000">
      <w:pPr>
        <w:pStyle w:val="ReferenceText"/>
      </w:pPr>
      <w:r>
        <w:t>4. NHS England. AI-enabled ambient scribing products in health and care settings: an overview for NHS executives and boards. Published April 27, 2025. Accessed July 30, 2026. https://www.england.nhs.uk/long-read/ai-enabled-ambient-scribing-products-in-health-and-care-settings/</w:t>
      </w:r>
    </w:p>
    <w:p w14:paraId="3FE7E7FE" w14:textId="77777777" w:rsidR="00584324" w:rsidRDefault="00000000">
      <w:pPr>
        <w:pStyle w:val="ReferenceText"/>
      </w:pPr>
      <w:r>
        <w:t>5. NHS England. Guidance on the use of AI-enabled ambient scribing products in health and care settings. Version 3. Updated July 29, 2026. Accessed July 30, 2026. https://www.england.nhs.uk/long-read/guidance-on-the-use-of-ai-enabled-ambient-scribing-products-in-health-and-care-settings/</w:t>
      </w:r>
    </w:p>
    <w:p w14:paraId="3EBBD99C" w14:textId="77777777" w:rsidR="00584324" w:rsidRDefault="00000000">
      <w:pPr>
        <w:pStyle w:val="ReferenceText"/>
      </w:pPr>
      <w:r>
        <w:t>6. NHS England Digital. Using AI-enabled ambient scribing products in health and care settings: guidance for health and care professionals. Updated May 7, 2026. Accessed July 30, 2026. https://digital.nhs.uk/data-and-information/information-governance/guidance/using-ai-enabled-ambient-scribing-products-in-health-and-care-settings/guidance-for-health-and-care-professionals</w:t>
      </w:r>
    </w:p>
    <w:p w14:paraId="47980373" w14:textId="77777777" w:rsidR="00584324" w:rsidRDefault="00000000">
      <w:pPr>
        <w:pStyle w:val="ReferenceText"/>
      </w:pPr>
      <w:r>
        <w:t>7. Australian Commission on Safety and Quality in Health Care. AI clinical use guide: guidance for clinicians. Version 1.0. Published August 2025. Accessed July 30, 2026. https://www.safetyandquality.gov.au/resources/ai-clinical-use-guide</w:t>
      </w:r>
    </w:p>
    <w:p w14:paraId="2DC91B16" w14:textId="77777777" w:rsidR="00584324" w:rsidRDefault="00000000">
      <w:pPr>
        <w:pStyle w:val="ReferenceText"/>
      </w:pPr>
      <w:r>
        <w:t>8. Australian Commission on Safety and Quality in Health Care. AI safety scenario: ambient scribe. Version 1.0. Published August 2025. Accessed July 30, 2026. https://www.safetyandquality.gov.au/resources/ai-safety-scenario-ambient-scribe</w:t>
      </w:r>
    </w:p>
    <w:p w14:paraId="1720D956" w14:textId="77777777" w:rsidR="00584324" w:rsidRDefault="00000000">
      <w:pPr>
        <w:pStyle w:val="ReferenceText"/>
      </w:pPr>
      <w:r>
        <w:t xml:space="preserve">9. Australian Government Department of Health, Disability and Ageing. Safe and responsible artificial intelligence in health care: legislation and regulation </w:t>
      </w:r>
      <w:proofErr w:type="gramStart"/>
      <w:r>
        <w:t>review-final</w:t>
      </w:r>
      <w:proofErr w:type="gramEnd"/>
      <w:r>
        <w:t xml:space="preserve"> report. Version 1.0. Published July 23, 2025. Accessed July 30, 2026. https://www.health.gov.au/resources/publications/safe-and-responsible-artificial-intelligence-in-health-care-legislation-and-regulation-review-final-report</w:t>
      </w:r>
    </w:p>
    <w:p w14:paraId="623E7083" w14:textId="77777777" w:rsidR="00584324" w:rsidRDefault="00000000">
      <w:pPr>
        <w:pStyle w:val="ReferenceText"/>
      </w:pPr>
      <w:r>
        <w:t xml:space="preserve">10. Medicines and Healthcare products Regulatory Agency. Digital mental health technology: device </w:t>
      </w:r>
      <w:proofErr w:type="spellStart"/>
      <w:r>
        <w:t>characterisation</w:t>
      </w:r>
      <w:proofErr w:type="spellEnd"/>
      <w:r>
        <w:t>, regulatory qualification and classification. Version 1.3. Updated July 29, 2026. Accessed July 30, 2026. https://www.gov.uk/government/publications/digital-mental-health-technology-qualification-and-classification</w:t>
      </w:r>
    </w:p>
    <w:p w14:paraId="106F3B3E" w14:textId="77777777" w:rsidR="00584324" w:rsidRDefault="00000000">
      <w:pPr>
        <w:pStyle w:val="ReferenceText"/>
      </w:pPr>
      <w:r>
        <w:t>11. Ma SP, Liang AS, Shah SJ, et al. Ambient artificial intelligence scribes: utilization and impact on documentation time. J Am Med Inform Assoc. 2025;32(2):381-385. doi:10.1093/</w:t>
      </w:r>
      <w:proofErr w:type="spellStart"/>
      <w:r>
        <w:t>jamia</w:t>
      </w:r>
      <w:proofErr w:type="spellEnd"/>
      <w:r>
        <w:t>/ocae304</w:t>
      </w:r>
    </w:p>
    <w:p w14:paraId="16407159" w14:textId="77777777" w:rsidR="00584324" w:rsidRDefault="00000000">
      <w:pPr>
        <w:pStyle w:val="ReferenceText"/>
      </w:pPr>
      <w:r>
        <w:t xml:space="preserve">12. Duggan MJ, Gervase J, Schoenbaum A, et al. Clinician experiences with ambient scribe technology to assist with documentation burden and efficiency. JAMA </w:t>
      </w:r>
      <w:proofErr w:type="spellStart"/>
      <w:r>
        <w:t>Netw</w:t>
      </w:r>
      <w:proofErr w:type="spellEnd"/>
      <w:r>
        <w:t xml:space="preserve"> Open. 2025;8(2</w:t>
      </w:r>
      <w:proofErr w:type="gramStart"/>
      <w:r>
        <w:t>):e</w:t>
      </w:r>
      <w:proofErr w:type="gramEnd"/>
      <w:r>
        <w:t>2460637. doi:10.1001/jamanetworkopen.2024.60637</w:t>
      </w:r>
    </w:p>
    <w:p w14:paraId="4149232C" w14:textId="77777777" w:rsidR="00584324" w:rsidRDefault="00000000">
      <w:pPr>
        <w:pStyle w:val="ReferenceText"/>
      </w:pPr>
      <w:r>
        <w:t xml:space="preserve">13. Olson KD, Meeker D, Troup M, et al. Use of ambient AI scribes to reduce administrative burden and professional burnout. JAMA </w:t>
      </w:r>
      <w:proofErr w:type="spellStart"/>
      <w:r>
        <w:t>Netw</w:t>
      </w:r>
      <w:proofErr w:type="spellEnd"/>
      <w:r>
        <w:t xml:space="preserve"> Open. 2025;8(10</w:t>
      </w:r>
      <w:proofErr w:type="gramStart"/>
      <w:r>
        <w:t>):e</w:t>
      </w:r>
      <w:proofErr w:type="gramEnd"/>
      <w:r>
        <w:t>2534976. doi:10.1001/jamanetworkopen.2025.34976</w:t>
      </w:r>
    </w:p>
    <w:p w14:paraId="2DD71F89" w14:textId="77777777" w:rsidR="00584324" w:rsidRDefault="00000000">
      <w:pPr>
        <w:pStyle w:val="ReferenceText"/>
      </w:pPr>
      <w:r>
        <w:t>14. Chowdhury A, Casey M, Wilson J, et al. Comparing ambient scribes: a randomized crossover clinical trial addressing ambient scribe technologies' impact on physician burnout. J Am Med Inform Assoc. 2026;33(5):990-999. doi:10.1093/</w:t>
      </w:r>
      <w:proofErr w:type="spellStart"/>
      <w:r>
        <w:t>jamia</w:t>
      </w:r>
      <w:proofErr w:type="spellEnd"/>
      <w:r>
        <w:t>/ocag018</w:t>
      </w:r>
    </w:p>
    <w:p w14:paraId="30E1885D" w14:textId="77777777" w:rsidR="00584324" w:rsidRDefault="00000000">
      <w:pPr>
        <w:pStyle w:val="ReferenceText"/>
      </w:pPr>
      <w:r>
        <w:t>15. Guo Y, Wang J, Hu D, et al. Evaluating ambient artificial intelligence documentation: effects on work efficiency, documentation burden, and patient-centered care. J Am Med Inform Assoc. 2026;33(2):273-282. doi:10.1093/</w:t>
      </w:r>
      <w:proofErr w:type="spellStart"/>
      <w:r>
        <w:t>jamia</w:t>
      </w:r>
      <w:proofErr w:type="spellEnd"/>
      <w:r>
        <w:t>/ocaf180</w:t>
      </w:r>
    </w:p>
    <w:p w14:paraId="57391719" w14:textId="77777777" w:rsidR="00584324" w:rsidRPr="00CF4DAA" w:rsidRDefault="00000000">
      <w:pPr>
        <w:pStyle w:val="ReferenceText"/>
        <w:rPr>
          <w:lang w:val="sv-SE"/>
        </w:rPr>
      </w:pPr>
      <w:r w:rsidRPr="00F25FC8">
        <w:t xml:space="preserve">16. Guo Y, Hu D, Yang Z, et al. </w:t>
      </w:r>
      <w:r>
        <w:t xml:space="preserve">Clinicians' rationale for editing ambient AI-drafted clinical notes: persistent challenges and implications for improvement. </w:t>
      </w:r>
      <w:r w:rsidRPr="00CF4DAA">
        <w:rPr>
          <w:lang w:val="sv-SE"/>
        </w:rPr>
        <w:t xml:space="preserve">J </w:t>
      </w:r>
      <w:proofErr w:type="spellStart"/>
      <w:r w:rsidRPr="00CF4DAA">
        <w:rPr>
          <w:lang w:val="sv-SE"/>
        </w:rPr>
        <w:t>Am</w:t>
      </w:r>
      <w:proofErr w:type="spellEnd"/>
      <w:r w:rsidRPr="00CF4DAA">
        <w:rPr>
          <w:lang w:val="sv-SE"/>
        </w:rPr>
        <w:t xml:space="preserve"> Med </w:t>
      </w:r>
      <w:proofErr w:type="spellStart"/>
      <w:r w:rsidRPr="00CF4DAA">
        <w:rPr>
          <w:lang w:val="sv-SE"/>
        </w:rPr>
        <w:t>Inform</w:t>
      </w:r>
      <w:proofErr w:type="spellEnd"/>
      <w:r w:rsidRPr="00CF4DAA">
        <w:rPr>
          <w:lang w:val="sv-SE"/>
        </w:rPr>
        <w:t xml:space="preserve"> </w:t>
      </w:r>
      <w:proofErr w:type="spellStart"/>
      <w:r w:rsidRPr="00CF4DAA">
        <w:rPr>
          <w:lang w:val="sv-SE"/>
        </w:rPr>
        <w:t>Assoc</w:t>
      </w:r>
      <w:proofErr w:type="spellEnd"/>
      <w:r w:rsidRPr="00CF4DAA">
        <w:rPr>
          <w:lang w:val="sv-SE"/>
        </w:rPr>
        <w:t>. 2026;33(7):</w:t>
      </w:r>
      <w:proofErr w:type="gramStart"/>
      <w:r w:rsidRPr="00CF4DAA">
        <w:rPr>
          <w:lang w:val="sv-SE"/>
        </w:rPr>
        <w:t>1345-1353</w:t>
      </w:r>
      <w:proofErr w:type="gramEnd"/>
      <w:r w:rsidRPr="00CF4DAA">
        <w:rPr>
          <w:lang w:val="sv-SE"/>
        </w:rPr>
        <w:t>. doi:</w:t>
      </w:r>
      <w:proofErr w:type="gramStart"/>
      <w:r w:rsidRPr="00CF4DAA">
        <w:rPr>
          <w:lang w:val="sv-SE"/>
        </w:rPr>
        <w:t>10.1093</w:t>
      </w:r>
      <w:proofErr w:type="gramEnd"/>
      <w:r w:rsidRPr="00CF4DAA">
        <w:rPr>
          <w:lang w:val="sv-SE"/>
        </w:rPr>
        <w:t>/</w:t>
      </w:r>
      <w:proofErr w:type="spellStart"/>
      <w:r w:rsidRPr="00CF4DAA">
        <w:rPr>
          <w:lang w:val="sv-SE"/>
        </w:rPr>
        <w:t>jamia</w:t>
      </w:r>
      <w:proofErr w:type="spellEnd"/>
      <w:r w:rsidRPr="00CF4DAA">
        <w:rPr>
          <w:lang w:val="sv-SE"/>
        </w:rPr>
        <w:t>/ocag059</w:t>
      </w:r>
    </w:p>
    <w:p w14:paraId="44380694" w14:textId="77777777" w:rsidR="00584324" w:rsidRPr="00CF4DAA" w:rsidRDefault="00000000">
      <w:pPr>
        <w:pStyle w:val="ReferenceText"/>
        <w:rPr>
          <w:lang w:val="sv-SE"/>
        </w:rPr>
      </w:pPr>
      <w:r w:rsidRPr="00CF4DAA">
        <w:rPr>
          <w:lang w:val="sv-SE"/>
        </w:rPr>
        <w:t xml:space="preserve">17. Tan JYE, </w:t>
      </w:r>
      <w:proofErr w:type="spellStart"/>
      <w:r w:rsidRPr="00CF4DAA">
        <w:rPr>
          <w:lang w:val="sv-SE"/>
        </w:rPr>
        <w:t>Rafi</w:t>
      </w:r>
      <w:proofErr w:type="spellEnd"/>
      <w:r w:rsidRPr="00CF4DAA">
        <w:rPr>
          <w:lang w:val="sv-SE"/>
        </w:rPr>
        <w:t xml:space="preserve"> IBM, </w:t>
      </w:r>
      <w:proofErr w:type="spellStart"/>
      <w:r w:rsidRPr="00CF4DAA">
        <w:rPr>
          <w:lang w:val="sv-SE"/>
        </w:rPr>
        <w:t>Sng</w:t>
      </w:r>
      <w:proofErr w:type="spellEnd"/>
      <w:r w:rsidRPr="00CF4DAA">
        <w:rPr>
          <w:lang w:val="sv-SE"/>
        </w:rPr>
        <w:t xml:space="preserve"> GGR, et al. </w:t>
      </w:r>
      <w:r>
        <w:t xml:space="preserve">Impact of an ambient AI scribe among clinicians and patients: real-world prospective observational time-motion study. </w:t>
      </w:r>
      <w:r w:rsidRPr="00CF4DAA">
        <w:rPr>
          <w:lang w:val="sv-SE"/>
        </w:rPr>
        <w:t xml:space="preserve">JMIR Med </w:t>
      </w:r>
      <w:proofErr w:type="spellStart"/>
      <w:r w:rsidRPr="00CF4DAA">
        <w:rPr>
          <w:lang w:val="sv-SE"/>
        </w:rPr>
        <w:t>Inform</w:t>
      </w:r>
      <w:proofErr w:type="spellEnd"/>
      <w:r w:rsidRPr="00CF4DAA">
        <w:rPr>
          <w:lang w:val="sv-SE"/>
        </w:rPr>
        <w:t>. 2026;14:e85580. doi:</w:t>
      </w:r>
      <w:proofErr w:type="gramStart"/>
      <w:r w:rsidRPr="00CF4DAA">
        <w:rPr>
          <w:lang w:val="sv-SE"/>
        </w:rPr>
        <w:t>10.2196</w:t>
      </w:r>
      <w:proofErr w:type="gramEnd"/>
      <w:r w:rsidRPr="00CF4DAA">
        <w:rPr>
          <w:lang w:val="sv-SE"/>
        </w:rPr>
        <w:t>/</w:t>
      </w:r>
      <w:proofErr w:type="gramStart"/>
      <w:r w:rsidRPr="00CF4DAA">
        <w:rPr>
          <w:lang w:val="sv-SE"/>
        </w:rPr>
        <w:t>85580</w:t>
      </w:r>
      <w:proofErr w:type="gramEnd"/>
    </w:p>
    <w:p w14:paraId="34613635" w14:textId="77777777" w:rsidR="00584324" w:rsidRDefault="00000000">
      <w:pPr>
        <w:pStyle w:val="ReferenceText"/>
      </w:pPr>
      <w:r w:rsidRPr="00CF4DAA">
        <w:rPr>
          <w:lang w:val="sv-SE"/>
        </w:rPr>
        <w:t xml:space="preserve">18. </w:t>
      </w:r>
      <w:proofErr w:type="spellStart"/>
      <w:r w:rsidRPr="00CF4DAA">
        <w:rPr>
          <w:lang w:val="sv-SE"/>
        </w:rPr>
        <w:t>Benda</w:t>
      </w:r>
      <w:proofErr w:type="spellEnd"/>
      <w:r w:rsidRPr="00CF4DAA">
        <w:rPr>
          <w:lang w:val="sv-SE"/>
        </w:rPr>
        <w:t xml:space="preserve"> NC, Novak LL, Reale C, </w:t>
      </w:r>
      <w:proofErr w:type="spellStart"/>
      <w:r w:rsidRPr="00CF4DAA">
        <w:rPr>
          <w:lang w:val="sv-SE"/>
        </w:rPr>
        <w:t>Ancker</w:t>
      </w:r>
      <w:proofErr w:type="spellEnd"/>
      <w:r w:rsidRPr="00CF4DAA">
        <w:rPr>
          <w:lang w:val="sv-SE"/>
        </w:rPr>
        <w:t xml:space="preserve"> JS. </w:t>
      </w:r>
      <w:r>
        <w:t xml:space="preserve">Trust in AI: why we should be </w:t>
      </w:r>
      <w:proofErr w:type="gramStart"/>
      <w:r>
        <w:t>designing for</w:t>
      </w:r>
      <w:proofErr w:type="gramEnd"/>
      <w:r>
        <w:t xml:space="preserve"> appropriate reliance. J Am Med Inform Assoc. 2022;29(1):207-212. doi:10.1093/</w:t>
      </w:r>
      <w:proofErr w:type="spellStart"/>
      <w:r>
        <w:t>jamia</w:t>
      </w:r>
      <w:proofErr w:type="spellEnd"/>
      <w:r>
        <w:t>/ocab238</w:t>
      </w:r>
    </w:p>
    <w:p w14:paraId="10694BF3" w14:textId="77777777" w:rsidR="00584324" w:rsidRDefault="00000000">
      <w:pPr>
        <w:pStyle w:val="ReferenceText"/>
      </w:pPr>
      <w:r>
        <w:t xml:space="preserve">19. Lyell D, </w:t>
      </w:r>
      <w:proofErr w:type="spellStart"/>
      <w:r>
        <w:t>Coiera</w:t>
      </w:r>
      <w:proofErr w:type="spellEnd"/>
      <w:r>
        <w:t xml:space="preserve"> E. Automation bias and verification complexity: a systematic review. J Am Med Inform Assoc. 2017;24(2):423-431. doi:10.1093/</w:t>
      </w:r>
      <w:proofErr w:type="spellStart"/>
      <w:r>
        <w:t>jamia</w:t>
      </w:r>
      <w:proofErr w:type="spellEnd"/>
      <w:r>
        <w:t>/ocw105</w:t>
      </w:r>
    </w:p>
    <w:p w14:paraId="329361B3" w14:textId="77777777" w:rsidR="00584324" w:rsidRDefault="00000000">
      <w:pPr>
        <w:pStyle w:val="ReferenceText"/>
      </w:pPr>
      <w:r>
        <w:t xml:space="preserve">20. </w:t>
      </w:r>
      <w:proofErr w:type="spellStart"/>
      <w:r>
        <w:t>Dratsch</w:t>
      </w:r>
      <w:proofErr w:type="spellEnd"/>
      <w:r>
        <w:t xml:space="preserve"> T, Chen X, </w:t>
      </w:r>
      <w:proofErr w:type="spellStart"/>
      <w:r>
        <w:t>Rezazade</w:t>
      </w:r>
      <w:proofErr w:type="spellEnd"/>
      <w:r>
        <w:t xml:space="preserve"> Mehrizi M, et al. Automation bias in mammography: the impact of artificial intelligence BI-RADS suggestions on reader performance. Radiology. 2023;307(4</w:t>
      </w:r>
      <w:proofErr w:type="gramStart"/>
      <w:r>
        <w:t>):e</w:t>
      </w:r>
      <w:proofErr w:type="gramEnd"/>
      <w:r>
        <w:t>222176. doi:10.1148/radiol.222176</w:t>
      </w:r>
    </w:p>
    <w:p w14:paraId="5B17E140" w14:textId="77777777" w:rsidR="00584324" w:rsidRDefault="00000000">
      <w:pPr>
        <w:pStyle w:val="ReferenceText"/>
      </w:pPr>
      <w:r>
        <w:t xml:space="preserve">21. </w:t>
      </w:r>
      <w:proofErr w:type="spellStart"/>
      <w:r>
        <w:t>Kücking</w:t>
      </w:r>
      <w:proofErr w:type="spellEnd"/>
      <w:r>
        <w:t xml:space="preserve"> F, Hübner U, </w:t>
      </w:r>
      <w:proofErr w:type="spellStart"/>
      <w:r>
        <w:t>Przysucha</w:t>
      </w:r>
      <w:proofErr w:type="spellEnd"/>
      <w:r>
        <w:t xml:space="preserve"> M, et al. Automation bias in AI-decision support: results from an empirical study. Stud Health Technol Inform. </w:t>
      </w:r>
      <w:proofErr w:type="gramStart"/>
      <w:r>
        <w:t>2024;317:298</w:t>
      </w:r>
      <w:proofErr w:type="gramEnd"/>
      <w:r>
        <w:t>-304. doi:10.3233/SHTI240871</w:t>
      </w:r>
    </w:p>
    <w:sectPr w:rsidR="00584324" w:rsidSect="00034616">
      <w:footerReference w:type="default" r:id="rId8"/>
      <w:pgSz w:w="12240" w:h="15840"/>
      <w:pgMar w:top="648" w:right="720" w:bottom="648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0CC99" w14:textId="77777777" w:rsidR="00010363" w:rsidRDefault="00010363">
      <w:pPr>
        <w:spacing w:after="0" w:line="240" w:lineRule="auto"/>
      </w:pPr>
      <w:r>
        <w:separator/>
      </w:r>
    </w:p>
  </w:endnote>
  <w:endnote w:type="continuationSeparator" w:id="0">
    <w:p w14:paraId="18C79A2A" w14:textId="77777777" w:rsidR="00010363" w:rsidRDefault="00010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EF52F" w14:textId="77777777" w:rsidR="006E13F4" w:rsidRDefault="00000000">
    <w:pPr>
      <w:pStyle w:val="Footer"/>
      <w:jc w:val="center"/>
    </w:pP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 w:rsidR="005B337B">
      <w:rPr>
        <w:noProof/>
        <w:sz w:val="16"/>
      </w:rPr>
      <w:t>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E0F56" w14:textId="77777777" w:rsidR="00010363" w:rsidRDefault="00010363">
      <w:pPr>
        <w:spacing w:after="0" w:line="240" w:lineRule="auto"/>
      </w:pPr>
      <w:r>
        <w:separator/>
      </w:r>
    </w:p>
  </w:footnote>
  <w:footnote w:type="continuationSeparator" w:id="0">
    <w:p w14:paraId="527A6942" w14:textId="77777777" w:rsidR="00010363" w:rsidRDefault="000103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25189273">
    <w:abstractNumId w:val="8"/>
  </w:num>
  <w:num w:numId="2" w16cid:durableId="887490618">
    <w:abstractNumId w:val="6"/>
  </w:num>
  <w:num w:numId="3" w16cid:durableId="1154493262">
    <w:abstractNumId w:val="5"/>
  </w:num>
  <w:num w:numId="4" w16cid:durableId="746533182">
    <w:abstractNumId w:val="4"/>
  </w:num>
  <w:num w:numId="5" w16cid:durableId="633486815">
    <w:abstractNumId w:val="7"/>
  </w:num>
  <w:num w:numId="6" w16cid:durableId="2001735603">
    <w:abstractNumId w:val="3"/>
  </w:num>
  <w:num w:numId="7" w16cid:durableId="923416254">
    <w:abstractNumId w:val="2"/>
  </w:num>
  <w:num w:numId="8" w16cid:durableId="173762922">
    <w:abstractNumId w:val="1"/>
  </w:num>
  <w:num w:numId="9" w16cid:durableId="1295256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0363"/>
    <w:rsid w:val="00034616"/>
    <w:rsid w:val="0006063C"/>
    <w:rsid w:val="00062D70"/>
    <w:rsid w:val="00077D8D"/>
    <w:rsid w:val="00085ED0"/>
    <w:rsid w:val="0015074B"/>
    <w:rsid w:val="00164A6B"/>
    <w:rsid w:val="0029639D"/>
    <w:rsid w:val="00326F90"/>
    <w:rsid w:val="003E02EE"/>
    <w:rsid w:val="00453EFC"/>
    <w:rsid w:val="004F285D"/>
    <w:rsid w:val="0051142D"/>
    <w:rsid w:val="005206C7"/>
    <w:rsid w:val="00584324"/>
    <w:rsid w:val="005B337B"/>
    <w:rsid w:val="006E13F4"/>
    <w:rsid w:val="00AA1D8D"/>
    <w:rsid w:val="00AD38EB"/>
    <w:rsid w:val="00B47730"/>
    <w:rsid w:val="00C51E6C"/>
    <w:rsid w:val="00CA615D"/>
    <w:rsid w:val="00CB0664"/>
    <w:rsid w:val="00CF4DAA"/>
    <w:rsid w:val="00D26462"/>
    <w:rsid w:val="00E540D5"/>
    <w:rsid w:val="00F25FC8"/>
    <w:rsid w:val="00F55F1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40D0C74"/>
  <w14:defaultImageDpi w14:val="300"/>
  <w15:docId w15:val="{7B5083B0-E800-4C37-A7B2-6D0EDEAB2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52" w:lineRule="auto"/>
      <w:jc w:val="both"/>
    </w:pPr>
    <w:rPr>
      <w:rFonts w:ascii="Arial" w:eastAsia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4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bstractText">
    <w:name w:val="AbstractText"/>
    <w:pPr>
      <w:spacing w:after="40" w:line="240" w:lineRule="auto"/>
    </w:pPr>
    <w:rPr>
      <w:rFonts w:ascii="Arial" w:eastAsia="Arial" w:hAnsi="Arial"/>
      <w:sz w:val="20"/>
    </w:rPr>
  </w:style>
  <w:style w:type="paragraph" w:customStyle="1" w:styleId="CaptionCompact">
    <w:name w:val="CaptionCompact"/>
    <w:pPr>
      <w:spacing w:after="40" w:line="240" w:lineRule="auto"/>
    </w:pPr>
    <w:rPr>
      <w:rFonts w:ascii="Arial" w:eastAsia="Arial" w:hAnsi="Arial"/>
      <w:i/>
      <w:sz w:val="19"/>
    </w:rPr>
  </w:style>
  <w:style w:type="paragraph" w:customStyle="1" w:styleId="ReferenceText">
    <w:name w:val="ReferenceText"/>
    <w:pPr>
      <w:spacing w:after="40" w:line="240" w:lineRule="auto"/>
    </w:pPr>
    <w:rPr>
      <w:rFonts w:ascii="Arial" w:eastAsia="Arial" w:hAnsi="Arial"/>
      <w:sz w:val="19"/>
    </w:rPr>
  </w:style>
  <w:style w:type="paragraph" w:customStyle="1" w:styleId="TableText">
    <w:name w:val="TableText"/>
    <w:pPr>
      <w:spacing w:after="40" w:line="240" w:lineRule="auto"/>
    </w:pPr>
    <w:rPr>
      <w:rFonts w:ascii="Arial" w:eastAsia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6</Pages>
  <Words>2953</Words>
  <Characters>16838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Responsible Adoption of Generative AI in Health Care Work Systems: A Sociotechnical Document Analysis</dc:title>
  <dc:subject>Multimedia Appendix 1</dc:subject>
  <dc:creator>Wondwesen Shume Bekele</dc:creator>
  <cp:keywords>generative artificial intelligence, large language models, work systems, human factors, sociotechnical systems, sociotechnical, health care, healthcare, generative AI, LLM</cp:keywords>
  <cp:lastModifiedBy>Wondwesen Bekele</cp:lastModifiedBy>
  <cp:revision>121</cp:revision>
  <dcterms:created xsi:type="dcterms:W3CDTF">2026-05-26T22:38:00Z</dcterms:created>
  <dcterms:modified xsi:type="dcterms:W3CDTF">2026-08-04T19:02:00Z</dcterms:modified>
  <cp:category/>
</cp:coreProperties>
</file>